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80" w:line="240" w:lineRule="auto"/>
      </w:pPr>
      <w:r>
        <w:rPr>
          <w:rFonts w:ascii="Calibri" w:hAnsi="Calibri"/>
          <w:b/>
          <w:i w:val="0"/>
          <w:color w:val="1F4D78"/>
          <w:sz w:val="48"/>
        </w:rPr>
        <w:t>Bildzuordnung Episode 1</w:t>
      </w:r>
    </w:p>
    <w:p>
      <w:pPr>
        <w:keepNext w:val="0"/>
        <w:spacing w:before="0" w:after="320" w:line="264" w:lineRule="auto"/>
      </w:pPr>
      <w:r>
        <w:rPr>
          <w:rFonts w:ascii="Calibri" w:hAnsi="Calibri"/>
          <w:b w:val="0"/>
          <w:i w:val="0"/>
          <w:color w:val="5F6368"/>
          <w:sz w:val="26"/>
        </w:rPr>
        <w:t>Geborgener Altbestand · Arbeitsfassung V0.1</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Projekt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Zeitreise – Die Geschichte des Lebens</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Stand</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28. Juli 2026</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Grundlage</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Muster-Episode V1.0 und Medien-Produktionsliste V0.1</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Bestand</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60 unterschiedliche, technisch lesbare PNG-Dateien</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Arbeitszuordnung; keine automatische Endfreigabe einzelner Bilder</w:t>
            </w:r>
          </w:p>
        </w:tc>
      </w:tr>
    </w:tbl>
    <w:p>
      <w:pPr>
        <w:keepNext w:val="0"/>
        <w:spacing w:before="0" w:after="40" w:line="300" w:lineRule="auto"/>
      </w:pPr>
    </w:p>
    <w:p>
      <w:pPr>
        <w:pStyle w:val="Heading1"/>
      </w:pPr>
      <w:r>
        <w:t>Verbindliche Zuordnungsregel</w:t>
      </w:r>
    </w:p>
    <w:p>
      <w:pPr>
        <w:keepNext w:val="0"/>
        <w:spacing w:before="0" w:after="200" w:line="300" w:lineRule="auto"/>
        <w:shd w:fill="FFF4CE"/>
      </w:pPr>
      <w:r>
        <w:rPr>
          <w:rFonts w:ascii="Calibri" w:hAnsi="Calibri"/>
          <w:b w:val="0"/>
          <w:i w:val="0"/>
          <w:color w:val="202124"/>
          <w:sz w:val="22"/>
        </w:rPr>
        <w:t>„Direkt zugeordnet“ bedeutet: für eine technische Vorschau oder einen Szenentest geeignet. Es bedeutet noch nicht, dass das Bild als endgültiges Produktionsbild freigegeben ist. Beschriftete Tafeln, Mehrfachmontagen und Konzeptübersichten bleiben reine Referenzen und werden nicht unverändert in die App eingebaut.</w:t>
      </w:r>
    </w:p>
    <w:p>
      <w:pPr>
        <w:pStyle w:val="Heading1"/>
      </w:pPr>
      <w:r>
        <w:t>Gesamtergebnis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Vollständig abgedeckte Szenen</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0 von 22</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Szenen mit direkt nutzbarem Teilbestand</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01, 02, 03, 04, 18, 19 und 20</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Szenen nur mit Referenzmaterial</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05–17 sowie 21 und 22</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Stärkster Bestand</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Dampf, Rauch, Vulkanasche, Lava, Regen, Nebel und Staub</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Größte Lücke</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Einzelmotive für Zellen, frühe Lebewesen, Tiere, Pflanzen, Zeitfelsen und Kinderhand</w:t>
            </w:r>
          </w:p>
        </w:tc>
      </w:tr>
    </w:tbl>
    <w:p>
      <w:pPr>
        <w:keepNext w:val="0"/>
        <w:spacing w:before="0" w:after="40" w:line="300" w:lineRule="auto"/>
      </w:pPr>
    </w:p>
    <w:p>
      <w:pPr>
        <w:pStyle w:val="Heading1"/>
      </w:pPr>
      <w:r>
        <w:t>Szenenweise Zuordnung</w:t>
      </w:r>
    </w:p>
    <w:p>
      <w:pPr>
        <w:keepNext w:val="0"/>
        <w:spacing w:before="0" w:after="200" w:line="300" w:lineRule="auto"/>
      </w:pPr>
      <w:r>
        <w:t>Die Dateipfade sind relativ zum Projektordner angegeben. Fehlende Einträge folgen den bereits beschlossenen Namen der Medien-Produktionsliste.</w:t>
      </w:r>
    </w:p>
    <w:p>
      <w:pPr>
        <w:pStyle w:val="Heading2"/>
      </w:pPr>
      <w:r>
        <w:t>Szene 01 – Die junge Erde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Teilbestand – gute Vorschaukandidaten</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Bilder/Altbestand/01_Hintergruende/Vulkanische Küste im Dämmerlicht.png — vorläufiger Hintergrundkandidat</w:t>
              <w:br/>
              <w:t>Bilder/Altbestand/02_Effekte_Einzeln/Dampfaufstieg gegen transparenter Hintergrund.png — Dampf</w:t>
              <w:br/>
              <w:t>Bilder/Altbestand/02_Effekte_Einzeln/dunkle Rauchwolke mit glühenden Funken.png — kleiner Rauch; sparsam einsetzen</w:t>
              <w:br/>
              <w:t>Bilder/Altbestand/02_Effekte_Einzeln/Lava fissures im schwarzen Gestein.png — Glutspalten</w:t>
              <w:br/>
              <w:t>Bilder/Altbestand/02_Effekte_Einzeln/Vulkanasche und glühende Funken.png — Asche/Funken</w:t>
              <w:br/>
              <w:t>Bilder/Altbestand/02_Effekte_Einzeln/Ausbruch von glühender Lavafontäne.png — Vulkanausbruch; nur zurückhaltend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Bilder/Altbestand/04_Montagen_und_Infotafeln_nur_Referenz/Station 1 – Die Geburt der Erde(1).png</w:t>
              <w:br/>
              <w:t>Bilder/Altbestand/04_Montagen_und_Infotafeln_nur_Referenz/Frühstadien der Erde – Konzeptbilder.png</w:t>
              <w:br/>
              <w:t>Bilder/Altbestand/04_Montagen_und_Infotafeln_nur_Referenz/Die Geburt der Erde_ Eine Reise in die Vergangenheit.png</w:t>
              <w:br/>
              <w:t>Bilder/Altbestand/01_Hintergruende/Feuerplanet im Trümmerfeld.png</w:t>
              <w:br/>
              <w:t>Bilder/Altbestand/01_Hintergruende/Kosmische Entstehung eines Sternsystems.png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hintergrund_zeitfelsen_kueste_heute.jpg</w:t>
              <w:br/>
              <w:t>objekt_zeitfelsen.png</w:t>
              <w:br/>
              <w:t>objekt_kinderhand.png</w:t>
              <w:br/>
              <w:t>overlay_goldenes_schimmern.png</w:t>
              <w:br/>
              <w:t>endgültig freigegebener Hintergrund hintergrund_junge_erde_gluehend.jpg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Für die technische Vorschau die vulkanische Küste plus vorhandene Dampf-, Rauch- und Glut-Overlays verwenden. Zeitfelsen, Kinderhand und goldenes Schimmern bleiben offen. Keine beschriftete Montage direkt einsetzen.</w:t>
            </w:r>
          </w:p>
        </w:tc>
      </w:tr>
    </w:tbl>
    <w:p>
      <w:pPr>
        <w:keepNext w:val="0"/>
        <w:spacing w:before="0" w:after="40" w:line="300" w:lineRule="auto"/>
      </w:pPr>
    </w:p>
    <w:p>
      <w:pPr>
        <w:pStyle w:val="Heading2"/>
      </w:pPr>
      <w:r>
        <w:t>Szene 02 – Die Erde kühlt langsam ab</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Teilbestand – Vorschau möglich</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Bilder/Altbestand/01_Hintergruende/Vulkanische Küste im Dämmerlicht.png — vorläufig derselbe Kameraraum wie Szene 1</w:t>
              <w:br/>
              <w:t>Bilder/Altbestand/02_Effekte_Einzeln/Dampf und Rauch über glühendem Boden.png — Dampf über Lava</w:t>
              <w:br/>
              <w:t>Bilder/Altbestand/02_Effekte_Einzeln/Dampfaufstieg gegen transparenter Hintergrund.png — zusätzliche Dampfsäule</w:t>
              <w:br/>
              <w:t>Bilder/Altbestand/02_Effekte_Einzeln/Lavafluss über zerklüftetem Boden.png — Lavafluss</w:t>
              <w:br/>
              <w:t>Bilder/Altbestand/02_Effekte_Einzeln/Feiner Regen mit durchsichtigen Tropfen.png — einsetzender Regen</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Bilder/Altbestand/04_Montagen_und_Infotafeln_nur_Referenz/Prähistorische Landschaften im Zeitraffer.png</w:t>
              <w:br/>
              <w:t>Bilder/Altbestand/04_Montagen_und_Infotafeln_nur_Referenz/Frühstadien der Erde – Konzeptbilder.png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endgültiger Hintergrund hintergrund_junge_erde_abkuehlung.jpg</w:t>
              <w:br/>
              <w:t>eine zur Küste passende kühlere Bildvariante mit dunklen Wolken</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Für die Vorschau denselben Hintergrund wie in Szene 1 verwenden und die Veränderung durch stärkeren Dampf, weniger Glut und einsetzenden Regen zeigen. Die finale kühlere Hintergrundfassung fehlt.</w:t>
            </w:r>
          </w:p>
        </w:tc>
      </w:tr>
    </w:tbl>
    <w:p>
      <w:pPr>
        <w:keepNext w:val="0"/>
        <w:spacing w:before="0" w:after="40" w:line="300" w:lineRule="auto"/>
      </w:pPr>
    </w:p>
    <w:p>
      <w:pPr>
        <w:pStyle w:val="Heading2"/>
      </w:pPr>
      <w:r>
        <w:t>Szene 03 – Die ersten Ozeane entstehen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Teilbestand – Hintergrund fehlt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Bilder/Altbestand/02_Effekte_Einzeln/Feiner Regen mit durchsichtigen Tropfen.png — starker Regen</w:t>
              <w:br/>
              <w:t>Bilder/Altbestand/02_Effekte_Einzeln/Dampfaufstieg gegen transparenter Hintergrund.png — Restdampf über heißen Flächen</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Bilder/Altbestand/04_Montagen_und_Infotafeln_nur_Referenz/Prähistorische Landschaften im Zeitraffer.png</w:t>
              <w:br/>
              <w:t>Bilder/Altbestand/04_Montagen_und_Infotafeln_nur_Referenz/Station 4 – Das Erwachen des Lebens.png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hintergrund_urmeer_entstehung.jpg</w:t>
              <w:br/>
              <w:t>overlay_wasserwellen.png</w:t>
              <w:br/>
              <w:t>overlay_sonnenstrahl.png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Regen und Restdampf können übernommen werden. Ein einzelnes, textfreies Urmeerbild mit identischem Kamerawinkel zu Szene 2 wird weiterhin benötigt.</w:t>
            </w:r>
          </w:p>
        </w:tc>
      </w:tr>
    </w:tbl>
    <w:p>
      <w:pPr>
        <w:keepNext w:val="0"/>
        <w:spacing w:before="0" w:after="40" w:line="300" w:lineRule="auto"/>
      </w:pPr>
    </w:p>
    <w:p>
      <w:pPr>
        <w:pStyle w:val="Heading2"/>
      </w:pPr>
      <w:r>
        <w:t>Szene 04 – Die Ursuppe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Teilbestand – nur Effekte vorhanden</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Bilder/Altbestand/02_Effekte_Einzeln/Dampfaufstieg gegen transparenter Hintergrund.png — dezenter Hintergrunddampf</w:t>
              <w:br/>
              <w:t>Bilder/Altbestand/02_Effekte_Einzeln/Wärmeflimmern auf transparentem Hintergrund.png — Luftflimmern über heißen Steinen</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Bilder/Altbestand/04_Montagen_und_Infotafeln_nur_Referenz/Station 4 – Das Erwachen des Lebens.png</w:t>
              <w:br/>
              <w:t>Bilder/Altbestand/04_Montagen_und_Infotafeln_nur_Referenz/Prähistorische Landschaften im Zeitraffer.png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hintergrund_ursuppe_lagune.jpg</w:t>
              <w:br/>
              <w:t>overlay_wasserwellen.png</w:t>
              <w:br/>
              <w:t>overlay_gasblasen_klein.png</w:t>
              <w:br/>
              <w:t>overlay_organisches_schimmern.png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Dampf und Wärmeflimmern sind brauchbar. Die warme, flache Lagune und die Wasser-/Moleküleffekte fehlen als Einzeldateien.</w:t>
            </w:r>
          </w:p>
        </w:tc>
      </w:tr>
    </w:tbl>
    <w:p>
      <w:pPr>
        <w:keepNext w:val="0"/>
        <w:spacing w:before="0" w:after="40" w:line="300" w:lineRule="auto"/>
      </w:pPr>
    </w:p>
    <w:p>
      <w:pPr>
        <w:pStyle w:val="Heading2"/>
      </w:pPr>
      <w:r>
        <w:t>Szene 05 – Die erste Zelle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Kein direkt verwendbarer Einzelbestand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Bilder/Altbestand/04_Montagen_und_Infotafeln_nur_Referenz/Station 4 – Das Erwachen des Lebens.png</w:t>
              <w:br/>
              <w:t>Bilder/Altbestand/04_Montagen_und_Infotafeln_nur_Referenz/Von einfach zu komplex_ Die Reise des Lebens.png</w:t>
              <w:br/>
              <w:t>Bilder/Altbestand/04_Montagen_und_Infotafeln_nur_Referenz/Von einfachem Leben zu Vielfalt.png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hintergrund_lagune_unterwasser_mikro.jpg</w:t>
              <w:br/>
              <w:t>objekt_lavagestein_mineralien.png</w:t>
              <w:br/>
              <w:t>objekt_zellblase_mit_membran.png</w:t>
              <w:br/>
              <w:t>overlay_mineralpartikel.png</w:t>
              <w:br/>
              <w:t>overlay_gasblasen_klein.png</w:t>
              <w:br/>
              <w:t>overlay_lichtstrahlen_unterwasser.png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Die Übersichtstafeln dienen nur als Stil- und Inhaltsreferenz. Für die Szene werden eigenständige, unbeschriftete Mikro- und Zellmotive benötigt.</w:t>
            </w:r>
          </w:p>
        </w:tc>
      </w:tr>
    </w:tbl>
    <w:p>
      <w:pPr>
        <w:keepNext w:val="0"/>
        <w:spacing w:before="0" w:after="40" w:line="300" w:lineRule="auto"/>
      </w:pPr>
    </w:p>
    <w:p>
      <w:pPr>
        <w:pStyle w:val="Heading2"/>
      </w:pPr>
      <w:r>
        <w:t>Szene 06 – Das Leben breitet sich aus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Kein direkt verwendbarer Einzelbestand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Bilder/Altbestand/04_Montagen_und_Infotafeln_nur_Referenz/Von einfach zu komplex_ Die Reise des Lebens.png</w:t>
              <w:br/>
              <w:t>Bilder/Altbestand/04_Montagen_und_Infotafeln_nur_Referenz/Von einfachem Leben zu Vielfalt.png</w:t>
              <w:br/>
              <w:t>Bilder/Altbestand/04_Montagen_und_Infotafeln_nur_Referenz/Station 7 – Die Reise des Lebens.png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hintergrund_lagune_unterwasser_mikro.jpg</w:t>
              <w:br/>
              <w:t>objekt_lavagestein_mineralien.png</w:t>
              <w:br/>
              <w:t>objekt_einzelle_einfach.png</w:t>
              <w:br/>
              <w:t>objekt_biofilm.png</w:t>
              <w:br/>
              <w:t>objekt_zellkolonie.png</w:t>
              <w:br/>
              <w:t>overlay_mineralpartikel.png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Keine Montage ausschneiden oder als fertige Szene verwenden. Einzelzellen, Biofilm und Zellkolonie fehlen.</w:t>
            </w:r>
          </w:p>
        </w:tc>
      </w:tr>
    </w:tbl>
    <w:p>
      <w:pPr>
        <w:keepNext w:val="0"/>
        <w:spacing w:before="0" w:after="40" w:line="300" w:lineRule="auto"/>
      </w:pPr>
    </w:p>
    <w:p>
      <w:pPr>
        <w:pStyle w:val="Heading2"/>
      </w:pPr>
      <w:r>
        <w:t>Szene 07 – Die Erfinder des Sauerstoffs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Nur Referenzbestand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Bilder/Altbestand/04_Montagen_und_Infotafeln_nur_Referenz/Sauerstoffrevolution_ Die Erde verändert sich.png</w:t>
              <w:br/>
              <w:t>Bilder/Altbestand/04_Montagen_und_Infotafeln_nur_Referenz/Station 7 – Die Reise des Lebens.png</w:t>
              <w:br/>
              <w:t>Bilder/Altbestand/04_Montagen_und_Infotafeln_nur_Referenz/Von einfach zu komplex_ Die Reise des Lebens.png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hintergrund_flaches_urmeer_unterwasser.jpg</w:t>
              <w:br/>
              <w:t>objekt_cyanobakterienmatte.png</w:t>
              <w:br/>
              <w:t>objekt_stromatolith.png</w:t>
              <w:br/>
              <w:t>overlay_gasblasen_klein.png</w:t>
              <w:br/>
              <w:t>overlay_mineralpartikel.png</w:t>
              <w:br/>
              <w:t>overlay_lichtstrahlen_unterwasser.png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Die vorhandenen Tafeln zeigen die gewünschte Themenwelt, enthalten aber eingebauten Text und mehrere Teilbilder. Nicht direkt einsetzen.</w:t>
            </w:r>
          </w:p>
        </w:tc>
      </w:tr>
    </w:tbl>
    <w:p>
      <w:pPr>
        <w:keepNext w:val="0"/>
        <w:spacing w:before="0" w:after="40" w:line="300" w:lineRule="auto"/>
      </w:pPr>
    </w:p>
    <w:p>
      <w:pPr>
        <w:pStyle w:val="Heading2"/>
      </w:pPr>
      <w:r>
        <w:t>Szene 08 – Die Sauerstoff-Revolution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Nur Referenzbestand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Bilder/Altbestand/04_Montagen_und_Infotafeln_nur_Referenz/Sauerstoffrevolution_ Die Erde verändert sich.png</w:t>
              <w:br/>
              <w:t>Bilder/Altbestand/04_Montagen_und_Infotafeln_nur_Referenz/Station 7 – Die Reise des Lebens.png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hintergrund_erde_sauerstoffwende.jpg</w:t>
              <w:br/>
              <w:t>overlay_atmosphaere_gelblich.png</w:t>
              <w:br/>
              <w:t>overlay_atmosphaere_blau.png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Die Sauerstofftafel ist Referenz, kein Hintergrundbild. Für die Szene fehlen eine textfreie Erde und die beiden Atmosphärenzustände.</w:t>
            </w:r>
          </w:p>
        </w:tc>
      </w:tr>
    </w:tbl>
    <w:p>
      <w:pPr>
        <w:keepNext w:val="0"/>
        <w:spacing w:before="0" w:after="40" w:line="300" w:lineRule="auto"/>
      </w:pPr>
    </w:p>
    <w:p>
      <w:pPr>
        <w:pStyle w:val="Heading2"/>
      </w:pPr>
      <w:r>
        <w:t>Szene 09 – Die Revolution in der Zelle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Nur Referenzbestand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Bilder/Altbestand/04_Montagen_und_Infotafeln_nur_Referenz/Von einfach zu komplex_ Die Reise des Lebens.png</w:t>
              <w:br/>
              <w:t>Bilder/Altbestand/04_Montagen_und_Infotafeln_nur_Referenz/Station 7 – Die Reise des Lebens.png</w:t>
              <w:br/>
              <w:t>Bilder/Altbestand/04_Montagen_und_Infotafeln_nur_Referenz/Von einfachem Leben zu Vielfalt.png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hintergrund_mikrowelt_komplexe_zellen.jpg</w:t>
              <w:br/>
              <w:t>objekt_zelle_gross.png</w:t>
              <w:br/>
              <w:t>objekt_bakterium_klein.png</w:t>
              <w:br/>
              <w:t>objekt_mitochondrium.png</w:t>
              <w:br/>
              <w:t>overlay_mineralpartikel.png</w:t>
              <w:br/>
              <w:t>overlay_gasblasen_klein.png</w:t>
              <w:br/>
              <w:t>overlay_lichtstrahlen_unterwasser.png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Die Endosymbiose braucht getrennte, bewegliche Einzelobjekte. Solche Dateien sind im Altbestand nicht enthalten.</w:t>
            </w:r>
          </w:p>
        </w:tc>
      </w:tr>
    </w:tbl>
    <w:p>
      <w:pPr>
        <w:keepNext w:val="0"/>
        <w:spacing w:before="0" w:after="40" w:line="300" w:lineRule="auto"/>
      </w:pPr>
    </w:p>
    <w:p>
      <w:pPr>
        <w:pStyle w:val="Heading2"/>
      </w:pPr>
      <w:r>
        <w:t>Szene 10 – Die ersten komplexen Lebewesen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Nur Referenzbestand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Bilder/Altbestand/04_Montagen_und_Infotafeln_nur_Referenz/Von einfach zu komplex_ Die Reise des Lebens.png</w:t>
              <w:br/>
              <w:t>Bilder/Altbestand/04_Montagen_und_Infotafeln_nur_Referenz/Von einfachem Leben zu Vielfalt.png</w:t>
              <w:br/>
              <w:t>Bilder/Altbestand/04_Montagen_und_Infotafeln_nur_Referenz/Station 7 – Die Reise des Lebens.png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hintergrund_mikrowelt_komplexe_zellen.jpg</w:t>
              <w:br/>
              <w:t>objekt_eukaryot_kugelig.png</w:t>
              <w:br/>
              <w:t>objekt_eukaryot_laenglich.png</w:t>
              <w:br/>
              <w:t>objekt_eukaryot_mit_geissel.png</w:t>
              <w:br/>
              <w:t>objekt_eukaryot_mit_fortsaetzen.png</w:t>
              <w:br/>
              <w:t>objekt_einzelle_einfach.png</w:t>
              <w:br/>
              <w:t>objekt_zellkolonie.png</w:t>
              <w:br/>
              <w:t>overlay_mineralpartikel.png</w:t>
              <w:br/>
              <w:t>overlay_lichtstrahlen_unterwasser.png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Die vorhandenen Übersichten sind lediglich Vorlagen für Form, Farbe und biologische Vielfalt; nicht direkt verwenden.</w:t>
            </w:r>
          </w:p>
        </w:tc>
      </w:tr>
    </w:tbl>
    <w:p>
      <w:pPr>
        <w:keepNext w:val="0"/>
        <w:spacing w:before="0" w:after="40" w:line="300" w:lineRule="auto"/>
      </w:pPr>
    </w:p>
    <w:p>
      <w:pPr>
        <w:pStyle w:val="Heading2"/>
      </w:pPr>
      <w:r>
        <w:t>Szene 11 – Die ersten Vielzeller</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Nur Referenzbestand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Bilder/Altbestand/04_Montagen_und_Infotafeln_nur_Referenz/Station 7 – Die Reise des Lebens.png</w:t>
              <w:br/>
              <w:t>Bilder/Altbestand/04_Montagen_und_Infotafeln_nur_Referenz/Von einfach zu komplex_ Die Reise des Lebens.png</w:t>
              <w:br/>
              <w:t>Bilder/Altbestand/04_Montagen_und_Infotafeln_nur_Referenz/Von einfachem Leben zu Vielfalt.png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hintergrund_flaches_urmeer_unterwasser.jpg</w:t>
              <w:br/>
              <w:t>objekt_einzelle_einfach.png</w:t>
              <w:br/>
              <w:t>objekt_zellkolonie.png</w:t>
              <w:br/>
              <w:t>objekt_zellverband.png</w:t>
              <w:br/>
              <w:t>objekt_fadenalge.png</w:t>
              <w:br/>
              <w:t>overlay_gasblasen_klein.png</w:t>
              <w:br/>
              <w:t>overlay_lichtstrahlen_unterwasser.png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Für die geplante Wachstumsanimation werden Einzelobjekte benötigt; die Übersichten können dafür nicht direkt zerlegt werden.</w:t>
            </w:r>
          </w:p>
        </w:tc>
      </w:tr>
    </w:tbl>
    <w:p>
      <w:pPr>
        <w:keepNext w:val="0"/>
        <w:spacing w:before="0" w:after="40" w:line="300" w:lineRule="auto"/>
      </w:pPr>
    </w:p>
    <w:p>
      <w:pPr>
        <w:pStyle w:val="Heading2"/>
      </w:pPr>
      <w:r>
        <w:t>Szene 12 – Die ersten Tiere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Nur Referenzbestand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Bilder/Altbestand/04_Montagen_und_Infotafeln_nur_Referenz/Von einfachem Leben zu Vielfalt.png</w:t>
              <w:br/>
              <w:t>Bilder/Altbestand/04_Montagen_und_Infotafeln_nur_Referenz/Die Entwicklung des frühen Lebens.png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hintergrund_meeresboden_ediacara_kambrium.jpg</w:t>
              <w:br/>
              <w:t>objekt_schwamm_einfach.png</w:t>
              <w:br/>
              <w:t>objekt_nesseltier_einfach.png</w:t>
              <w:br/>
              <w:t>objekt_ediacara_organismen_set.png</w:t>
              <w:br/>
              <w:t>overlay_lichtstrahlen_unterwasser.png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Keine vorhandene Einzeldatei zeigt die benötigten Ediacara-Organismen. Die schwierige wissenschaftliche Einordnung aus der Muster-Episode bleibt verbindlich.</w:t>
            </w:r>
          </w:p>
        </w:tc>
      </w:tr>
    </w:tbl>
    <w:p>
      <w:pPr>
        <w:keepNext w:val="0"/>
        <w:spacing w:before="0" w:after="40" w:line="300" w:lineRule="auto"/>
      </w:pPr>
    </w:p>
    <w:p>
      <w:pPr>
        <w:pStyle w:val="Heading2"/>
      </w:pPr>
      <w:r>
        <w:t>Szene 13 – Die Kambrische Explosion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Nur Referenzbestand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Bilder/Altbestand/04_Montagen_und_Infotafeln_nur_Referenz/Die Entwicklung des frühen Lebens.png</w:t>
              <w:br/>
              <w:t>Bilder/Altbestand/04_Montagen_und_Infotafeln_nur_Referenz/Von einfachem Leben zu Vielfalt.png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hintergrund_meeresboden_ediacara_kambrium.jpg</w:t>
              <w:br/>
              <w:t>objekt_trilobit.png</w:t>
              <w:br/>
              <w:t>objekt_anomalocaris.png</w:t>
              <w:br/>
              <w:t>objekt_wurm_meeresboden.png</w:t>
              <w:br/>
              <w:t>objekt_stachelhaeuter_frueh.png</w:t>
              <w:br/>
              <w:t>objekt_gliederfuesser_frueh_meer.png</w:t>
              <w:br/>
              <w:t>overlay_lichtstrahlen_unterwasser.png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Die vorhandene Kambrien-Tafel ist eine nützliche Referenz, wegen Beschriftungen und Mehrfachmotiven aber kein Produktionsbild.</w:t>
            </w:r>
          </w:p>
        </w:tc>
      </w:tr>
    </w:tbl>
    <w:p>
      <w:pPr>
        <w:keepNext w:val="0"/>
        <w:spacing w:before="0" w:after="40" w:line="300" w:lineRule="auto"/>
      </w:pPr>
    </w:p>
    <w:p>
      <w:pPr>
        <w:pStyle w:val="Heading2"/>
      </w:pPr>
      <w:r>
        <w:t>Szene 14 – Der Sprung an Land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Nur Referenzbestand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Bilder/Altbestand/04_Montagen_und_Infotafeln_nur_Referenz/Entstehung von Leben im Silur.png</w:t>
              <w:br/>
              <w:t>Bilder/Altbestand/04_Montagen_und_Infotafeln_nur_Referenz/Silur – Das Leben kommt ins Wasser.png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hintergrund_fruehe_landkueste.jpg</w:t>
              <w:br/>
              <w:t>objekt_landpflanzen_frueh.png</w:t>
              <w:br/>
              <w:t>objekt_algenmatte_landkueste.png</w:t>
              <w:br/>
              <w:t>objekt_pilzfaeden.png</w:t>
              <w:br/>
              <w:t>objekt_ur_gliederfuesser.png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Die Silur-Tafeln sind Themenreferenz. Die frühe Landküste und sämtliche einzeln animierbaren Organismen fehlen.</w:t>
            </w:r>
          </w:p>
        </w:tc>
      </w:tr>
    </w:tbl>
    <w:p>
      <w:pPr>
        <w:keepNext w:val="0"/>
        <w:spacing w:before="0" w:after="40" w:line="300" w:lineRule="auto"/>
      </w:pPr>
    </w:p>
    <w:p>
      <w:pPr>
        <w:pStyle w:val="Heading2"/>
      </w:pPr>
      <w:r>
        <w:t>Szene 15 – Die ersten Tiere an Land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Nur Referenzbestand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Bilder/Altbestand/04_Montagen_und_Infotafeln_nur_Referenz/Entstehung von Leben im Silur.png</w:t>
              <w:br/>
              <w:t>Bilder/Altbestand/04_Montagen_und_Infotafeln_nur_Referenz/Silur – Das Leben kommt ins Wasser.png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hintergrund_fruehe_landkueste.jpg</w:t>
              <w:br/>
              <w:t>objekt_landpflanzen_dichter.png</w:t>
              <w:br/>
              <w:t>objekt_farn_vordergrund.png</w:t>
              <w:br/>
              <w:t>objekt_tausendfuesser_frueh.png</w:t>
              <w:br/>
              <w:t>objekt_spinnentier_frueh.png</w:t>
              <w:br/>
              <w:t>objekt_ur_gliederfuesser.png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Der gemeinsame Hintergrund mit Szene 14 und alle beweglichen Landtier-Objekte müssen noch bereitgestellt werden.</w:t>
            </w:r>
          </w:p>
        </w:tc>
      </w:tr>
    </w:tbl>
    <w:p>
      <w:pPr>
        <w:keepNext w:val="0"/>
        <w:spacing w:before="0" w:after="40" w:line="300" w:lineRule="auto"/>
      </w:pPr>
    </w:p>
    <w:p>
      <w:pPr>
        <w:pStyle w:val="Heading2"/>
      </w:pPr>
      <w:r>
        <w:t>Szene 16 – Wirbeltiere erobern das Land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Nur Referenzbestand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Bilder/Altbestand/04_Montagen_und_Infotafeln_nur_Referenz/Devon_ Das Zeitalter der Fischvielfalt.png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hintergrund_sumpfufer_devon.jpg</w:t>
              <w:br/>
              <w:t>objekt_farn_vordergrund.png</w:t>
              <w:br/>
              <w:t>objekt_tiktaalik.png</w:t>
              <w:br/>
              <w:t>objekt_libelle_urzeit.png</w:t>
              <w:br/>
              <w:t>objekt_amphibium_frueh.png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Die Devon-Tafel ist Referenz. Tiktaalik muss gemäß Muster-Episode als Flachwasserfisch dargestellt werden, nicht als fertiges Landtier.</w:t>
            </w:r>
          </w:p>
        </w:tc>
      </w:tr>
    </w:tbl>
    <w:p>
      <w:pPr>
        <w:keepNext w:val="0"/>
        <w:spacing w:before="0" w:after="40" w:line="300" w:lineRule="auto"/>
      </w:pPr>
    </w:p>
    <w:p>
      <w:pPr>
        <w:pStyle w:val="Heading2"/>
      </w:pPr>
      <w:r>
        <w:t>Szene 17 – Das Ei, das die Welt veränderte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Nur Referenzbestand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Bilder/Altbestand/04_Montagen_und_Infotafeln_nur_Referenz/Karbon_ Wälder, Insekten und Reptilien.png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hintergrund_sumpfwald_karbon.jpg</w:t>
              <w:br/>
              <w:t>objekt_farn_vordergrund.png</w:t>
              <w:br/>
              <w:t>objekt_libelle_urzeit.png</w:t>
              <w:br/>
              <w:t>objekt_amniot_frueh.png</w:t>
              <w:br/>
              <w:t>objekt_amnioteneier.png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Die Karbon-Tafel legt Atmosphäre und Farbwelt nahe, darf aber nicht als Szene verwendet werden. Einzelobjekte fehlen.</w:t>
            </w:r>
          </w:p>
        </w:tc>
      </w:tr>
    </w:tbl>
    <w:p>
      <w:pPr>
        <w:keepNext w:val="0"/>
        <w:spacing w:before="0" w:after="40" w:line="300" w:lineRule="auto"/>
      </w:pPr>
    </w:p>
    <w:p>
      <w:pPr>
        <w:pStyle w:val="Heading2"/>
      </w:pPr>
      <w:r>
        <w:t>Szene 18 – Die Herrscher der Erde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Teilbestand – Nebel und Schatten vorhanden</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Bilder/Altbestand/02_Effekte_Einzeln/Zarte Dampfwolke vor transparentem Hintergrund.png — vorläufiger Morgennebel</w:t>
              <w:br/>
              <w:t>Bilder/Altbestand/02_Effekte_Einzeln/Diffuses Wolkenschatten auf transparentem Hintergrund.png — vorüberziehender Schatten</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Bilder/Altbestand/04_Montagen_und_Infotafeln_nur_Referenz/Kreidezeit_ Blütenpflanzen und Dinosaurier.png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hintergrund_flusslandschaft_dinosaurierzeit.jpg</w:t>
              <w:br/>
              <w:t>objekt_dinosaurier_pflanzenfresser.png</w:t>
              <w:br/>
              <w:t>objekt_dinosaurier_jungtier.png</w:t>
              <w:br/>
              <w:t>objekt_dinosaurier_herde.png</w:t>
              <w:br/>
              <w:t>objekt_dinosaurier_fleischfresser_fern.png</w:t>
              <w:br/>
              <w:t>objekt_flugsaurier.png</w:t>
              <w:br/>
              <w:t>objekt_ginkgo.png</w:t>
              <w:br/>
              <w:t>objekt_libelle_urzeit.png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Nebel und Schatten können getestet werden. Dinosaurier, Vegetation und gemeinsamer Hintergrund mit Szene 19 fehlen vollständig.</w:t>
            </w:r>
          </w:p>
        </w:tc>
      </w:tr>
    </w:tbl>
    <w:p>
      <w:pPr>
        <w:keepNext w:val="0"/>
        <w:spacing w:before="0" w:after="40" w:line="300" w:lineRule="auto"/>
      </w:pPr>
    </w:p>
    <w:p>
      <w:pPr>
        <w:pStyle w:val="Heading2"/>
      </w:pPr>
      <w:r>
        <w:t>Szene 19 – Der Tag, an dem sich alles änderte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Teilbestand – Staub und Schatten vorhanden</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Bilder/Altbestand/02_Effekte_Einzeln/Diffuses Wolkenschatten auf transparentem Hintergrund.png — symbolischer Schatten</w:t>
              <w:br/>
              <w:t>Bilder/Altbestand/02_Effekte_Einzeln/Staubwolke auf transparentem Hintergrund.png — Staub/Asche nach der Schwarzblende</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Bilder/Altbestand/04_Montagen_und_Infotafeln_nur_Referenz/Kreidezeit_ Blütenpflanzen und Dinosaurier.png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hintergrund_flusslandschaft_dinosaurierzeit.jpg</w:t>
              <w:br/>
              <w:t>overlay_morgennebel.png</w:t>
              <w:br/>
              <w:t>sämtliche Dinosaurier- und Flugsaurierobjekte aus Szene 18</w:t>
              <w:br/>
              <w:t>overlay_asteroid_lichtpunkt.png</w:t>
              <w:br/>
              <w:t>overlay_einschlag_lichtblitz.png</w:t>
              <w:br/>
              <w:t>finales overlay_staub_und_asche.png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Die großen Feuerball-, Meteor- und Explosionsbilder des Altbestands werden hier ausdrücklich nicht eingesetzt. Sie widersprechen der ruhigen, ernsten Regieentscheidung ohne sichtbares Katastrophenspektakel.</w:t>
            </w:r>
          </w:p>
        </w:tc>
      </w:tr>
    </w:tbl>
    <w:p>
      <w:pPr>
        <w:keepNext w:val="0"/>
        <w:spacing w:before="0" w:after="40" w:line="300" w:lineRule="auto"/>
      </w:pPr>
    </w:p>
    <w:p>
      <w:pPr>
        <w:pStyle w:val="Heading2"/>
      </w:pPr>
      <w:r>
        <w:t>Szene 20 – Eine neue Chance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Teilbestand – Staub/Nebel vorhanden</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Bilder/Altbestand/02_Effekte_Einzeln/Staubwolke auf transparentem Hintergrund.png — Staub/Asche</w:t>
              <w:br/>
              <w:t>Bilder/Altbestand/02_Effekte_Einzeln/Dichte Dampfwolke auf transparentem Hintergrund.png — ziehende Aschewolke, sehr zurückhaltend</w:t>
              <w:br/>
              <w:t>Bilder/Altbestand/02_Effekte_Einzeln/Zarte Dampfwolke vor transparentem Hintergrund.png — sich lichtender Nebel</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hintergrund_flusslandschaft_nach_einschlag.jpg</w:t>
              <w:br/>
              <w:t>objekt_zeitfelsen.png</w:t>
              <w:br/>
              <w:t>overlay_asche_auf_zeitfelsen.png</w:t>
              <w:br/>
              <w:t>finales overlay_staub_und_asche.png</w:t>
              <w:br/>
              <w:t>objekt_saeugetier_klein.png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Vorhandene graue Overlays eignen sich für die technische Vorschau. Hintergrund, Zeitfelsen und Säugetier fehlen.</w:t>
            </w:r>
          </w:p>
        </w:tc>
      </w:tr>
    </w:tbl>
    <w:p>
      <w:pPr>
        <w:keepNext w:val="0"/>
        <w:spacing w:before="0" w:after="40" w:line="300" w:lineRule="auto"/>
      </w:pPr>
    </w:p>
    <w:p>
      <w:pPr>
        <w:pStyle w:val="Heading2"/>
      </w:pPr>
      <w:r>
        <w:t>Szene 21 – Ein kleiner Schritt für ein Säugetier</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Nur entfernte Referenz</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Bilder/Altbestand/04_Montagen_und_Infotafeln_nur_Referenz/Pliozän_ Zeitalter der offenen Landschaften.png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hintergrund_junger_wald_saeugetiere.jpg</w:t>
              <w:br/>
              <w:t>objekt_zeitfelsen.png</w:t>
              <w:br/>
              <w:t>objekt_saeugetier_klein.png</w:t>
              <w:br/>
              <w:t>objekt_saeugetier_jungtier.png</w:t>
              <w:br/>
              <w:t>objekt_bluetenpflanzen.png</w:t>
              <w:br/>
              <w:t>objekt_singvogel.png</w:t>
              <w:br/>
              <w:t>objekt_insekt_auf_bluete.png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Die Pliozän-Tafel ist zeitlich nicht passend und höchstens eine entfernte Landschaftsreferenz. Für die Szene werden eigene textfreie Motive benötigt.</w:t>
            </w:r>
          </w:p>
        </w:tc>
      </w:tr>
    </w:tbl>
    <w:p>
      <w:pPr>
        <w:keepNext w:val="0"/>
        <w:spacing w:before="0" w:after="40" w:line="300" w:lineRule="auto"/>
      </w:pPr>
    </w:p>
    <w:p>
      <w:pPr>
        <w:pStyle w:val="Heading2"/>
      </w:pPr>
      <w:r>
        <w:t>Szene 22 – Ein Wimpernschlag</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Status</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Nur Referenzbestand</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Direkt zugeordnet</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Nur als Referenz</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Bilder/Altbestand/04_Montagen_und_Infotafeln_nur_Referenz/Station 22 – Holocän_ Zeitalter des Menschen.png</w:t>
              <w:br/>
              <w:t>Bilder/Altbestand/04_Montagen_und_Infotafeln_nur_Referenz/Anthropozän_ Der Einfluss des Menschen.png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Fehlt noch</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hintergrund_zeitfelsen_kueste_heute.jpg</w:t>
              <w:br/>
              <w:t>objekt_zeitfelsen.png</w:t>
              <w:br/>
              <w:t>objekt_kinderhand.png</w:t>
              <w:br/>
              <w:t>overlay_goldenes_schimmern.png</w:t>
              <w:br/>
              <w:t>objekt_gras_und_blumen_heute.png</w:t>
              <w:br/>
              <w:t>objekt_schmetterlinge.png</w:t>
              <w:br/>
              <w:t>objekt_buntspecht.png</w:t>
              <w:br/>
              <w:t>objekt_hummeln.png</w:t>
            </w:r>
          </w:p>
        </w:tc>
      </w:tr>
      <w:tr>
        <w:trPr>
          <w:cantSplit/>
        </w:trPr>
        <w:tc>
          <w:tcPr>
            <w:tcW w:type="dxa" w:w="2700"/>
            <w:shd w:fill="E8EEF5"/>
            <w:vAlign w:val="center"/>
            <w:tcMar>
              <w:top w:w="80" w:type="dxa"/>
              <w:start w:w="120" w:type="dxa"/>
              <w:bottom w:w="80" w:type="dxa"/>
              <w:end w:w="120" w:type="dxa"/>
            </w:tcMar>
          </w:tcPr>
          <w:p>
            <w:pPr>
              <w:keepNext w:val="0"/>
              <w:spacing w:before="0" w:after="0" w:line="276" w:lineRule="auto"/>
            </w:pPr>
            <w:r>
              <w:rPr>
                <w:rFonts w:ascii="Calibri" w:hAnsi="Calibri"/>
                <w:b/>
                <w:i w:val="0"/>
                <w:color w:val="1F4D78"/>
                <w:sz w:val="19"/>
              </w:rPr>
              <w:t>Entscheidung</w:t>
            </w:r>
          </w:p>
        </w:tc>
        <w:tc>
          <w:tcPr>
            <w:tcW w:type="dxa" w:w="6660"/>
            <w:vAlign w:val="center"/>
            <w:tcMar>
              <w:top w:w="80" w:type="dxa"/>
              <w:start w:w="120" w:type="dxa"/>
              <w:bottom w:w="80" w:type="dxa"/>
              <w:end w:w="120" w:type="dxa"/>
            </w:tcMar>
          </w:tcPr>
          <w:p>
            <w:pPr>
              <w:keepNext w:val="0"/>
              <w:spacing w:before="0" w:after="0" w:line="276" w:lineRule="auto"/>
            </w:pPr>
            <w:r>
              <w:rPr>
                <w:rFonts w:ascii="Calibri" w:hAnsi="Calibri"/>
                <w:b w:val="0"/>
                <w:i w:val="0"/>
                <w:color w:val="202124"/>
                <w:sz w:val="19"/>
              </w:rPr>
              <w:t>Die Tafeln dienen nur als Themenreferenz. Das Schlussbild braucht dieselbe heutige Küste, denselben Zeitfelsen, dieselbe Kinderhand und dasselbe goldene Schimmern wie der Anfang. Keine vollständige Person zeigen.</w:t>
            </w:r>
          </w:p>
        </w:tc>
      </w:tr>
    </w:tbl>
    <w:p>
      <w:pPr>
        <w:keepNext w:val="0"/>
        <w:spacing w:before="0" w:after="40" w:line="30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368"/>
        <w:sz w:val="18"/>
      </w:rPr>
      <w:t xml:space="preserve">Seite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F6368"/>
        <w:sz w:val="17"/>
      </w:rPr>
      <w:t>ZEITREISE · EPISODE 1 · BILDZUORDNUNG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