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numPr>
          <w:ilvl w:val="1"/>
          <w:numId w:val="7"/>
        </w:numPr>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 xml:space="preserve">I.1. 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numPr>
          <w:ilvl w:val="2"/>
          <w:numId w:val="7"/>
        </w:numPr>
        <w:tabs>
          <w:tab w:val="left" w:pos="695"/>
        </w:tabs>
        <w:spacing w:before="280"/>
        <w:ind w:left="695" w:hanging="694"/>
      </w:pPr>
      <w:bookmarkStart w:id="21" w:name="I.1.1._Présentation_d'Algérie_Télécom"/>
      <w:bookmarkEnd w:id="21"/>
      <w:r>
        <w:rPr>
          <w:rFonts w:ascii="Times New Roman" w:hAnsi="Times New Roman"/>
        </w:rPr>
        <w:t xml:space="preserve">I.1.1. 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numPr>
          <w:ilvl w:val="2"/>
          <w:numId w:val="7"/>
        </w:numPr>
        <w:tabs>
          <w:tab w:val="left" w:pos="695"/>
        </w:tabs>
        <w:spacing w:before="1"/>
        <w:ind w:left="695" w:hanging="694"/>
      </w:pPr>
      <w:bookmarkStart w:id="22" w:name="I.1.2._Fiche_technique_d'Algérie_Télécom"/>
      <w:bookmarkEnd w:id="22"/>
      <w:r>
        <w:rPr>
          <w:rFonts w:ascii="Times New Roman" w:hAnsi="Times New Roman"/>
        </w:rPr>
        <w:t xml:space="preserve">I.1.2. 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numPr>
          <w:ilvl w:val="2"/>
          <w:numId w:val="7"/>
        </w:numPr>
        <w:tabs>
          <w:tab w:val="left" w:pos="695"/>
        </w:tabs>
        <w:spacing w:before="1"/>
        <w:ind w:left="695" w:hanging="694"/>
      </w:pPr>
      <w:bookmarkStart w:id="23" w:name="I.1.3._Missions_et_objectifs_d'Algérie_T"/>
      <w:bookmarkEnd w:id="23"/>
      <w:r>
        <w:rPr>
          <w:rFonts w:ascii="Times New Roman" w:hAnsi="Times New Roman"/>
        </w:rPr>
        <w:t xml:space="preserve">I.1.3. 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numPr>
          <w:ilvl w:val="3"/>
          <w:numId w:val="7"/>
        </w:numPr>
        <w:tabs>
          <w:tab w:val="left" w:pos="793"/>
        </w:tabs>
        <w:spacing w:before="219"/>
        <w:ind w:left="793" w:hanging="792"/>
      </w:pPr>
      <w:bookmarkStart w:id="24" w:name="I.1.3.1._Activité_principale"/>
      <w:bookmarkEnd w:id="24"/>
      <w:r>
        <w:rPr>
          <w:rFonts w:ascii="Times New Roman" w:hAnsi="Times New Roman"/>
        </w:rPr>
        <w:t xml:space="preserve">I.1.3.1. 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numPr>
          <w:ilvl w:val="3"/>
          <w:numId w:val="7"/>
        </w:numPr>
        <w:tabs>
          <w:tab w:val="left" w:pos="793"/>
        </w:tabs>
        <w:spacing w:before="221"/>
        <w:ind w:left="793" w:hanging="792"/>
      </w:pPr>
      <w:bookmarkStart w:id="25" w:name="I.1.3.2._Objectifs_stratégiques"/>
      <w:bookmarkEnd w:id="25"/>
      <w:r>
        <w:rPr>
          <w:rFonts w:ascii="Times New Roman" w:hAnsi="Times New Roman"/>
        </w:rPr>
        <w:t xml:space="preserve">I.1.3.2. 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numPr>
          <w:ilvl w:val="2"/>
          <w:numId w:val="7"/>
        </w:numPr>
        <w:tabs>
          <w:tab w:val="left" w:pos="695"/>
        </w:tabs>
        <w:ind w:left="695" w:hanging="694"/>
      </w:pPr>
      <w:r w:rsidRPr="0035329C">
        <w:rPr>
          <w:rFonts w:ascii="Times New Roman" w:hAnsi="Times New Roman"/>
        </w:rPr>
        <w:t xml:space="preserve">I.1.4. 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 xml:space="preserve">I.1.5. 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numPr>
          <w:ilvl w:val="3"/>
          <w:numId w:val="7"/>
        </w:numPr>
        <w:tabs>
          <w:tab w:val="left" w:pos="793"/>
        </w:tabs>
        <w:spacing w:before="221"/>
        <w:ind w:left="793" w:hanging="792"/>
      </w:pPr>
      <w:bookmarkStart w:id="27" w:name="I.1.5.1._Missions_de_la_DSI"/>
      <w:bookmarkEnd w:id="27"/>
      <w:r>
        <w:rPr>
          <w:rFonts w:ascii="Times New Roman" w:hAnsi="Times New Roman"/>
        </w:rPr>
        <w:t xml:space="preserve">I.1.5.1. 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numPr>
          <w:ilvl w:val="1"/>
          <w:numId w:val="7"/>
        </w:numPr>
        <w:tabs>
          <w:tab w:val="left" w:pos="530"/>
        </w:tabs>
        <w:ind w:left="530" w:hanging="529"/>
      </w:pPr>
      <w:bookmarkStart w:id="28" w:name="_Toc237344313"/>
      <w:bookmarkStart w:id="29" w:name="_Toc237349245"/>
      <w:r>
        <w:rPr>
          <w:rFonts w:ascii="Times New Roman" w:hAnsi="Times New Roman"/>
        </w:rPr>
        <w:lastRenderedPageBreak/>
        <w:t xml:space="preserve">I.2. 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numPr>
          <w:ilvl w:val="1"/>
          <w:numId w:val="7"/>
        </w:numPr>
        <w:tabs>
          <w:tab w:val="left" w:pos="530"/>
        </w:tabs>
        <w:ind w:left="530" w:hanging="529"/>
      </w:pPr>
      <w:bookmarkStart w:id="31" w:name="_Toc237344314"/>
      <w:bookmarkStart w:id="32" w:name="_Toc237349246"/>
      <w:r>
        <w:rPr>
          <w:rFonts w:ascii="Times New Roman" w:hAnsi="Times New Roman"/>
          <w:spacing w:val="-2"/>
        </w:rPr>
        <w:lastRenderedPageBreak/>
        <w:t xml:space="preserve">I.3. 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numPr>
          <w:ilvl w:val="1"/>
          <w:numId w:val="7"/>
        </w:numPr>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 xml:space="preserve">I.4. 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numPr>
          <w:ilvl w:val="2"/>
          <w:numId w:val="7"/>
        </w:numPr>
        <w:tabs>
          <w:tab w:val="left" w:pos="695"/>
        </w:tabs>
        <w:spacing w:before="280"/>
        <w:ind w:left="695" w:hanging="694"/>
      </w:pPr>
      <w:bookmarkStart w:id="36" w:name="I.4.1._Objectifs_généraux"/>
      <w:bookmarkEnd w:id="36"/>
      <w:r>
        <w:rPr>
          <w:rFonts w:ascii="Times New Roman" w:hAnsi="Times New Roman"/>
        </w:rPr>
        <w:t xml:space="preserve">I.4.1. 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numPr>
          <w:ilvl w:val="2"/>
          <w:numId w:val="7"/>
        </w:numPr>
        <w:tabs>
          <w:tab w:val="left" w:pos="695"/>
        </w:tabs>
        <w:ind w:left="695" w:hanging="694"/>
      </w:pPr>
      <w:bookmarkStart w:id="37" w:name="I.4.2._Objectifs_par_espace_utilisateur"/>
      <w:bookmarkEnd w:id="37"/>
      <w:r>
        <w:rPr>
          <w:rFonts w:ascii="Times New Roman" w:hAnsi="Times New Roman"/>
        </w:rPr>
        <w:t xml:space="preserve">I.4.2. 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 xml:space="preserve">I.4.2.1. 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 xml:space="preserve">I.4.2.2. 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 xml:space="preserve">I.4.2.3. 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 xml:space="preserve">I.4.2.4. 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numPr>
          <w:ilvl w:val="1"/>
          <w:numId w:val="7"/>
        </w:numPr>
        <w:tabs>
          <w:tab w:val="left" w:pos="530"/>
        </w:tabs>
        <w:ind w:left="530" w:hanging="529"/>
      </w:pPr>
      <w:bookmarkStart w:id="38" w:name="I.5._Les_contraintes"/>
      <w:bookmarkStart w:id="39" w:name="_Toc237344316"/>
      <w:bookmarkStart w:id="40" w:name="_Toc237349248"/>
      <w:bookmarkEnd w:id="38"/>
      <w:r>
        <w:rPr>
          <w:rFonts w:ascii="Times New Roman" w:hAnsi="Times New Roman"/>
        </w:rPr>
        <w:t xml:space="preserve">I.5. 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numPr>
          <w:ilvl w:val="2"/>
          <w:numId w:val="7"/>
        </w:numPr>
        <w:tabs>
          <w:tab w:val="left" w:pos="695"/>
        </w:tabs>
        <w:spacing w:before="280"/>
        <w:ind w:left="695" w:hanging="694"/>
      </w:pPr>
      <w:bookmarkStart w:id="41" w:name="I.5.1._Contraintes_techniques"/>
      <w:bookmarkEnd w:id="41"/>
      <w:r>
        <w:rPr>
          <w:rFonts w:ascii="Times New Roman" w:hAnsi="Times New Roman"/>
        </w:rPr>
        <w:t xml:space="preserve">I.5.1. 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numPr>
          <w:ilvl w:val="2"/>
          <w:numId w:val="7"/>
        </w:numPr>
        <w:tabs>
          <w:tab w:val="left" w:pos="695"/>
        </w:tabs>
        <w:ind w:left="695" w:hanging="694"/>
      </w:pPr>
      <w:r>
        <w:rPr>
          <w:rFonts w:ascii="Times New Roman" w:hAnsi="Times New Roman"/>
        </w:rPr>
        <w:lastRenderedPageBreak/>
        <w:t xml:space="preserve">I.5.2. 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numPr>
          <w:ilvl w:val="2"/>
          <w:numId w:val="7"/>
        </w:numPr>
        <w:tabs>
          <w:tab w:val="left" w:pos="695"/>
        </w:tabs>
        <w:ind w:left="695" w:hanging="694"/>
      </w:pPr>
      <w:bookmarkStart w:id="42" w:name="I.5.3._Contraintes_de_sécurité"/>
      <w:bookmarkEnd w:id="42"/>
      <w:r>
        <w:rPr>
          <w:rFonts w:ascii="Times New Roman" w:hAnsi="Times New Roman"/>
        </w:rPr>
        <w:t xml:space="preserve">I.5.3. 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numPr>
          <w:ilvl w:val="1"/>
          <w:numId w:val="7"/>
        </w:numPr>
        <w:tabs>
          <w:tab w:val="left" w:pos="530"/>
        </w:tabs>
        <w:ind w:left="530" w:hanging="529"/>
      </w:pPr>
      <w:bookmarkStart w:id="44" w:name="_Toc237344317"/>
      <w:bookmarkStart w:id="45" w:name="_Toc237349249"/>
      <w:r w:rsidRPr="00224CEA">
        <w:rPr>
          <w:rFonts w:ascii="Times New Roman" w:hAnsi="Times New Roman"/>
        </w:rPr>
        <w:lastRenderedPageBreak/>
        <w:t xml:space="preserve">I.6. 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 xml:space="preserve">II.1. Méthodologie d'analyse</w:t>
      </w:r>
      <w:r w:rsidR="009224A1">
        <w:rPr>
          <w:rFonts w:ascii="Times New Roman" w:hAnsi="Times New Roman" w:cs="Times New Roman"/>
          <w:sz w:val="28"/>
          <w:szCs w:val="28"/>
        </w:rPr>
        <w:t> :</w:t>
      </w:r>
      <w:bookmarkEnd w:id="50"/>
      <w:bookmarkEnd w:id="51"/>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 xml:space="preserve">II.2. Identification des acteurs</w:t>
      </w:r>
      <w:r w:rsidR="009224A1">
        <w:rPr>
          <w:rFonts w:ascii="Times New Roman" w:hAnsi="Times New Roman"/>
        </w:rPr>
        <w:t> :</w:t>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 xml:space="preserve">II.3. Les besoins fonctionnels</w:t>
      </w:r>
      <w:r w:rsidR="009224A1">
        <w:rPr>
          <w:rFonts w:ascii="Times New Roman" w:hAnsi="Times New Roman"/>
        </w:rPr>
        <w:t> :</w:t>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 xml:space="preserve">II.3.1. 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lastRenderedPageBreak/>
        <w:t xml:space="preserve">II.3.2. 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 xml:space="preserve">II.3.3. 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 xml:space="preserve">II.3.4. 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 xml:space="preserve">II.4. 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lastRenderedPageBreak/>
        <w:t xml:space="preserve">II.5. 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0" w:name="_Toc237344325"/>
      <w:bookmarkStart w:id="61" w:name="_Toc237349257"/>
      <w:r>
        <w:rPr>
          <w:rFonts w:ascii="Times New Roman" w:hAnsi="Times New Roman"/>
        </w:rPr>
        <w:lastRenderedPageBreak/>
        <w:t xml:space="preserve">II.6. 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 xml:space="preserve">II.7. 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 xml:space="preserve">II.7.1. 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 xml:space="preserve">II.7.2. 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 xml:space="preserve">II.7.3. 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spacing w:before="360" w:after="200"/>
      </w:pPr>
      <w:r>
        <w:rPr>
          <w:b/>
          <w:bCs/>
          <w:color w:val="003CA4"/>
          <w:sz w:val="28"/>
          <w:szCs w:val="28"/>
        </w:rPr>
        <w:lastRenderedPageBreak/>
        <w:t>III.2.2. Maquettes de l'application Web</w:t>
      </w:r>
    </w:p>
    <w:p w14:paraId="1AC89EA8" w14:textId="77777777" w:rsidR="00E32B84" w:rsidRDefault="003F7927">
      <w:pPr>
        <w:spacing w:after="120"/>
        <w:ind w:firstLine="709"/>
        <w:jc w:val="both"/>
      </w:pPr>
      <w:r>
        <w:rPr>
          <w:b/>
          <w:bCs/>
          <w:color w:val="003CA4"/>
        </w:rPr>
        <w:t>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spacing w:after="120"/>
        <w:ind w:firstLine="709"/>
        <w:jc w:val="both"/>
      </w:pPr>
      <w:r>
        <w:rPr>
          <w:b/>
          <w:bCs/>
          <w:color w:val="003CA4"/>
        </w:rPr>
        <w:lastRenderedPageBreak/>
        <w:t>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spacing w:after="120"/>
        <w:ind w:firstLine="709"/>
        <w:jc w:val="both"/>
      </w:pPr>
      <w:r>
        <w:rPr>
          <w:b/>
          <w:bCs/>
          <w:color w:val="003CA4"/>
        </w:rPr>
        <w:lastRenderedPageBreak/>
        <w:t>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spacing w:after="120"/>
        <w:ind w:firstLine="709"/>
        <w:jc w:val="both"/>
      </w:pPr>
      <w:r>
        <w:rPr>
          <w:b/>
          <w:bCs/>
          <w:color w:val="003CA4"/>
        </w:rPr>
        <w:lastRenderedPageBreak/>
        <w:t>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spacing w:after="120"/>
        <w:ind w:firstLine="709"/>
        <w:jc w:val="both"/>
      </w:pPr>
      <w:r>
        <w:rPr>
          <w:b/>
          <w:bCs/>
          <w:color w:val="003CA4"/>
        </w:rPr>
        <w:lastRenderedPageBreak/>
        <w:t>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spacing w:after="120"/>
        <w:ind w:firstLine="709"/>
        <w:jc w:val="both"/>
      </w:pPr>
      <w:r>
        <w:rPr>
          <w:b/>
          <w:bCs/>
          <w:color w:val="003CA4"/>
        </w:rPr>
        <w:lastRenderedPageBreak/>
        <w:t>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spacing w:after="120"/>
        <w:ind w:firstLine="709"/>
        <w:jc w:val="both"/>
      </w:pPr>
      <w:r>
        <w:rPr>
          <w:b/>
          <w:bCs/>
          <w:color w:val="003CA4"/>
        </w:rPr>
        <w:lastRenderedPageBreak/>
        <w:t>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spacing w:after="120"/>
        <w:ind w:firstLine="709"/>
        <w:jc w:val="both"/>
      </w:pPr>
      <w:r>
        <w:rPr>
          <w:b/>
          <w:bCs/>
          <w:color w:val="003CA4"/>
        </w:rPr>
        <w:lastRenderedPageBreak/>
        <w:t>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spacing w:after="120"/>
        <w:ind w:firstLine="709"/>
        <w:jc w:val="both"/>
      </w:pPr>
      <w:r>
        <w:rPr>
          <w:b/>
          <w:bCs/>
          <w:color w:val="003CA4"/>
        </w:rPr>
        <w:lastRenderedPageBreak/>
        <w:t>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spacing w:after="120"/>
        <w:ind w:firstLine="709"/>
        <w:jc w:val="both"/>
      </w:pPr>
      <w:r>
        <w:rPr>
          <w:b/>
          <w:bCs/>
          <w:color w:val="003CA4"/>
        </w:rPr>
        <w:lastRenderedPageBreak/>
        <w:t>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spacing w:after="120"/>
        <w:ind w:firstLine="709"/>
        <w:jc w:val="both"/>
      </w:pPr>
      <w:r>
        <w:rPr>
          <w:b/>
          <w:bCs/>
          <w:color w:val="003CA4"/>
        </w:rPr>
        <w:lastRenderedPageBreak/>
        <w:t>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spacing w:after="120"/>
        <w:ind w:firstLine="709"/>
        <w:jc w:val="both"/>
      </w:pPr>
      <w:r>
        <w:rPr>
          <w:b/>
          <w:bCs/>
          <w:color w:val="003CA4"/>
        </w:rPr>
        <w:lastRenderedPageBreak/>
        <w:t>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spacing w:after="120"/>
        <w:ind w:firstLine="709"/>
        <w:jc w:val="both"/>
      </w:pPr>
      <w:r>
        <w:rPr>
          <w:b/>
          <w:bCs/>
          <w:color w:val="003CA4"/>
        </w:rPr>
        <w:lastRenderedPageBreak/>
        <w:t>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spacing w:after="120"/>
        <w:ind w:firstLine="709"/>
        <w:jc w:val="both"/>
      </w:pPr>
      <w:r>
        <w:rPr>
          <w:b/>
          <w:bCs/>
          <w:color w:val="003CA4"/>
        </w:rPr>
        <w:lastRenderedPageBreak/>
        <w:t>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163540AB" w14:textId="77777777" w:rsidR="001504E2" w:rsidRDefault="001504E2"/>
    <w:p w14:paraId="00ED289A" w14:textId="63B79E00" w:rsidR="003C1844" w:rsidRDefault="0051547D">
      <w:pPr>
        <w:pStyle w:val="Titre3"/>
      </w:pPr>
      <w:bookmarkStart w:id="66" w:name="_Toc237344328"/>
      <w:bookmarkStart w:id="67" w:name="_Toc237349260"/>
      <w:r>
        <w:lastRenderedPageBreak/>
        <w:t>III.4.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lastRenderedPageBreak/>
        <w:t>III.5.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IV.1. 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 xml:space="preserve">IV.1.1. 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 xml:space="preserve">IV.1.2. 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 xml:space="preserve">IV.1.3. 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 xml:space="preserve">IV.1.4. 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 xml:space="preserve">IV.1.5. 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 xml:space="preserve">IV.1.6. 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 xml:space="preserve">IV.1.7. 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 xml:space="preserve">IV.1.8. 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 xml:space="preserve">IV.1.9. 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 xml:space="preserve">IV.1.10. 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 xml:space="preserve">IV.1.11. 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 xml:space="preserve">IV.1.12. 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 xml:space="preserve">IV.2. Architecture du projet</w:t>
      </w:r>
      <w:bookmarkEnd w:id="76"/>
      <w:bookmarkEnd w:id="77"/>
    </w:p>
    <w:p w14:paraId="37FD980C" w14:textId="77777777" w:rsidR="00E32B84" w:rsidRDefault="003F7927">
      <w:pPr>
        <w:pStyle w:val="Titre3"/>
      </w:pPr>
      <w:bookmarkStart w:id="78" w:name="_Toc237344334"/>
      <w:bookmarkStart w:id="79" w:name="_Toc237349266"/>
      <w:r>
        <w:rPr>
          <w:rFonts w:ascii="Times New Roman" w:hAnsi="Times New Roman"/>
        </w:rPr>
        <w:t xml:space="preserve">IV.3. Logiciels utilisés</w:t>
      </w:r>
      <w:bookmarkEnd w:id="78"/>
      <w:bookmarkEnd w:id="79"/>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0" w:name="_Toc237344335"/>
      <w:bookmarkStart w:id="81" w:name="_Toc237349267"/>
      <w:r>
        <w:rPr>
          <w:rFonts w:ascii="Times New Roman" w:hAnsi="Times New Roman"/>
        </w:rPr>
        <w:t xml:space="preserve">IV.4. 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 xml:space="preserve">IV.5. Les tests</w:t>
      </w:r>
      <w:bookmarkEnd w:id="82"/>
      <w:bookmarkEnd w:id="83"/>
    </w:p>
    <w:p w14:paraId="09265643" w14:textId="77777777" w:rsidR="00E32B84" w:rsidRDefault="003F7927">
      <w:pPr>
        <w:pStyle w:val="Titre4"/>
      </w:pPr>
      <w:r>
        <w:rPr>
          <w:rFonts w:ascii="Times New Roman" w:hAnsi="Times New Roman"/>
        </w:rPr>
        <w:t xml:space="preserve">IV.5.1. 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 xml:space="preserve">IV.5.2. 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 xml:space="preserve">IV.5.3. 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51547D">
      <w:pPr>
        <w:pStyle w:val="Titre4"/>
      </w:pPr>
      <w:r>
        <w:lastRenderedPageBreak/>
        <w:t xml:space="preserve">IV.5.4. 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51547D">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w:t>
      </w:r>
      <w:proofErr w:type="spellStart"/>
      <w:r>
        <w:rPr>
          <w:sz w:val="22"/>
        </w:rPr>
        <w:t>Dart</w:t>
      </w:r>
      <w:proofErr w:type="spellEnd"/>
      <w:r>
        <w:rPr>
          <w:sz w:val="22"/>
        </w:rPr>
        <w:t>) de Google.</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14:paraId="3CCA2F08" w14:textId="77777777" w:rsidR="003C1844" w:rsidRDefault="0051547D">
      <w:pPr>
        <w:jc w:val="center"/>
      </w:pPr>
      <w:r>
        <w:rPr>
          <w:i/>
          <w:color w:val="003CA4"/>
          <w:sz w:val="20"/>
        </w:rPr>
        <w:t>Figure N°44 : Notifications</w:t>
      </w:r>
    </w:p>
    <w:p w14:paraId="337B0B5E" w14:textId="77777777" w:rsidR="003C1844" w:rsidRDefault="003C1844"/>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