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numPr>
          <w:ilvl w:val="1"/>
          <w:numId w:val="7"/>
        </w:numPr>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numPr>
          <w:ilvl w:val="2"/>
          <w:numId w:val="7"/>
        </w:numPr>
        <w:tabs>
          <w:tab w:val="left" w:pos="695"/>
        </w:tabs>
        <w:spacing w:before="280"/>
        <w:ind w:left="695" w:hanging="694"/>
      </w:pPr>
      <w:bookmarkStart w:id="21" w:name="I.1.1._Présentation_d'Algérie_Télécom"/>
      <w:bookmarkEnd w:id="21"/>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numPr>
          <w:ilvl w:val="2"/>
          <w:numId w:val="7"/>
        </w:numPr>
        <w:tabs>
          <w:tab w:val="left" w:pos="695"/>
        </w:tabs>
        <w:spacing w:before="1"/>
        <w:ind w:left="695" w:hanging="694"/>
      </w:pPr>
      <w:bookmarkStart w:id="22" w:name="I.1.2._Fiche_technique_d'Algérie_Télécom"/>
      <w:bookmarkEnd w:id="22"/>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numPr>
          <w:ilvl w:val="2"/>
          <w:numId w:val="7"/>
        </w:numPr>
        <w:tabs>
          <w:tab w:val="left" w:pos="695"/>
        </w:tabs>
        <w:spacing w:before="1"/>
        <w:ind w:left="695" w:hanging="694"/>
      </w:pPr>
      <w:bookmarkStart w:id="23" w:name="I.1.3._Missions_et_objectifs_d'Algérie_T"/>
      <w:bookmarkEnd w:id="23"/>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numPr>
          <w:ilvl w:val="3"/>
          <w:numId w:val="7"/>
        </w:numPr>
        <w:tabs>
          <w:tab w:val="left" w:pos="793"/>
        </w:tabs>
        <w:spacing w:before="219"/>
        <w:ind w:left="793" w:hanging="792"/>
      </w:pPr>
      <w:bookmarkStart w:id="24" w:name="I.1.3.1._Activité_principale"/>
      <w:bookmarkEnd w:id="24"/>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numPr>
          <w:ilvl w:val="3"/>
          <w:numId w:val="7"/>
        </w:numPr>
        <w:tabs>
          <w:tab w:val="left" w:pos="793"/>
        </w:tabs>
        <w:spacing w:before="221"/>
        <w:ind w:left="793" w:hanging="792"/>
      </w:pPr>
      <w:bookmarkStart w:id="25" w:name="I.1.3.2._Objectifs_stratégiques"/>
      <w:bookmarkEnd w:id="25"/>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numPr>
          <w:ilvl w:val="3"/>
          <w:numId w:val="7"/>
        </w:numPr>
        <w:tabs>
          <w:tab w:val="left" w:pos="793"/>
        </w:tabs>
        <w:spacing w:before="221"/>
        <w:ind w:left="793" w:hanging="792"/>
      </w:pPr>
      <w:bookmarkStart w:id="27" w:name="I.1.5.1._Missions_de_la_DSI"/>
      <w:bookmarkEnd w:id="27"/>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numPr>
          <w:ilvl w:val="1"/>
          <w:numId w:val="7"/>
        </w:numPr>
        <w:tabs>
          <w:tab w:val="left" w:pos="530"/>
        </w:tabs>
        <w:ind w:left="530" w:hanging="529"/>
      </w:pPr>
      <w:bookmarkStart w:id="28" w:name="_Toc237344313"/>
      <w:bookmarkStart w:id="29" w:name="_Toc237349245"/>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numPr>
          <w:ilvl w:val="1"/>
          <w:numId w:val="7"/>
        </w:numPr>
        <w:tabs>
          <w:tab w:val="left" w:pos="530"/>
        </w:tabs>
        <w:ind w:left="530" w:hanging="529"/>
      </w:pPr>
      <w:bookmarkStart w:id="31" w:name="_Toc237344314"/>
      <w:bookmarkStart w:id="32" w:name="_Toc237349246"/>
      <w:r>
        <w:rPr>
          <w:rFonts w:ascii="Times New Roman" w:hAnsi="Times New Roman"/>
          <w:spacing w:val="-2"/>
        </w:rPr>
        <w:lastRenderedPageBreak/>
        <w:t>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numPr>
          <w:ilvl w:val="1"/>
          <w:numId w:val="7"/>
        </w:numPr>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numPr>
          <w:ilvl w:val="2"/>
          <w:numId w:val="7"/>
        </w:numPr>
        <w:tabs>
          <w:tab w:val="left" w:pos="695"/>
        </w:tabs>
        <w:spacing w:before="280"/>
        <w:ind w:left="695" w:hanging="694"/>
      </w:pPr>
      <w:bookmarkStart w:id="36" w:name="I.4.1._Objectifs_généraux"/>
      <w:bookmarkEnd w:id="36"/>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numPr>
          <w:ilvl w:val="2"/>
          <w:numId w:val="7"/>
        </w:numPr>
        <w:tabs>
          <w:tab w:val="left" w:pos="695"/>
        </w:tabs>
        <w:ind w:left="695" w:hanging="694"/>
      </w:pPr>
      <w:bookmarkStart w:id="37" w:name="I.4.2._Objectifs_par_espace_utilisateur"/>
      <w:bookmarkEnd w:id="37"/>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numPr>
          <w:ilvl w:val="1"/>
          <w:numId w:val="7"/>
        </w:numPr>
        <w:tabs>
          <w:tab w:val="left" w:pos="530"/>
        </w:tabs>
        <w:ind w:left="530" w:hanging="529"/>
      </w:pPr>
      <w:bookmarkStart w:id="38" w:name="I.5._Les_contraintes"/>
      <w:bookmarkStart w:id="39" w:name="_Toc237344316"/>
      <w:bookmarkStart w:id="40" w:name="_Toc237349248"/>
      <w:bookmarkEnd w:id="38"/>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numPr>
          <w:ilvl w:val="2"/>
          <w:numId w:val="7"/>
        </w:numPr>
        <w:tabs>
          <w:tab w:val="left" w:pos="695"/>
        </w:tabs>
        <w:spacing w:before="280"/>
        <w:ind w:left="695" w:hanging="694"/>
      </w:pPr>
      <w:bookmarkStart w:id="41" w:name="I.5.1._Contraintes_techniques"/>
      <w:bookmarkEnd w:id="41"/>
      <w:r>
        <w:rPr>
          <w:rFonts w:ascii="Times New Roman" w:hAnsi="Times New Roman"/>
        </w:rPr>
        <w:t>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numPr>
          <w:ilvl w:val="2"/>
          <w:numId w:val="7"/>
        </w:numPr>
        <w:tabs>
          <w:tab w:val="left" w:pos="695"/>
        </w:tabs>
        <w:ind w:left="695" w:hanging="694"/>
      </w:pPr>
      <w:bookmarkStart w:id="42" w:name="I.5.3._Contraintes_de_sécurité"/>
      <w:bookmarkEnd w:id="42"/>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numPr>
          <w:ilvl w:val="1"/>
          <w:numId w:val="7"/>
        </w:numPr>
        <w:tabs>
          <w:tab w:val="left" w:pos="530"/>
        </w:tabs>
        <w:ind w:left="530" w:hanging="529"/>
      </w:pPr>
      <w:bookmarkStart w:id="44" w:name="_Toc237344317"/>
      <w:bookmarkStart w:id="45" w:name="_Toc237349249"/>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Les tests</w:t>
      </w:r>
      <w:bookmarkEnd w:id="82"/>
      <w:bookmarkEnd w:id="83"/>
    </w:p>
    <w:p w14:paraId="09265643" w14:textId="77777777" w:rsidR="00E32B84" w:rsidRDefault="003F7927">
      <w:pPr>
        <w:pStyle w:val="Titre4"/>
      </w:pPr>
      <w:r>
        <w:rPr>
          <w:rFonts w:ascii="Times New Roman" w:hAnsi="Times New Roman"/>
        </w:rPr>
        <w:t>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51547D">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w:t>
      </w:r>
      <w:proofErr w:type="spellStart"/>
      <w:r>
        <w:rPr>
          <w:sz w:val="22"/>
        </w:rPr>
        <w:t>Dart</w:t>
      </w:r>
      <w:proofErr w:type="spellEnd"/>
      <w:r>
        <w:rPr>
          <w:sz w:val="22"/>
        </w:rPr>
        <w:t>) de Google.</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