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 xml:space="preserve">II.2. 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 xml:space="preserve">II.3. 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 xml:space="preserve">II.3.1.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 xml:space="preserve">II.3.2.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 xml:space="preserve">II.3.3.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 xml:space="preserve">II.3.4.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 xml:space="preserve">II.4.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 xml:space="preserve">II.5.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 xml:space="preserve">II.6.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Style w:val="Titre2"/>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pStyle w:val="Titre3"/>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pStyle w:val="Titre4"/>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pStyle w:val="Titre4"/>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pStyle w:val="Titre4"/>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pStyle w:val="Titre4"/>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pPr>
        <w:pStyle w:val="Titre3"/>
      </w:pPr>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pStyle w:val="Titre4"/>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pStyle w:val="Titre4"/>
        <w:spacing w:before="360" w:after="200"/>
      </w:pPr>
      <w:r>
        <w:rPr>
          <w:b/>
          <w:bCs/>
          <w:color w:val="003CA4"/>
          <w:sz w:val="28"/>
          <w:szCs w:val="28"/>
        </w:rPr>
        <w:lastRenderedPageBreak/>
        <w:t>III.2.2. Maquettes de l'application Web</w:t>
      </w:r>
    </w:p>
    <w:p w14:paraId="1AC89EA8" w14:textId="77777777" w:rsidR="00E32B84" w:rsidRDefault="003F7927">
      <w:pPr>
        <w:pStyle w:val="Titre5"/>
        <w:spacing w:after="120"/>
        <w:ind w:firstLine="709"/>
        <w:jc w:val="both"/>
      </w:pPr>
      <w:r>
        <w:rPr>
          <w:b/>
          <w:bCs/>
          <w:color w:val="003CA4"/>
        </w:rPr>
        <w:t>III.2.2.1. 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pStyle w:val="Titre5"/>
        <w:spacing w:after="120"/>
        <w:ind w:firstLine="709"/>
        <w:jc w:val="both"/>
      </w:pPr>
      <w:r>
        <w:rPr>
          <w:b/>
          <w:bCs/>
          <w:color w:val="003CA4"/>
        </w:rPr>
        <w:t>III.2.2.2. 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pStyle w:val="Titre5"/>
        <w:spacing w:after="120"/>
        <w:ind w:firstLine="709"/>
        <w:jc w:val="both"/>
      </w:pPr>
      <w:r>
        <w:rPr>
          <w:b/>
          <w:bCs/>
          <w:color w:val="003CA4"/>
        </w:rPr>
        <w:t>III.2.2.3. 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pStyle w:val="Titre5"/>
        <w:spacing w:after="120"/>
        <w:ind w:firstLine="709"/>
        <w:jc w:val="both"/>
      </w:pPr>
      <w:r>
        <w:rPr>
          <w:b/>
          <w:bCs/>
          <w:color w:val="003CA4"/>
        </w:rPr>
        <w:t>III.2.2.4. 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pStyle w:val="Titre5"/>
        <w:spacing w:after="120"/>
        <w:ind w:firstLine="709"/>
        <w:jc w:val="both"/>
      </w:pPr>
      <w:r>
        <w:rPr>
          <w:b/>
          <w:bCs/>
          <w:color w:val="003CA4"/>
        </w:rPr>
        <w:t>III.2.2.5. 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pStyle w:val="Titre5"/>
        <w:spacing w:after="120"/>
        <w:ind w:firstLine="709"/>
        <w:jc w:val="both"/>
      </w:pPr>
      <w:r>
        <w:rPr>
          <w:b/>
          <w:bCs/>
          <w:color w:val="003CA4"/>
        </w:rPr>
        <w:t>III.2.2.6. 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pStyle w:val="Titre5"/>
        <w:spacing w:after="120"/>
        <w:ind w:firstLine="709"/>
        <w:jc w:val="both"/>
      </w:pPr>
      <w:r>
        <w:rPr>
          <w:b/>
          <w:bCs/>
          <w:color w:val="003CA4"/>
        </w:rPr>
        <w:t>III.2.2.7. 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pStyle w:val="Titre5"/>
        <w:spacing w:after="120"/>
        <w:ind w:firstLine="709"/>
        <w:jc w:val="both"/>
      </w:pPr>
      <w:r>
        <w:rPr>
          <w:b/>
          <w:bCs/>
          <w:color w:val="003CA4"/>
        </w:rPr>
        <w:t>III.2.2.8. 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pStyle w:val="Titre5"/>
        <w:spacing w:after="120"/>
        <w:ind w:firstLine="709"/>
        <w:jc w:val="both"/>
      </w:pPr>
      <w:r>
        <w:rPr>
          <w:b/>
          <w:bCs/>
          <w:color w:val="003CA4"/>
        </w:rPr>
        <w:t>III.2.2.9. 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pStyle w:val="Titre5"/>
        <w:spacing w:after="120"/>
        <w:ind w:firstLine="709"/>
        <w:jc w:val="both"/>
      </w:pPr>
      <w:r>
        <w:rPr>
          <w:b/>
          <w:bCs/>
          <w:color w:val="003CA4"/>
        </w:rPr>
        <w:t>III.2.2.10. 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pStyle w:val="Titre5"/>
        <w:spacing w:after="120"/>
        <w:ind w:firstLine="709"/>
        <w:jc w:val="both"/>
      </w:pPr>
      <w:r>
        <w:rPr>
          <w:b/>
          <w:bCs/>
          <w:color w:val="003CA4"/>
        </w:rPr>
        <w:t>III.2.2.11. 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pStyle w:val="Titre5"/>
        <w:spacing w:after="120"/>
        <w:ind w:firstLine="709"/>
        <w:jc w:val="both"/>
      </w:pPr>
      <w:r>
        <w:rPr>
          <w:b/>
          <w:bCs/>
          <w:color w:val="003CA4"/>
        </w:rPr>
        <w:t>III.2.2.12. 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pStyle w:val="Titre5"/>
        <w:spacing w:after="120"/>
        <w:ind w:firstLine="709"/>
        <w:jc w:val="both"/>
      </w:pPr>
      <w:r>
        <w:rPr>
          <w:b/>
          <w:bCs/>
          <w:color w:val="003CA4"/>
        </w:rPr>
        <w:t>III.2.2.13. 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pStyle w:val="Titre5"/>
        <w:spacing w:after="120"/>
        <w:ind w:firstLine="709"/>
        <w:jc w:val="both"/>
      </w:pPr>
      <w:r>
        <w:rPr>
          <w:b/>
          <w:bCs/>
          <w:color w:val="003CA4"/>
        </w:rPr>
        <w:t>III.2.2.14. 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pPr>
        <w:pStyle w:val="Titre5"/>
      </w:pPr>
      <w:r>
        <w:t xml:space="preserve">III.2.2.15. Notifications :</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pPr>
        <w:pStyle w:val="Titre5"/>
      </w:pPr>
      <w:r>
        <w:t xml:space="preserve">III.2.2.16. Budgets :</w:t>
      </w:r>
    </w:p>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pPr>
        <w:pStyle w:val="Titre5"/>
      </w:pPr>
      <w:r>
        <w:t xml:space="preserve">III.2.2.17. Tableau de bord exécutif :</w:t>
      </w:r>
    </w:p>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pPr>
        <w:pStyle w:val="Titre4"/>
      </w:pPr>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pPr>
        <w:pStyle w:val="Titre3"/>
      </w:pPr>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pStyle w:val="Titre4"/>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pStyle w:val="Titre4"/>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51547D">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w:t>
      </w:r>
      <w:proofErr w:type="spellStart"/>
      <w:r>
        <w:rPr>
          <w:sz w:val="22"/>
        </w:rPr>
        <w:t>Dart</w:t>
      </w:r>
      <w:proofErr w:type="spellEnd"/>
      <w:r>
        <w:rPr>
          <w:sz w:val="22"/>
        </w:rPr>
        <w:t>) de Google.</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