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 xml:space="preserve">II.2. 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 xml:space="preserve">II.3. 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 xml:space="preserve">II.3.1.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 xml:space="preserve">II.3.2.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 xml:space="preserve">II.3.3.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 xml:space="preserve">II.3.4.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 xml:space="preserve">II.4.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 xml:space="preserve">II.5.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 xml:space="preserve">II.6.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pStyle w:val="Titre3"/>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pStyle w:val="Titre4"/>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pStyle w:val="Titre4"/>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pStyle w:val="Titre4"/>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pStyle w:val="Titre4"/>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pPr>
        <w:pStyle w:val="Titre3"/>
      </w:pPr>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pStyle w:val="Titre4"/>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pStyle w:val="Titre4"/>
        <w:spacing w:before="360" w:after="200"/>
      </w:pPr>
      <w:r>
        <w:rPr>
          <w:b/>
          <w:bCs/>
          <w:color w:val="003CA4"/>
          <w:sz w:val="28"/>
          <w:szCs w:val="28"/>
        </w:rPr>
        <w:lastRenderedPageBreak/>
        <w:t>III.2.2. Maquettes de l'application Web</w:t>
      </w:r>
    </w:p>
    <w:p w14:paraId="1AC89EA8" w14:textId="77777777" w:rsidR="00E32B84" w:rsidRDefault="003F7927">
      <w:pPr>
        <w:pStyle w:val="Titre5"/>
        <w:spacing w:after="120"/>
        <w:ind w:firstLine="709"/>
        <w:jc w:val="both"/>
      </w:pPr>
      <w:r>
        <w:rPr>
          <w:b/>
          <w:bCs/>
          <w:color w:val="003CA4"/>
        </w:rPr>
        <w:t>III.2.2.1. 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pStyle w:val="Titre5"/>
        <w:spacing w:after="120"/>
        <w:ind w:firstLine="709"/>
        <w:jc w:val="both"/>
      </w:pPr>
      <w:r>
        <w:rPr>
          <w:b/>
          <w:bCs/>
          <w:color w:val="003CA4"/>
        </w:rPr>
        <w:t>III.2.2.2. 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pStyle w:val="Titre5"/>
        <w:spacing w:after="120"/>
        <w:ind w:firstLine="709"/>
        <w:jc w:val="both"/>
      </w:pPr>
      <w:r>
        <w:rPr>
          <w:b/>
          <w:bCs/>
          <w:color w:val="003CA4"/>
        </w:rPr>
        <w:t>III.2.2.3. 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pStyle w:val="Titre5"/>
        <w:spacing w:after="120"/>
        <w:ind w:firstLine="709"/>
        <w:jc w:val="both"/>
      </w:pPr>
      <w:r>
        <w:rPr>
          <w:b/>
          <w:bCs/>
          <w:color w:val="003CA4"/>
        </w:rPr>
        <w:t>III.2.2.4. 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pStyle w:val="Titre5"/>
        <w:spacing w:after="120"/>
        <w:ind w:firstLine="709"/>
        <w:jc w:val="both"/>
      </w:pPr>
      <w:r>
        <w:rPr>
          <w:b/>
          <w:bCs/>
          <w:color w:val="003CA4"/>
        </w:rPr>
        <w:t>III.2.2.5. 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pStyle w:val="Titre5"/>
        <w:spacing w:after="120"/>
        <w:ind w:firstLine="709"/>
        <w:jc w:val="both"/>
      </w:pPr>
      <w:r>
        <w:rPr>
          <w:b/>
          <w:bCs/>
          <w:color w:val="003CA4"/>
        </w:rPr>
        <w:t>III.2.2.6. 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pStyle w:val="Titre5"/>
        <w:spacing w:after="120"/>
        <w:ind w:firstLine="709"/>
        <w:jc w:val="both"/>
      </w:pPr>
      <w:r>
        <w:rPr>
          <w:b/>
          <w:bCs/>
          <w:color w:val="003CA4"/>
        </w:rPr>
        <w:t>III.2.2.7. 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pStyle w:val="Titre5"/>
        <w:spacing w:after="120"/>
        <w:ind w:firstLine="709"/>
        <w:jc w:val="both"/>
      </w:pPr>
      <w:r>
        <w:rPr>
          <w:b/>
          <w:bCs/>
          <w:color w:val="003CA4"/>
        </w:rPr>
        <w:t>III.2.2.8. 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pStyle w:val="Titre5"/>
        <w:spacing w:after="120"/>
        <w:ind w:firstLine="709"/>
        <w:jc w:val="both"/>
      </w:pPr>
      <w:r>
        <w:rPr>
          <w:b/>
          <w:bCs/>
          <w:color w:val="003CA4"/>
        </w:rPr>
        <w:t>III.2.2.9. 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pStyle w:val="Titre5"/>
        <w:spacing w:after="120"/>
        <w:ind w:firstLine="709"/>
        <w:jc w:val="both"/>
      </w:pPr>
      <w:r>
        <w:rPr>
          <w:b/>
          <w:bCs/>
          <w:color w:val="003CA4"/>
        </w:rPr>
        <w:t>III.2.2.10. 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pStyle w:val="Titre5"/>
        <w:spacing w:after="120"/>
        <w:ind w:firstLine="709"/>
        <w:jc w:val="both"/>
      </w:pPr>
      <w:r>
        <w:rPr>
          <w:b/>
          <w:bCs/>
          <w:color w:val="003CA4"/>
        </w:rPr>
        <w:t>III.2.2.11. 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pStyle w:val="Titre5"/>
        <w:spacing w:after="120"/>
        <w:ind w:firstLine="709"/>
        <w:jc w:val="both"/>
      </w:pPr>
      <w:r>
        <w:rPr>
          <w:b/>
          <w:bCs/>
          <w:color w:val="003CA4"/>
        </w:rPr>
        <w:t>III.2.2.12. 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pStyle w:val="Titre5"/>
        <w:spacing w:after="120"/>
        <w:ind w:firstLine="709"/>
        <w:jc w:val="both"/>
      </w:pPr>
      <w:r>
        <w:rPr>
          <w:b/>
          <w:bCs/>
          <w:color w:val="003CA4"/>
        </w:rPr>
        <w:t>III.2.2.13. 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pStyle w:val="Titre5"/>
        <w:spacing w:after="120"/>
        <w:ind w:firstLine="709"/>
        <w:jc w:val="both"/>
      </w:pPr>
      <w:r>
        <w:rPr>
          <w:b/>
          <w:bCs/>
          <w:color w:val="003CA4"/>
        </w:rPr>
        <w:t>III.2.2.14. 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pPr>
        <w:pStyle w:val="Titre5"/>
      </w:pPr>
      <w:r>
        <w:t xml:space="preserve">III.2.2.15. Notifications :</w:t>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pPr>
        <w:pStyle w:val="Titre5"/>
      </w:pPr>
      <w:r>
        <w:t xml:space="preserve">III.2.2.16. Budgets :</w:t>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pPr>
        <w:pStyle w:val="Titre5"/>
      </w:pPr>
      <w:r>
        <w:t xml:space="preserve">III.2.2.17. Tableau de bord exécutif :</w:t>
      </w:r>
    </w:p>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pPr>
        <w:pStyle w:val="Titre4"/>
      </w:pPr>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pPr>
        <w:pStyle w:val="Titre3"/>
      </w:pPr>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pStyle w:val="Titre4"/>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pStyle w:val="Titre4"/>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pPr>
        <w:pStyle w:val="Titre3"/>
      </w:pPr>
      <w:r>
        <w:t xml:space="preserve">IV.6. Résultats des tests automatisés</w:t>
      </w:r>
    </w:p>
    <w:p>
      <w:pPr>
        <w:pStyle w:val="Normal"/>
      </w:pPr>
      <w:r>
        <w:t xml:space="preserve">La capture ci-dessous présente le résultat de l’exécution des tests automatisés Playwright dans le terminal. Elle atteste de la réussite de 43/43 tests, confirmant la robustesse et la stabilité de l’application.</w:t>
      </w:r>
    </w:p>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pPr>
        <w:pStyle w:val="Titre3"/>
      </w:pPr>
      <w:r>
        <w:t xml:space="preserve">IV.7. Maquettes de l’application Mobile (Flutter)</w:t>
      </w:r>
    </w:p>
    <w:p>
      <w:pPr>
        <w:pStyle w:val="Normal"/>
      </w:pPr>
      <w:r>
        <w:t xml:space="preserve">Cette section présente les différentes interfaces de l’application mobile développée avec Flutter. L’application mobile offre aux utilisateurs un accès rapide et fluide aux fonctionnalités essentielles depuis leur smartphone.</w:t>
      </w:r>
    </w:p>
    <w:p>
      <w:pPr>
        <w:pStyle w:val="Titre4"/>
      </w:pPr>
      <w:r>
        <w:t xml:space="preserve">IV.7.1. Écran d’accueil (Onboarding)</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pPr>
        <w:pStyle w:val="Titre4"/>
      </w:pPr>
      <w:r>
        <w:t xml:space="preserve">IV.7.2. Page de connexion mobile</w:t>
      </w:r>
    </w:p>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pPr>
        <w:pStyle w:val="Titre4"/>
      </w:pPr>
      <w:r>
        <w:t xml:space="preserve">IV.7.3. Tableau de bord mobile</w:t>
      </w:r>
    </w:p>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pPr>
        <w:pStyle w:val="Titre4"/>
      </w:pPr>
      <w:r>
        <w:t xml:space="preserve">IV.7.4. Liste des missions</w:t>
      </w:r>
    </w:p>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pPr>
        <w:pStyle w:val="Titre4"/>
      </w:pPr>
      <w:r>
        <w:t xml:space="preserve">IV.7.5. Notifications mobile</w:t>
      </w:r>
    </w:p>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pPr>
        <w:pStyle w:val="Titre4"/>
      </w:pPr>
      <w:r>
        <w:t xml:space="preserve">IV.7.6. Profil utilisateur</w:t>
      </w:r>
    </w:p>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pPr>
        <w:pStyle w:val="Titre4"/>
      </w:pPr>
      <w:r>
        <w:t xml:space="preserve">IV.7.7. Création de mission — Étape 1 : Informations générales</w:t>
      </w:r>
    </w:p>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pPr>
        <w:pStyle w:val="Titre4"/>
      </w:pPr>
      <w:r>
        <w:t xml:space="preserve">IV.7.8. Création de mission — Étape 2 : Réservations</w:t>
      </w:r>
    </w:p>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pPr>
        <w:pStyle w:val="Titre4"/>
      </w:pPr>
      <w:r>
        <w:t xml:space="preserve">IV.7.9. Création de mission — Étape 3 : Documents justificatifs</w:t>
      </w:r>
    </w:p>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pPr>
        <w:pStyle w:val="Titre4"/>
      </w:pPr>
      <w:r>
        <w:t xml:space="preserve">IV.7.10. Création de mission — Étape 4 : Récapitulatif et confirmation</w:t>
      </w:r>
    </w:p>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