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A9AB" w14:textId="77777777" w:rsidR="00FB12E2" w:rsidRPr="00C90D38" w:rsidRDefault="00C03618" w:rsidP="00C86A19">
      <w:pPr>
        <w:rPr>
          <w:rFonts w:asciiTheme="minorHAnsi" w:hAnsiTheme="minorHAnsi" w:cstheme="minorHAnsi"/>
          <w:b/>
          <w:bCs/>
          <w:color w:val="00456B"/>
          <w:lang w:val="en-GB"/>
        </w:rPr>
      </w:pPr>
      <w:r w:rsidRPr="00C90D38">
        <w:rPr>
          <w:rFonts w:asciiTheme="minorHAnsi" w:hAnsiTheme="minorHAnsi" w:cstheme="minorHAnsi"/>
          <w:b/>
          <w:bCs/>
          <w:color w:val="00456B"/>
          <w:lang w:val="en-GB"/>
        </w:rPr>
        <w:t>Key F</w:t>
      </w:r>
      <w:r w:rsidR="0055245F" w:rsidRPr="00C90D38">
        <w:rPr>
          <w:rFonts w:asciiTheme="minorHAnsi" w:hAnsiTheme="minorHAnsi" w:cstheme="minorHAnsi"/>
          <w:b/>
          <w:bCs/>
          <w:color w:val="00456B"/>
          <w:lang w:val="en-GB"/>
        </w:rPr>
        <w:t xml:space="preserve">eatures </w:t>
      </w:r>
      <w:r w:rsidRPr="00C90D38">
        <w:rPr>
          <w:rFonts w:asciiTheme="minorHAnsi" w:hAnsiTheme="minorHAnsi" w:cstheme="minorHAnsi"/>
          <w:b/>
          <w:bCs/>
          <w:color w:val="00456B"/>
          <w:lang w:val="en-GB"/>
        </w:rPr>
        <w:t>and Requirements for</w:t>
      </w:r>
      <w:r w:rsidR="009F4E99" w:rsidRPr="00C90D38">
        <w:rPr>
          <w:rFonts w:asciiTheme="minorHAnsi" w:hAnsiTheme="minorHAnsi" w:cstheme="minorHAnsi"/>
          <w:b/>
          <w:bCs/>
          <w:color w:val="00456B"/>
          <w:lang w:val="en-GB"/>
        </w:rPr>
        <w:t xml:space="preserve"> your decision model</w:t>
      </w:r>
    </w:p>
    <w:p w14:paraId="236AE362" w14:textId="4D31A647" w:rsidR="00C86A19" w:rsidRPr="00C90D38" w:rsidRDefault="008879BF" w:rsidP="00C86A19">
      <w:pPr>
        <w:rPr>
          <w:rFonts w:asciiTheme="minorHAnsi" w:hAnsiTheme="minorHAnsi" w:cstheme="minorHAnsi"/>
          <w:bCs/>
          <w:sz w:val="16"/>
          <w:lang w:val="en-GB"/>
        </w:rPr>
      </w:pPr>
      <w:r w:rsidRPr="00C90D38">
        <w:rPr>
          <w:rFonts w:asciiTheme="minorHAnsi" w:hAnsiTheme="minorHAnsi" w:cstheme="minorHAnsi"/>
          <w:bCs/>
          <w:sz w:val="16"/>
          <w:lang w:val="en-GB"/>
        </w:rPr>
        <w:t>Adapted</w:t>
      </w:r>
      <w:r w:rsidR="0055245F" w:rsidRPr="00C90D38">
        <w:rPr>
          <w:rFonts w:asciiTheme="minorHAnsi" w:hAnsiTheme="minorHAnsi" w:cstheme="minorHAnsi"/>
          <w:bCs/>
          <w:sz w:val="16"/>
          <w:lang w:val="en-GB"/>
        </w:rPr>
        <w:t xml:space="preserve"> from</w:t>
      </w:r>
      <w:r w:rsidR="00B90D6B" w:rsidRPr="00C90D38">
        <w:rPr>
          <w:rFonts w:asciiTheme="minorHAnsi" w:hAnsiTheme="minorHAnsi" w:cstheme="minorHAnsi"/>
          <w:bCs/>
          <w:sz w:val="16"/>
          <w:lang w:val="en-GB"/>
        </w:rPr>
        <w:t xml:space="preserve"> the</w:t>
      </w:r>
      <w:r w:rsidR="0055245F" w:rsidRPr="00C90D38">
        <w:rPr>
          <w:rFonts w:asciiTheme="minorHAnsi" w:hAnsiTheme="minorHAnsi" w:cstheme="minorHAnsi"/>
          <w:bCs/>
          <w:sz w:val="16"/>
          <w:lang w:val="en-GB"/>
        </w:rPr>
        <w:t xml:space="preserve"> </w:t>
      </w:r>
      <w:r w:rsidR="000274E1" w:rsidRPr="00C90D38">
        <w:rPr>
          <w:rFonts w:asciiTheme="minorHAnsi" w:hAnsiTheme="minorHAnsi" w:cstheme="minorHAnsi"/>
          <w:bCs/>
          <w:sz w:val="16"/>
          <w:lang w:val="en-GB"/>
        </w:rPr>
        <w:t>Consolidated Health Economic Evaluation Reporting Standards (CHEERS) 2</w:t>
      </w:r>
      <w:r w:rsidR="0055245F" w:rsidRPr="00C90D38">
        <w:rPr>
          <w:rFonts w:asciiTheme="minorHAnsi" w:hAnsiTheme="minorHAnsi" w:cstheme="minorHAnsi"/>
          <w:bCs/>
          <w:sz w:val="16"/>
          <w:lang w:val="en-GB"/>
        </w:rPr>
        <w:t xml:space="preserve"> </w:t>
      </w:r>
      <w:r w:rsidR="00EE03F2" w:rsidRPr="00C90D38">
        <w:rPr>
          <w:rFonts w:asciiTheme="minorHAnsi" w:hAnsiTheme="minorHAnsi" w:cstheme="minorHAnsi"/>
          <w:bCs/>
          <w:sz w:val="16"/>
          <w:lang w:val="en-GB"/>
        </w:rPr>
        <w:t>checklist</w:t>
      </w:r>
    </w:p>
    <w:p w14:paraId="56A1ED68" w14:textId="77777777" w:rsidR="00C86A19" w:rsidRPr="00C90D38" w:rsidRDefault="00C86A19" w:rsidP="00C86A19">
      <w:pPr>
        <w:rPr>
          <w:rFonts w:asciiTheme="minorHAnsi" w:hAnsiTheme="minorHAnsi" w:cstheme="minorHAnsi"/>
          <w:b/>
          <w:bCs/>
          <w:lang w:val="en-GB"/>
        </w:rPr>
      </w:pPr>
    </w:p>
    <w:p w14:paraId="1D1DA193" w14:textId="0A8471A5" w:rsidR="001E0B6A" w:rsidRPr="00C90D38" w:rsidRDefault="001E0B6A" w:rsidP="00C86A19">
      <w:pPr>
        <w:rPr>
          <w:rFonts w:asciiTheme="minorHAnsi" w:hAnsiTheme="minorHAnsi" w:cstheme="minorHAnsi"/>
          <w:b/>
          <w:bCs/>
          <w:color w:val="C00000"/>
          <w:lang w:val="en-GB"/>
        </w:rPr>
      </w:pPr>
      <w:r w:rsidRPr="00C90D38">
        <w:rPr>
          <w:rFonts w:asciiTheme="minorHAnsi" w:hAnsiTheme="minorHAnsi" w:cstheme="minorHAnsi"/>
          <w:b/>
          <w:bCs/>
          <w:color w:val="C00000"/>
          <w:lang w:val="en-GB"/>
        </w:rPr>
        <w:t xml:space="preserve">For assignment 1 you only have to answer No 1-5. During the rest of the course you might be able to answer the other questions.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EEE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3"/>
        <w:gridCol w:w="535"/>
        <w:gridCol w:w="5223"/>
        <w:gridCol w:w="5852"/>
      </w:tblGrid>
      <w:tr w:rsidR="009F4E99" w:rsidRPr="002708BF" w14:paraId="6A221BEB" w14:textId="77777777" w:rsidTr="000274E1">
        <w:trPr>
          <w:trHeight w:val="959"/>
          <w:tblHeader/>
        </w:trPr>
        <w:tc>
          <w:tcPr>
            <w:tcW w:w="3093" w:type="dxa"/>
            <w:tcBorders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C425F" w14:textId="77777777" w:rsidR="00075675" w:rsidRPr="00C90D38" w:rsidRDefault="00075675" w:rsidP="00795DF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Section/Item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1AF24D" w14:textId="77777777" w:rsidR="00075675" w:rsidRPr="00C90D38" w:rsidRDefault="00075675" w:rsidP="00795DF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CE723A" w14:textId="77777777" w:rsidR="00075675" w:rsidRPr="00C90D38" w:rsidRDefault="00075675" w:rsidP="00795DF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5852" w:type="dxa"/>
            <w:tcBorders>
              <w:left w:val="nil"/>
            </w:tcBorders>
            <w:shd w:val="clear" w:color="auto" w:fill="00456B"/>
            <w:vAlign w:val="center"/>
          </w:tcPr>
          <w:p w14:paraId="3200F775" w14:textId="77777777" w:rsidR="00075675" w:rsidRPr="005F038B" w:rsidRDefault="00075675" w:rsidP="00075675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F038B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/>
              </w:rPr>
              <w:t>Details about your study</w:t>
            </w:r>
            <w:r w:rsidR="009F4E99" w:rsidRPr="005F038B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(if applicable)</w:t>
            </w:r>
          </w:p>
        </w:tc>
      </w:tr>
      <w:tr w:rsidR="009F4E99" w:rsidRPr="002708BF" w14:paraId="16B6C841" w14:textId="77777777" w:rsidTr="000274E1">
        <w:trPr>
          <w:trHeight w:val="959"/>
        </w:trPr>
        <w:tc>
          <w:tcPr>
            <w:tcW w:w="3093" w:type="dxa"/>
            <w:vMerge w:val="restart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95ED19" w14:textId="77777777" w:rsidR="009F4E99" w:rsidRPr="00C90D38" w:rsidRDefault="009F4E99" w:rsidP="009F4E9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Background and objectives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B5B30B" w14:textId="77777777" w:rsidR="009F4E99" w:rsidRPr="00C90D38" w:rsidRDefault="009F4E99" w:rsidP="009F4E9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1a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29A78" w14:textId="77777777" w:rsidR="009F4E99" w:rsidRPr="00C90D38" w:rsidRDefault="009F4E99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Define the study question and its relevance for health policy or practice decisions.</w:t>
            </w:r>
          </w:p>
        </w:tc>
        <w:tc>
          <w:tcPr>
            <w:tcW w:w="5852" w:type="dxa"/>
            <w:tcBorders>
              <w:left w:val="nil"/>
            </w:tcBorders>
          </w:tcPr>
          <w:p w14:paraId="7FD1258F" w14:textId="63A56253" w:rsidR="009F4E99" w:rsidRDefault="00F434F2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F434F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Is Throat Culture More Cost-Effective than Rapid Antigen Diagnostic Testing (RADT) for </w:t>
            </w:r>
            <w:r w:rsidR="00A64344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diagnosing</w:t>
            </w:r>
            <w:r w:rsidRPr="00F434F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Group A Streptococcus (GAS) in </w:t>
            </w:r>
            <w:r w:rsid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Pediat</w:t>
            </w:r>
            <w:r w:rsidR="004229F6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r</w:t>
            </w:r>
            <w:r w:rsid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ic Sore Throat Patients</w:t>
            </w:r>
            <w:r w:rsidRPr="00F434F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?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br/>
              <w:t>Relevance:</w:t>
            </w:r>
          </w:p>
          <w:p w14:paraId="5B8149AA" w14:textId="77777777" w:rsidR="002708BF" w:rsidRDefault="002708BF" w:rsidP="002708BF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Throat infections are often viral, yet antibiotics are frequently overprescribed, contributing to antibiotic resistance</w:t>
            </w:r>
          </w:p>
          <w:p w14:paraId="47ED2D08" w14:textId="77777777" w:rsidR="002708BF" w:rsidRDefault="002708BF" w:rsidP="002708BF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Overuses of antibiotic </w:t>
            </w:r>
            <w:r w:rsidRPr="0047020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sym w:font="Wingdings" w:char="F0E0"/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unnecessary risks</w:t>
            </w:r>
          </w:p>
          <w:p w14:paraId="78D9EDB6" w14:textId="175235F8" w:rsidR="002708BF" w:rsidRPr="002708BF" w:rsidRDefault="002708BF" w:rsidP="002708BF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Optimizing decision making can improve patient outcome, reduce healthcare costs</w:t>
            </w:r>
          </w:p>
          <w:p w14:paraId="52819999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190CAF89" w14:textId="7FE0EB96" w:rsidR="00F434F2" w:rsidRPr="00C90D38" w:rsidRDefault="00F434F2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The insights from the study can help healthcare policymakers and clinicians determine the most economically efficient and clinically effective approach to diagnosing</w:t>
            </w:r>
            <w:r w:rsidR="004229F6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(and treating)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GAS infections. </w:t>
            </w:r>
          </w:p>
        </w:tc>
      </w:tr>
      <w:tr w:rsidR="009F4E99" w:rsidRPr="002708BF" w14:paraId="2032AAB5" w14:textId="77777777" w:rsidTr="000274E1">
        <w:trPr>
          <w:trHeight w:val="959"/>
        </w:trPr>
        <w:tc>
          <w:tcPr>
            <w:tcW w:w="3093" w:type="dxa"/>
            <w:vMerge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D22E7" w14:textId="77777777" w:rsidR="009F4E99" w:rsidRPr="005F038B" w:rsidRDefault="009F4E99" w:rsidP="009F4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A0E816" w14:textId="77777777" w:rsidR="009F4E99" w:rsidRPr="00C90D38" w:rsidRDefault="009F4E99" w:rsidP="009F4E9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1b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F46AB0" w14:textId="77777777" w:rsidR="009F4E99" w:rsidRPr="00C90D38" w:rsidRDefault="009F4E99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Are there any decision models out there already answering your research question? </w:t>
            </w:r>
          </w:p>
        </w:tc>
        <w:tc>
          <w:tcPr>
            <w:tcW w:w="5852" w:type="dxa"/>
            <w:tcBorders>
              <w:left w:val="nil"/>
            </w:tcBorders>
          </w:tcPr>
          <w:p w14:paraId="735E2ABB" w14:textId="266E95AD" w:rsidR="002708BF" w:rsidRDefault="002708BF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Several decision models focus on diagnostic strategies (using rapid strep tests) or cost-effectiveness of </w:t>
            </w:r>
            <w:r w:rsidR="00A64344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diagnosis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options for sore throat. Examples include models evaluating the sensitivity/specificity of testing for group A streptococcus infections and the benefits of delaying antibiotics for watchful waiting.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ab/>
            </w:r>
          </w:p>
          <w:p w14:paraId="7CF15070" w14:textId="77777777" w:rsidR="002708BF" w:rsidRDefault="002708BF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0DDD3AF7" w14:textId="7E9A3507" w:rsidR="009F4E99" w:rsidRDefault="00F434F2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E.g., </w:t>
            </w:r>
          </w:p>
          <w:p w14:paraId="7C2EA2B4" w14:textId="7DE45F64" w:rsidR="00F434F2" w:rsidRDefault="00F434F2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"</w:t>
            </w:r>
            <w:r w:rsidRPr="00F434F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Management of Sore Throats in Children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– A Cost-effectiveness Analysis"</w:t>
            </w:r>
          </w:p>
          <w:p w14:paraId="75AD9B7B" w14:textId="6C0F993D" w:rsidR="00F434F2" w:rsidRPr="00C90D38" w:rsidRDefault="00F434F2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(</w:t>
            </w:r>
            <w:r w:rsidRPr="00F434F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https://jamanetwork.com/journals/jamapediatrics/fullarticle/347278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)</w:t>
            </w:r>
          </w:p>
        </w:tc>
      </w:tr>
      <w:tr w:rsidR="009F4E99" w:rsidRPr="002708BF" w14:paraId="2FB4B243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CBB73F" w14:textId="7B8CBDB8" w:rsidR="009F4E99" w:rsidRPr="00C90D38" w:rsidRDefault="00E87B19" w:rsidP="009F4E9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 xml:space="preserve">Study </w:t>
            </w:r>
            <w:r w:rsidR="009F4E99" w:rsidRPr="00C90D38">
              <w:rPr>
                <w:rFonts w:asciiTheme="minorHAnsi" w:hAnsiTheme="minorHAnsi" w:cstheme="minorHAnsi"/>
                <w:sz w:val="20"/>
                <w:szCs w:val="20"/>
              </w:rPr>
              <w:t>population and subgroups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41CF64" w14:textId="77777777" w:rsidR="009F4E99" w:rsidRPr="00C90D38" w:rsidRDefault="009F4E99" w:rsidP="009F4E9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E118F" w14:textId="1591F75D" w:rsidR="009F4E99" w:rsidRPr="00C90D38" w:rsidRDefault="009F4E99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Describe characteristics of the base case population</w:t>
            </w:r>
            <w:r w:rsidR="00E87B19"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(such as age range, demographics, socioeconomic or clinical characteristics)</w:t>
            </w: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</w:p>
        </w:tc>
        <w:tc>
          <w:tcPr>
            <w:tcW w:w="5852" w:type="dxa"/>
            <w:tcBorders>
              <w:left w:val="nil"/>
            </w:tcBorders>
          </w:tcPr>
          <w:p w14:paraId="2067A621" w14:textId="77777777" w:rsidR="002708BF" w:rsidRP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Base case populations:</w:t>
            </w:r>
          </w:p>
          <w:p w14:paraId="435CFEA1" w14:textId="617CC3E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ab/>
              <w:t>Children aged 5-15 years presenting with throat infections</w:t>
            </w:r>
            <w:r w:rsidR="00DF3A0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</w:p>
          <w:p w14:paraId="34ABE5AA" w14:textId="66EB8AFE" w:rsidR="00A64344" w:rsidRPr="002708BF" w:rsidRDefault="00A64344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              Adults</w:t>
            </w:r>
            <w:r w:rsidR="00DF3A0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18 years and older (prevalence of getting infected with             GAS 0.1)</w:t>
            </w:r>
          </w:p>
          <w:p w14:paraId="1A8D00CE" w14:textId="00E24386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ab/>
              <w:t>Children with higher risk of bacterial infections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ab/>
            </w:r>
          </w:p>
          <w:p w14:paraId="62E37D85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529BBAC5" w14:textId="7B0139B8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Socioeconomic characteristics: There exist g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eographic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and 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socioeconomics variations,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depending mainly on 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where access to rapid diagnostic testing or healthcare is limited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/accessible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</w:p>
          <w:p w14:paraId="60AD37DF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1DB479E3" w14:textId="4F9F5D3C" w:rsidR="00DB1906" w:rsidRPr="00C90D38" w:rsidRDefault="002708BF" w:rsidP="009F4E99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Clinical characteristics: 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Common symptoms include sore throat, fewer, swollen lymph nodes and tonsillar exudate</w:t>
            </w:r>
          </w:p>
        </w:tc>
      </w:tr>
      <w:tr w:rsidR="002708BF" w:rsidRPr="002708BF" w14:paraId="07CBA5FB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27820A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Setting and location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A156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9E22B5" w14:textId="4BC47F3D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State to which setting and location this decision model applies.</w:t>
            </w:r>
          </w:p>
        </w:tc>
        <w:tc>
          <w:tcPr>
            <w:tcW w:w="5852" w:type="dxa"/>
            <w:tcBorders>
              <w:left w:val="nil"/>
            </w:tcBorders>
          </w:tcPr>
          <w:p w14:paraId="7A75E7C9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Primary care clinics (general practitioners) or emergency departments</w:t>
            </w:r>
          </w:p>
          <w:p w14:paraId="2E9E00E5" w14:textId="77777777" w:rsidR="002708BF" w:rsidRDefault="002708BF" w:rsidP="002708BF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areas with access to rapid strep tests</w:t>
            </w:r>
          </w:p>
          <w:p w14:paraId="49A631A7" w14:textId="1FB2EF96" w:rsidR="002708BF" w:rsidRPr="00C90D38" w:rsidRDefault="002708BF" w:rsidP="002708BF">
            <w:pPr>
              <w:pStyle w:val="Lijstaline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Areas where diagnosis relies on clinical presentation</w:t>
            </w:r>
          </w:p>
        </w:tc>
      </w:tr>
      <w:tr w:rsidR="002708BF" w:rsidRPr="002708BF" w14:paraId="2FDE35F2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AB42EF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Study perspective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339FDF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8E7B4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Decide on the perspective of the study and relate this to the costs being evaluated.</w:t>
            </w:r>
          </w:p>
        </w:tc>
        <w:tc>
          <w:tcPr>
            <w:tcW w:w="5852" w:type="dxa"/>
            <w:tcBorders>
              <w:left w:val="nil"/>
            </w:tcBorders>
          </w:tcPr>
          <w:p w14:paraId="4717088C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The decision model should adopt the healthcare payer perspective, which aligns with cost-effectiveness analyses commonly used in health technology assessments (HTAs). This perspective considers direct medical costs incurred by healthcare systems, insurance providers, or government payers rather than societal or patient-borne costs.</w:t>
            </w:r>
          </w:p>
          <w:p w14:paraId="448280BC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720C51EB" w14:textId="424C1361" w:rsidR="002708BF" w:rsidRPr="001A56DA" w:rsidRDefault="002708BF" w:rsidP="002708BF">
            <w:pPr>
              <w:pStyle w:val="Lijstaline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Diagnostic Costs</w:t>
            </w:r>
          </w:p>
          <w:p w14:paraId="5DAFA459" w14:textId="77777777" w:rsidR="002708BF" w:rsidRPr="001A56DA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3640CD77" w14:textId="2A2E0D5F" w:rsidR="002708BF" w:rsidRPr="001A56DA" w:rsidRDefault="002708BF" w:rsidP="002708BF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 of Rapid Antigen Diagnostic Test (RADT)</w:t>
            </w:r>
          </w:p>
          <w:p w14:paraId="6F170D9E" w14:textId="173DC6E7" w:rsidR="002708BF" w:rsidRPr="001A56DA" w:rsidRDefault="002708BF" w:rsidP="002708BF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 of Throat Culture (including laboratory processing and personnel time)</w:t>
            </w: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br/>
            </w:r>
          </w:p>
          <w:p w14:paraId="627259DC" w14:textId="4442D2AF" w:rsidR="002708BF" w:rsidRPr="001A56DA" w:rsidRDefault="002708BF" w:rsidP="002708BF">
            <w:pPr>
              <w:pStyle w:val="Lijstaline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Treatment Costs</w:t>
            </w:r>
            <w:r w:rsidR="0013147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="0013147E" w:rsidRPr="0013147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sym w:font="Wingdings" w:char="F0E0"/>
            </w:r>
            <w:r w:rsidR="0013147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this is not used for decision modeling</w:t>
            </w:r>
          </w:p>
          <w:p w14:paraId="57EE49AD" w14:textId="77777777" w:rsidR="002708BF" w:rsidRPr="001A56DA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6B8D5C3E" w14:textId="6B0D21CA" w:rsidR="002708BF" w:rsidRPr="001A56DA" w:rsidRDefault="002708BF" w:rsidP="002708BF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Antibiotics (Penicillin or other first-line treatments for GAS)</w:t>
            </w:r>
          </w:p>
          <w:p w14:paraId="2918B408" w14:textId="75F2D64C" w:rsidR="002708BF" w:rsidRPr="001A56DA" w:rsidRDefault="002708BF" w:rsidP="002708BF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Costs related to unnecessary antibiotic prescriptions for false positives</w:t>
            </w:r>
          </w:p>
          <w:p w14:paraId="392DDF59" w14:textId="7E951BE4" w:rsidR="002708BF" w:rsidRP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708BF" w:rsidRPr="002708BF" w14:paraId="22E503EE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C84BDE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Comparators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13845F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A331D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Which interventions or strategies are being compared?</w:t>
            </w:r>
          </w:p>
        </w:tc>
        <w:tc>
          <w:tcPr>
            <w:tcW w:w="5852" w:type="dxa"/>
            <w:tcBorders>
              <w:left w:val="nil"/>
            </w:tcBorders>
          </w:tcPr>
          <w:p w14:paraId="2A69BF8D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1A56D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The model evaluates the cost-effectiveness of throat culture vs. RADT for diagnosing Group A Streptococcus (GAS) pharyngitis in a primary care setting.</w:t>
            </w:r>
          </w:p>
          <w:p w14:paraId="0068FDE3" w14:textId="77777777" w:rsid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4D1B9813" w14:textId="62F5129D" w:rsidR="002708BF" w:rsidRPr="002708BF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If test positive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, then antibiotics are </w:t>
            </w:r>
            <w:r w:rsidRPr="002708B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immediately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prescribed.</w:t>
            </w:r>
            <w:r w:rsidR="00E442C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(this is not included in the decision model)</w:t>
            </w:r>
          </w:p>
          <w:p w14:paraId="2C17AA17" w14:textId="36A5DF6E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708BF" w:rsidRPr="002708BF" w14:paraId="7B19031C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D4978E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 xml:space="preserve">Model type 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6F11C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1CA6CC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What type of decision model you think you need? How important is the effect of time in the question you are trying to answer?</w:t>
            </w:r>
          </w:p>
        </w:tc>
        <w:tc>
          <w:tcPr>
            <w:tcW w:w="5852" w:type="dxa"/>
            <w:tcBorders>
              <w:left w:val="nil"/>
            </w:tcBorders>
          </w:tcPr>
          <w:p w14:paraId="4937C1F7" w14:textId="191F7772" w:rsidR="00AD694B" w:rsidRPr="00C90D38" w:rsidRDefault="00AD694B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The type of decision model we used is microsimulation because the prevalence of getting infected with GAS is per individual different </w:t>
            </w:r>
            <w:r w:rsidR="00E442C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because it is age-dependent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  <w:r w:rsidR="00E442C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The model simulates individual trajectories, making it suitable for age-dependent risks of GAS infections.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="00C868D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state-transitions</w:t>
            </w:r>
            <w:r w:rsidR="00E442C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are determined using probability distribution and incorporate uncertainty</w:t>
            </w:r>
            <w:r w:rsidR="00917E2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analysis. </w:t>
            </w:r>
          </w:p>
        </w:tc>
      </w:tr>
      <w:tr w:rsidR="002708BF" w:rsidRPr="002708BF" w14:paraId="4A44F181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9935F9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Model structure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83B0B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DE792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What are the most important health states / events / pathways  that will be in your model </w:t>
            </w:r>
          </w:p>
        </w:tc>
        <w:tc>
          <w:tcPr>
            <w:tcW w:w="5852" w:type="dxa"/>
            <w:tcBorders>
              <w:left w:val="nil"/>
            </w:tcBorders>
          </w:tcPr>
          <w:p w14:paraId="6B6985F5" w14:textId="6C4A29C8" w:rsidR="001733FF" w:rsidRPr="001733FF" w:rsidRDefault="00A72C2D" w:rsidP="001733F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The model defines three key health states: healthy (H), Sick (S), and dead (D)</w:t>
            </w:r>
            <w:r w:rsidR="00232A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transition probabilities are modeled using age-depen</w:t>
            </w:r>
            <w:r w:rsidR="00917E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dent probabilities. The code initializes individuals as healthy and tracks their progression over 24 cycles (2 years).</w:t>
            </w:r>
          </w:p>
        </w:tc>
      </w:tr>
      <w:tr w:rsidR="002708BF" w:rsidRPr="002708BF" w14:paraId="2948496C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F1B21C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Time horizon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4ACA9E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4BDF33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Choose a time horizon(s) over which costs and consequences are being evaluated.</w:t>
            </w:r>
          </w:p>
        </w:tc>
        <w:tc>
          <w:tcPr>
            <w:tcW w:w="5852" w:type="dxa"/>
            <w:tcBorders>
              <w:left w:val="nil"/>
            </w:tcBorders>
          </w:tcPr>
          <w:p w14:paraId="49BE6C29" w14:textId="6860343C" w:rsidR="002708BF" w:rsidRPr="00C90D38" w:rsidRDefault="00917E2E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The time horizon is 2 years (evaluated in 24 monthly cycles)</w:t>
            </w:r>
            <w:r w:rsidR="00EE130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This choice reflects a</w:t>
            </w:r>
            <w:r w:rsidR="00DE4F8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short-term diagnosis outcomes, but also for the long term health consequences</w:t>
            </w:r>
            <w:r w:rsidR="00EE130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2708BF" w:rsidRPr="002708BF" w14:paraId="366F9EB7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35769F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Discount rate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14890D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DAA903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Report the choice of discount rate used for costs and outcomes and say why.</w:t>
            </w:r>
          </w:p>
        </w:tc>
        <w:tc>
          <w:tcPr>
            <w:tcW w:w="5852" w:type="dxa"/>
            <w:tcBorders>
              <w:left w:val="nil"/>
            </w:tcBorders>
          </w:tcPr>
          <w:p w14:paraId="4C92CA81" w14:textId="57580B9F" w:rsidR="002708BF" w:rsidRPr="00E437A0" w:rsidRDefault="00E74025" w:rsidP="00E437A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We use</w:t>
            </w:r>
            <w:r w:rsidR="00490D1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3% </w:t>
            </w:r>
            <w:r w:rsidR="00490D1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discount rate used </w:t>
            </w:r>
            <w:r w:rsidR="00C811F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for costs and outcomes</w:t>
            </w:r>
            <w:r w:rsidR="0026284C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 This is in cost-effectiveness analysis</w:t>
            </w:r>
            <w:r w:rsidR="00E13DBE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commonly used. </w:t>
            </w:r>
            <w:r w:rsidR="00E437A0" w:rsidRPr="00E437A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Without discounting, future costs (e.g., complications) may appear overestimated. Discounting ensures a realistic valuation of long-term economic and health outcomes.</w:t>
            </w:r>
          </w:p>
        </w:tc>
      </w:tr>
      <w:tr w:rsidR="002708BF" w:rsidRPr="002708BF" w14:paraId="21F6DB06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28A2E0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Choice of health outcomes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FD67C1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824509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Determine which health outcomes will be used as the measure(s) of benefit in the evaluation (e.g. LYs, QALYs).</w:t>
            </w:r>
          </w:p>
        </w:tc>
        <w:tc>
          <w:tcPr>
            <w:tcW w:w="5852" w:type="dxa"/>
            <w:tcBorders>
              <w:left w:val="nil"/>
            </w:tcBorders>
          </w:tcPr>
          <w:p w14:paraId="7B1DD05D" w14:textId="77777777" w:rsidR="002708BF" w:rsidRDefault="005C0771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The health outcomes that will be </w:t>
            </w:r>
            <w:r w:rsidR="00DB6B0C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used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as a measure of benefit in the evaluation are the QALYs.</w:t>
            </w:r>
            <w:r w:rsidR="00DB6B0C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The QALY capture the utility for the cost effectiveness analysis. </w:t>
            </w:r>
          </w:p>
          <w:p w14:paraId="23586A13" w14:textId="77777777" w:rsidR="00DE4F80" w:rsidRDefault="00DE4F80" w:rsidP="00DE4F80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 and QALY outputs are calculated using calculate_ce_out() function</w:t>
            </w:r>
          </w:p>
          <w:p w14:paraId="4BC78185" w14:textId="77777777" w:rsidR="00DE4F80" w:rsidRDefault="00DE4F80" w:rsidP="00DE4F80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ICERs compare the cost and benefits of RADT vs Throat culture</w:t>
            </w:r>
          </w:p>
          <w:p w14:paraId="1C9F2FBB" w14:textId="09CE9A44" w:rsidR="00DE4F80" w:rsidRPr="00DE4F80" w:rsidRDefault="00DE4F80" w:rsidP="00DE4F80">
            <w:pPr>
              <w:pStyle w:val="Lijstaline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Cost-effectiveness acceptability curve determines the probability of each strategy being optimal at different WTP thresholds</w:t>
            </w:r>
          </w:p>
        </w:tc>
      </w:tr>
      <w:tr w:rsidR="002708BF" w:rsidRPr="00C90D38" w14:paraId="4B3744F8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3D309A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Measurement of effectiveness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7E38FF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5D5931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What type of data you have available to estimate the effectiveness (RCT, expert opinion etc)? Will evidence synthesis be used?</w:t>
            </w:r>
          </w:p>
        </w:tc>
        <w:tc>
          <w:tcPr>
            <w:tcW w:w="5852" w:type="dxa"/>
            <w:tcBorders>
              <w:left w:val="nil"/>
            </w:tcBorders>
          </w:tcPr>
          <w:p w14:paraId="6DFE77C1" w14:textId="1C62E84A" w:rsidR="00514D64" w:rsidRPr="00660544" w:rsidRDefault="00514D64" w:rsidP="00514D6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 ensure reliability, we used systematic reviews and meta-analyses, integrating data from various sources to provide a comprehensive </w:t>
            </w:r>
            <w:r w:rsidR="00124181"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numbers</w:t>
            </w:r>
            <w:r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We relied on validated probabilities, including the likelihood of testing positive in diagnostic tests. However, certain analyses yielded unrealistic outcomes, </w:t>
            </w:r>
            <w:r w:rsidR="00124181"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which needed </w:t>
            </w:r>
            <w:r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adjustments</w:t>
            </w:r>
            <w:r w:rsidR="00660544"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in the model</w:t>
            </w:r>
            <w:r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In such cases, we made reasonable estimations to align the model with real-world expectations</w:t>
            </w:r>
            <w:r w:rsidR="00660544" w:rsidRPr="0066054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4D337C60" w14:textId="56451C3A" w:rsidR="002708BF" w:rsidRPr="00316140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708BF" w:rsidRPr="002708BF" w14:paraId="585F58D7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5DAC9F" w14:textId="53116FC1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Measurement and valuation of (preference based) outcomes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B41105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DF509" w14:textId="5FA2C6AF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If you are doing a cost-utility analysis, do you have HRQoL data? With which methods and in which population were the outcome measures measured?</w:t>
            </w:r>
          </w:p>
        </w:tc>
        <w:tc>
          <w:tcPr>
            <w:tcW w:w="5852" w:type="dxa"/>
            <w:tcBorders>
              <w:left w:val="nil"/>
            </w:tcBorders>
          </w:tcPr>
          <w:p w14:paraId="15AE3CCE" w14:textId="17E44E69" w:rsidR="00EC1752" w:rsidRPr="00EC1752" w:rsidRDefault="00DE4F80" w:rsidP="00EC175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applicable.</w:t>
            </w:r>
          </w:p>
        </w:tc>
      </w:tr>
      <w:tr w:rsidR="002708BF" w:rsidRPr="002708BF" w14:paraId="7C1FF0E5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vAlign w:val="center"/>
          </w:tcPr>
          <w:p w14:paraId="5CE01E2C" w14:textId="77777777" w:rsidR="002708BF" w:rsidRPr="00C90D38" w:rsidRDefault="002708BF" w:rsidP="002708BF">
            <w:pPr>
              <w:ind w:left="90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Estimating resources and costs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F277AC" w14:textId="77777777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E5B45D" w14:textId="77777777" w:rsidR="002708BF" w:rsidRPr="005F038B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Describe data sources used to estimate costs/resource use associated with model health states</w:t>
            </w:r>
          </w:p>
        </w:tc>
        <w:tc>
          <w:tcPr>
            <w:tcW w:w="5852" w:type="dxa"/>
            <w:tcBorders>
              <w:left w:val="nil"/>
            </w:tcBorders>
          </w:tcPr>
          <w:p w14:paraId="40756DE7" w14:textId="77777777" w:rsidR="002708BF" w:rsidRDefault="001C40BA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Costs included:</w:t>
            </w:r>
          </w:p>
          <w:p w14:paraId="66DD6AB4" w14:textId="77777777" w:rsidR="001C40BA" w:rsidRDefault="001C40BA" w:rsidP="001C40BA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RADT test price</w:t>
            </w:r>
          </w:p>
          <w:p w14:paraId="54F1D0BE" w14:textId="77777777" w:rsidR="001C40BA" w:rsidRDefault="001C40BA" w:rsidP="001C40BA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Throat culture price</w:t>
            </w:r>
            <w:r w:rsidR="000A298F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(including lab processing)</w:t>
            </w:r>
          </w:p>
          <w:p w14:paraId="33451413" w14:textId="1522CA6F" w:rsidR="000A298F" w:rsidRPr="000A298F" w:rsidRDefault="000A298F" w:rsidP="000A298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Maybe include </w:t>
            </w:r>
            <w:r w:rsidR="004974E3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when you test positive you get treated with antibiotics (Penicillin). </w:t>
            </w:r>
            <w:r w:rsidR="006A214D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The costs can be found in reviews per different country. </w:t>
            </w:r>
          </w:p>
        </w:tc>
      </w:tr>
      <w:tr w:rsidR="002708BF" w:rsidRPr="002708BF" w14:paraId="06FDF3CE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vAlign w:val="center"/>
          </w:tcPr>
          <w:p w14:paraId="1DC650DF" w14:textId="1AD8F51F" w:rsidR="002708BF" w:rsidRPr="00C90D38" w:rsidRDefault="002708BF" w:rsidP="002708BF">
            <w:pPr>
              <w:ind w:left="90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Characterizing uncertainty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194317" w14:textId="0FB119FB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2FBF84" w14:textId="4FCB44B2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What methods will you use to characterize uncertainty in your analysis?</w:t>
            </w:r>
          </w:p>
        </w:tc>
        <w:tc>
          <w:tcPr>
            <w:tcW w:w="5852" w:type="dxa"/>
            <w:tcBorders>
              <w:left w:val="nil"/>
            </w:tcBorders>
          </w:tcPr>
          <w:p w14:paraId="52D315F3" w14:textId="2CB0764F" w:rsidR="002708BF" w:rsidRPr="006A214D" w:rsidRDefault="00EB13F5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EB13F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The methods we’ll use to characterize uncertainty start with defining distributions for key probabilities. For instance, we’ll apply a beta distribution to model probabilities related to mortality and complications. For diagnostic accuracy, we’ll use a triangular distribution to represent the sensitivity and specificity of RADT vs. </w:t>
            </w:r>
            <w:r w:rsidRPr="00EB13F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lastRenderedPageBreak/>
              <w:t>Throat Culture, ensuring a more realistic variation in test performance</w:t>
            </w:r>
            <w:r w:rsidR="00011FD9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. Afterwards we can run a sensitivity analysis and a probability sensitivity analysis. </w:t>
            </w:r>
          </w:p>
        </w:tc>
      </w:tr>
      <w:tr w:rsidR="002708BF" w:rsidRPr="002708BF" w14:paraId="1268F218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972C8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Assumptions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654A96" w14:textId="4C521E74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EB0D93" w14:textId="77777777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Describe assumptions underlying your model</w:t>
            </w:r>
          </w:p>
        </w:tc>
        <w:tc>
          <w:tcPr>
            <w:tcW w:w="5852" w:type="dxa"/>
            <w:tcBorders>
              <w:left w:val="nil"/>
            </w:tcBorders>
          </w:tcPr>
          <w:p w14:paraId="1E16AF85" w14:textId="77777777" w:rsidR="002708BF" w:rsidRDefault="00011FD9" w:rsidP="00011FD9">
            <w:pPr>
              <w:pStyle w:val="Lijstaline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Everyone that tests positive </w:t>
            </w:r>
            <w:r w:rsidR="00A5742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will get treated immediately with antibiotics. </w:t>
            </w:r>
          </w:p>
          <w:p w14:paraId="4516B361" w14:textId="55A01859" w:rsidR="00A57428" w:rsidRDefault="00A31D9F" w:rsidP="00011FD9">
            <w:pPr>
              <w:pStyle w:val="Lijstaline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RADT is the standard of care</w:t>
            </w:r>
            <w:r w:rsidR="00C75BC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.</w:t>
            </w:r>
          </w:p>
          <w:p w14:paraId="60A01A08" w14:textId="77777777" w:rsidR="007D4ED9" w:rsidRDefault="007D4ED9" w:rsidP="00C75BC2">
            <w:pPr>
              <w:pStyle w:val="Lijstaline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No complications will occur</w:t>
            </w:r>
            <w:r w:rsidR="00C75BC2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when treating them with antibiotics.</w:t>
            </w:r>
          </w:p>
          <w:p w14:paraId="18E2DC88" w14:textId="77777777" w:rsidR="00524B9D" w:rsidRDefault="00524B9D" w:rsidP="00C75BC2">
            <w:pPr>
              <w:pStyle w:val="Lijstaline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Patients who recover form GAS return to healthy health state. </w:t>
            </w:r>
          </w:p>
          <w:p w14:paraId="547472E7" w14:textId="0357B729" w:rsidR="00524B9D" w:rsidRPr="00524B9D" w:rsidRDefault="00524B9D" w:rsidP="00524B9D">
            <w:pPr>
              <w:pStyle w:val="Lijstaline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No indirect costs are considered.</w:t>
            </w:r>
          </w:p>
        </w:tc>
      </w:tr>
      <w:tr w:rsidR="002708BF" w:rsidRPr="002708BF" w14:paraId="6AE15911" w14:textId="77777777" w:rsidTr="000274E1">
        <w:trPr>
          <w:trHeight w:val="959"/>
        </w:trPr>
        <w:tc>
          <w:tcPr>
            <w:tcW w:w="3093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A2523" w14:textId="370A391F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Relevant stakeholders</w:t>
            </w:r>
          </w:p>
        </w:tc>
        <w:tc>
          <w:tcPr>
            <w:tcW w:w="535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2FB217" w14:textId="1E69B79B" w:rsidR="002708BF" w:rsidRPr="00C90D38" w:rsidRDefault="002708BF" w:rsidP="002708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5223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CFF84B" w14:textId="040B286B" w:rsidR="002708BF" w:rsidRPr="00C90D38" w:rsidRDefault="002708BF" w:rsidP="002708BF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C90D38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Who are the relevant stakeholders affected by or making the decision? How could you insure their perspectives are taken into consideration?</w:t>
            </w:r>
          </w:p>
        </w:tc>
        <w:tc>
          <w:tcPr>
            <w:tcW w:w="5852" w:type="dxa"/>
            <w:tcBorders>
              <w:left w:val="nil"/>
            </w:tcBorders>
          </w:tcPr>
          <w:p w14:paraId="3A470667" w14:textId="34F2BD32" w:rsidR="008F75B8" w:rsidRPr="002F4060" w:rsidRDefault="008F75B8" w:rsidP="002F4060">
            <w:pPr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2F406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Healthcare Providers (Doctors, Nurses)</w:t>
            </w:r>
          </w:p>
          <w:p w14:paraId="51CD6AE5" w14:textId="49D14D1A" w:rsidR="008F75B8" w:rsidRPr="002F4060" w:rsidRDefault="008F75B8" w:rsidP="002F4060">
            <w:pPr>
              <w:pStyle w:val="Lijstaline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F406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Need cost-effective and accurate diagnostics.</w:t>
            </w:r>
          </w:p>
          <w:p w14:paraId="508AA5FD" w14:textId="77777777" w:rsidR="008F75B8" w:rsidRDefault="008F75B8" w:rsidP="008F75B8">
            <w:pPr>
              <w:pStyle w:val="Lijstaline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F75B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Avoid overprescription of antibiotics to reduce resistance risks.</w:t>
            </w:r>
          </w:p>
          <w:p w14:paraId="7C62F029" w14:textId="77777777" w:rsidR="002F4060" w:rsidRPr="002F4060" w:rsidRDefault="002F4060" w:rsidP="002F406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20EA9BB" w14:textId="33F1D843" w:rsidR="008F75B8" w:rsidRPr="002F4060" w:rsidRDefault="008F75B8" w:rsidP="002F406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F406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Patients &amp; Parents (For Pediatric Cases)</w:t>
            </w:r>
          </w:p>
          <w:p w14:paraId="37926E6F" w14:textId="19FE5A9E" w:rsidR="008F75B8" w:rsidRPr="008F75B8" w:rsidRDefault="008F75B8" w:rsidP="002F4060">
            <w:pPr>
              <w:pStyle w:val="Lijstalinea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F75B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Concerned with rapid diagnosis and effective treatment.</w:t>
            </w:r>
          </w:p>
          <w:p w14:paraId="6DA319E4" w14:textId="3CB750C9" w:rsidR="002F4060" w:rsidRDefault="008F75B8" w:rsidP="002F4060">
            <w:pPr>
              <w:pStyle w:val="Lijstalinea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8F75B8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Prefer minimizing unnecessary antibiotics</w:t>
            </w:r>
            <w:r w:rsidR="002F406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  <w:p w14:paraId="0CE8093E" w14:textId="77777777" w:rsidR="002F4060" w:rsidRDefault="002F4060" w:rsidP="002F406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31D956B" w14:textId="5B165BFB" w:rsidR="008F75B8" w:rsidRPr="002F4060" w:rsidRDefault="008F75B8" w:rsidP="002F406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F406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Payers &amp; Policymakers </w:t>
            </w:r>
          </w:p>
          <w:p w14:paraId="40F9DE19" w14:textId="77777777" w:rsidR="008F75B8" w:rsidRPr="008F75B8" w:rsidRDefault="008F75B8" w:rsidP="002F4060">
            <w:pPr>
              <w:pStyle w:val="Lijstalinea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F75B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Want cost-effective testing strategies to reduce healthcare expenditures.</w:t>
            </w:r>
          </w:p>
          <w:p w14:paraId="4CCA2FB6" w14:textId="62CEE033" w:rsidR="008F75B8" w:rsidRPr="008F75B8" w:rsidRDefault="008F75B8" w:rsidP="002F4060">
            <w:pPr>
              <w:pStyle w:val="Lijstalinea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F75B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Interested in long-term impact on public health (e.g., antibiotic resistance control</w:t>
            </w:r>
            <w:r w:rsidR="002F406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r w:rsidR="008C1F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prevent rheumatic fever or prevent allergies for antibiotics </w:t>
            </w:r>
            <w:r w:rsidR="008C1FD1" w:rsidRPr="008C1F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sym w:font="Wingdings" w:char="F0E0"/>
            </w:r>
            <w:r w:rsidR="008C1F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anaphylactic shock</w:t>
            </w:r>
            <w:r w:rsidRPr="008F75B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35752A37" w14:textId="499EBF9A" w:rsidR="002708BF" w:rsidRPr="008F75B8" w:rsidRDefault="002708BF" w:rsidP="008F75B8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14:paraId="5F1C506B" w14:textId="6D5BD7BF" w:rsidR="0089707E" w:rsidRPr="00C90D38" w:rsidRDefault="0089707E" w:rsidP="00CB007D">
      <w:pPr>
        <w:rPr>
          <w:rFonts w:asciiTheme="minorHAnsi" w:hAnsiTheme="minorHAnsi" w:cstheme="minorHAnsi"/>
          <w:lang w:val="en-GB"/>
        </w:rPr>
      </w:pPr>
    </w:p>
    <w:p w14:paraId="3B14C035" w14:textId="38D8FE18" w:rsidR="007F45FE" w:rsidRPr="005F038B" w:rsidRDefault="007F45FE" w:rsidP="007F45FE">
      <w:pPr>
        <w:rPr>
          <w:rFonts w:asciiTheme="minorHAnsi" w:hAnsiTheme="minorHAnsi" w:cstheme="minorHAnsi"/>
          <w:color w:val="444444"/>
          <w:sz w:val="16"/>
          <w:szCs w:val="16"/>
          <w:lang w:val="en-US"/>
        </w:rPr>
      </w:pPr>
      <w:r w:rsidRPr="005F038B">
        <w:rPr>
          <w:rFonts w:asciiTheme="minorHAnsi" w:hAnsiTheme="minorHAnsi" w:cstheme="minorHAnsi"/>
          <w:color w:val="444444"/>
          <w:sz w:val="16"/>
          <w:szCs w:val="16"/>
          <w:lang w:val="en-GB"/>
        </w:rPr>
        <w:t xml:space="preserve">Adopted from: Husereau D, Drummond M, Augustovski F, de Bekker-Grob E, Briggs AH, Carswell C, Caulley L, Chaiyakunapruk N, Greenberg D, Loder E, Mauskopf J, Mullins CD, Petrou S, Pwu RF, Staniszewska S; CHEERS 2022 ISPOR Good Research Practices Task Force. </w:t>
      </w:r>
      <w:r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>Consolidated Health Economic Evaluation Reporting Standards 2022 (CHEERS 2022) Statement: Updated Reporting Guidance for Health Economic Evaluations.</w:t>
      </w:r>
    </w:p>
    <w:p w14:paraId="7798C2E5" w14:textId="77777777" w:rsidR="00191D43" w:rsidRPr="005F038B" w:rsidRDefault="00191D43" w:rsidP="007F45FE">
      <w:pPr>
        <w:rPr>
          <w:rFonts w:asciiTheme="minorHAnsi" w:hAnsiTheme="minorHAnsi" w:cstheme="minorHAnsi"/>
          <w:color w:val="444444"/>
          <w:sz w:val="16"/>
          <w:szCs w:val="16"/>
          <w:shd w:val="clear" w:color="auto" w:fill="EFEFEF"/>
          <w:lang w:val="en-US"/>
        </w:rPr>
      </w:pPr>
    </w:p>
    <w:p w14:paraId="261E78AA" w14:textId="08BFCC4C" w:rsidR="007F45FE" w:rsidRPr="00C90D38" w:rsidRDefault="007F45FE" w:rsidP="007F45FE">
      <w:pPr>
        <w:rPr>
          <w:rFonts w:asciiTheme="minorHAnsi" w:hAnsiTheme="minorHAnsi" w:cstheme="minorHAnsi"/>
          <w:sz w:val="16"/>
          <w:szCs w:val="16"/>
          <w:lang w:val="en-GB"/>
        </w:rPr>
      </w:pPr>
      <w:r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>Note: CHEERS II was developed as a reporting guideline, not</w:t>
      </w:r>
      <w:r w:rsidR="003A4F70"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 xml:space="preserve"> </w:t>
      </w:r>
      <w:r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 xml:space="preserve">as a tool </w:t>
      </w:r>
      <w:r w:rsidR="003A4F70"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>for study</w:t>
      </w:r>
      <w:r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 xml:space="preserve"> design</w:t>
      </w:r>
      <w:r w:rsidR="003A4F70"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>,</w:t>
      </w:r>
      <w:r w:rsidRPr="005F038B">
        <w:rPr>
          <w:rFonts w:asciiTheme="minorHAnsi" w:hAnsiTheme="minorHAnsi" w:cstheme="minorHAnsi"/>
          <w:color w:val="444444"/>
          <w:sz w:val="16"/>
          <w:szCs w:val="16"/>
          <w:lang w:val="en-US"/>
        </w:rPr>
        <w:t xml:space="preserve"> however, we are using the guideline as such for teaching purposes. The full, non-adjusted reporting guideline can be accessed via </w:t>
      </w:r>
      <w:hyperlink r:id="rId7" w:history="1">
        <w:r w:rsidRPr="005F038B">
          <w:rPr>
            <w:rStyle w:val="Hyperlink"/>
            <w:rFonts w:asciiTheme="minorHAnsi" w:hAnsiTheme="minorHAnsi" w:cstheme="minorHAnsi"/>
            <w:sz w:val="16"/>
            <w:szCs w:val="16"/>
            <w:lang w:val="en-US"/>
          </w:rPr>
          <w:t>https://www.equator-network.org/reporting-guidelines/cheers/</w:t>
        </w:r>
      </w:hyperlink>
      <w:r w:rsidRPr="005F038B">
        <w:rPr>
          <w:rFonts w:asciiTheme="minorHAnsi" w:hAnsiTheme="minorHAnsi" w:cstheme="minorHAnsi"/>
          <w:color w:val="444444"/>
          <w:sz w:val="16"/>
          <w:szCs w:val="16"/>
          <w:shd w:val="clear" w:color="auto" w:fill="EFEFEF"/>
          <w:lang w:val="en-US"/>
        </w:rPr>
        <w:t xml:space="preserve"> </w:t>
      </w:r>
    </w:p>
    <w:p w14:paraId="7770BD22" w14:textId="77777777" w:rsidR="007F45FE" w:rsidRPr="00C90D38" w:rsidRDefault="007F45FE" w:rsidP="00CB007D">
      <w:pPr>
        <w:rPr>
          <w:rFonts w:asciiTheme="minorHAnsi" w:hAnsiTheme="minorHAnsi" w:cstheme="minorHAnsi"/>
          <w:lang w:val="en-GB"/>
        </w:rPr>
      </w:pPr>
    </w:p>
    <w:sectPr w:rsidR="007F45FE" w:rsidRPr="00C90D38" w:rsidSect="009F4E99">
      <w:footerReference w:type="even" r:id="rId8"/>
      <w:pgSz w:w="16838" w:h="11906" w:orient="landscape"/>
      <w:pgMar w:top="450" w:right="720" w:bottom="540" w:left="72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88A3" w14:textId="77777777" w:rsidR="00070A34" w:rsidRDefault="00070A34" w:rsidP="00EE03F2">
      <w:r>
        <w:separator/>
      </w:r>
    </w:p>
  </w:endnote>
  <w:endnote w:type="continuationSeparator" w:id="0">
    <w:p w14:paraId="3A2D45B8" w14:textId="77777777" w:rsidR="00070A34" w:rsidRDefault="00070A34" w:rsidP="00EE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052388264"/>
      <w:docPartObj>
        <w:docPartGallery w:val="Page Numbers (Bottom of Page)"/>
        <w:docPartUnique/>
      </w:docPartObj>
    </w:sdtPr>
    <w:sdtContent>
      <w:p w14:paraId="013A097D" w14:textId="77777777" w:rsidR="00CB007D" w:rsidRDefault="00CB007D" w:rsidP="00212EB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2A8AAB7F" w14:textId="77777777" w:rsidR="00CB007D" w:rsidRDefault="00CB007D" w:rsidP="00CB007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43947" w14:textId="77777777" w:rsidR="00070A34" w:rsidRDefault="00070A34" w:rsidP="00EE03F2">
      <w:r>
        <w:separator/>
      </w:r>
    </w:p>
  </w:footnote>
  <w:footnote w:type="continuationSeparator" w:id="0">
    <w:p w14:paraId="564BAA0A" w14:textId="77777777" w:rsidR="00070A34" w:rsidRDefault="00070A34" w:rsidP="00EE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51A"/>
    <w:multiLevelType w:val="hybridMultilevel"/>
    <w:tmpl w:val="6DA024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66C"/>
    <w:multiLevelType w:val="hybridMultilevel"/>
    <w:tmpl w:val="BE7C3924"/>
    <w:lvl w:ilvl="0" w:tplc="B94C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92895"/>
    <w:multiLevelType w:val="hybridMultilevel"/>
    <w:tmpl w:val="CDC0B3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23"/>
    <w:multiLevelType w:val="hybridMultilevel"/>
    <w:tmpl w:val="420E5F34"/>
    <w:lvl w:ilvl="0" w:tplc="9AA682A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156F"/>
    <w:multiLevelType w:val="hybridMultilevel"/>
    <w:tmpl w:val="A96E7402"/>
    <w:lvl w:ilvl="0" w:tplc="4A8A0CB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2112"/>
    <w:multiLevelType w:val="multilevel"/>
    <w:tmpl w:val="CC0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96F5E"/>
    <w:multiLevelType w:val="hybridMultilevel"/>
    <w:tmpl w:val="76C01818"/>
    <w:lvl w:ilvl="0" w:tplc="4A8A0CB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849"/>
    <w:multiLevelType w:val="multilevel"/>
    <w:tmpl w:val="173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91493"/>
    <w:multiLevelType w:val="hybridMultilevel"/>
    <w:tmpl w:val="4EE41456"/>
    <w:lvl w:ilvl="0" w:tplc="8E06E396">
      <w:start w:val="1"/>
      <w:numFmt w:val="decimal"/>
      <w:lvlText w:val="%1."/>
      <w:lvlJc w:val="left"/>
      <w:pPr>
        <w:ind w:left="720" w:hanging="360"/>
      </w:pPr>
      <w:rPr>
        <w:rFonts w:asciiTheme="minorHAnsi" w:eastAsia="MS Mincho" w:hAnsiTheme="minorHAnsi" w:cstheme="minorHAns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39D7"/>
    <w:multiLevelType w:val="hybridMultilevel"/>
    <w:tmpl w:val="C79A04F6"/>
    <w:lvl w:ilvl="0" w:tplc="43DA8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9F2A43"/>
    <w:multiLevelType w:val="multilevel"/>
    <w:tmpl w:val="1A9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0870"/>
    <w:multiLevelType w:val="hybridMultilevel"/>
    <w:tmpl w:val="182E20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74A81"/>
    <w:multiLevelType w:val="hybridMultilevel"/>
    <w:tmpl w:val="DB4A5C06"/>
    <w:lvl w:ilvl="0" w:tplc="4A8A0CB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7237"/>
    <w:multiLevelType w:val="hybridMultilevel"/>
    <w:tmpl w:val="E72E65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68FA"/>
    <w:multiLevelType w:val="multilevel"/>
    <w:tmpl w:val="279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76CC0"/>
    <w:multiLevelType w:val="multilevel"/>
    <w:tmpl w:val="A7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8454">
    <w:abstractNumId w:val="4"/>
  </w:num>
  <w:num w:numId="2" w16cid:durableId="1767073336">
    <w:abstractNumId w:val="0"/>
  </w:num>
  <w:num w:numId="3" w16cid:durableId="1789859415">
    <w:abstractNumId w:val="15"/>
  </w:num>
  <w:num w:numId="4" w16cid:durableId="776296032">
    <w:abstractNumId w:val="5"/>
  </w:num>
  <w:num w:numId="5" w16cid:durableId="305086369">
    <w:abstractNumId w:val="12"/>
  </w:num>
  <w:num w:numId="6" w16cid:durableId="115611947">
    <w:abstractNumId w:val="6"/>
  </w:num>
  <w:num w:numId="7" w16cid:durableId="1125154118">
    <w:abstractNumId w:val="3"/>
  </w:num>
  <w:num w:numId="8" w16cid:durableId="1128353960">
    <w:abstractNumId w:val="11"/>
  </w:num>
  <w:num w:numId="9" w16cid:durableId="1924991470">
    <w:abstractNumId w:val="9"/>
  </w:num>
  <w:num w:numId="10" w16cid:durableId="274219488">
    <w:abstractNumId w:val="2"/>
  </w:num>
  <w:num w:numId="11" w16cid:durableId="105126369">
    <w:abstractNumId w:val="13"/>
  </w:num>
  <w:num w:numId="12" w16cid:durableId="1083064473">
    <w:abstractNumId w:val="8"/>
  </w:num>
  <w:num w:numId="13" w16cid:durableId="459766683">
    <w:abstractNumId w:val="14"/>
  </w:num>
  <w:num w:numId="14" w16cid:durableId="1034354758">
    <w:abstractNumId w:val="10"/>
  </w:num>
  <w:num w:numId="15" w16cid:durableId="1007253495">
    <w:abstractNumId w:val="7"/>
  </w:num>
  <w:num w:numId="16" w16cid:durableId="206336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19"/>
    <w:rsid w:val="00001EA4"/>
    <w:rsid w:val="00002364"/>
    <w:rsid w:val="00011FD9"/>
    <w:rsid w:val="0001354B"/>
    <w:rsid w:val="00015C30"/>
    <w:rsid w:val="000274E1"/>
    <w:rsid w:val="00027AFB"/>
    <w:rsid w:val="0003718C"/>
    <w:rsid w:val="000507F9"/>
    <w:rsid w:val="00054F20"/>
    <w:rsid w:val="000604CD"/>
    <w:rsid w:val="00070A34"/>
    <w:rsid w:val="00075675"/>
    <w:rsid w:val="000911C6"/>
    <w:rsid w:val="00097875"/>
    <w:rsid w:val="000A298F"/>
    <w:rsid w:val="000B5E7C"/>
    <w:rsid w:val="000C1A72"/>
    <w:rsid w:val="000C43FA"/>
    <w:rsid w:val="000D0FD3"/>
    <w:rsid w:val="000D2C82"/>
    <w:rsid w:val="000D698B"/>
    <w:rsid w:val="000E17F2"/>
    <w:rsid w:val="000E461C"/>
    <w:rsid w:val="000E6F47"/>
    <w:rsid w:val="000F3242"/>
    <w:rsid w:val="000F7316"/>
    <w:rsid w:val="001074E7"/>
    <w:rsid w:val="00113430"/>
    <w:rsid w:val="00124181"/>
    <w:rsid w:val="0013147E"/>
    <w:rsid w:val="001423E1"/>
    <w:rsid w:val="00142911"/>
    <w:rsid w:val="0014338A"/>
    <w:rsid w:val="00143A42"/>
    <w:rsid w:val="001445D9"/>
    <w:rsid w:val="001641C8"/>
    <w:rsid w:val="001733FF"/>
    <w:rsid w:val="00191D43"/>
    <w:rsid w:val="001A0FBE"/>
    <w:rsid w:val="001A1206"/>
    <w:rsid w:val="001A3E51"/>
    <w:rsid w:val="001A56DA"/>
    <w:rsid w:val="001B2775"/>
    <w:rsid w:val="001C40BA"/>
    <w:rsid w:val="001D170F"/>
    <w:rsid w:val="001E0B6A"/>
    <w:rsid w:val="001F7776"/>
    <w:rsid w:val="002008EE"/>
    <w:rsid w:val="00215A56"/>
    <w:rsid w:val="002204DD"/>
    <w:rsid w:val="00223BF4"/>
    <w:rsid w:val="00232AE1"/>
    <w:rsid w:val="00235801"/>
    <w:rsid w:val="002459C3"/>
    <w:rsid w:val="0025250A"/>
    <w:rsid w:val="0026284C"/>
    <w:rsid w:val="002708BF"/>
    <w:rsid w:val="002852E1"/>
    <w:rsid w:val="002D6A96"/>
    <w:rsid w:val="002F4060"/>
    <w:rsid w:val="0031215E"/>
    <w:rsid w:val="00316140"/>
    <w:rsid w:val="00321D55"/>
    <w:rsid w:val="003321F1"/>
    <w:rsid w:val="00345214"/>
    <w:rsid w:val="0035384D"/>
    <w:rsid w:val="00354193"/>
    <w:rsid w:val="00360598"/>
    <w:rsid w:val="00384045"/>
    <w:rsid w:val="003928F9"/>
    <w:rsid w:val="003A4F70"/>
    <w:rsid w:val="003A78CE"/>
    <w:rsid w:val="003B0DFC"/>
    <w:rsid w:val="003B687E"/>
    <w:rsid w:val="003C0EF4"/>
    <w:rsid w:val="003C7600"/>
    <w:rsid w:val="003D4920"/>
    <w:rsid w:val="003D6283"/>
    <w:rsid w:val="003F2FBF"/>
    <w:rsid w:val="00404B8D"/>
    <w:rsid w:val="004229F6"/>
    <w:rsid w:val="004263AC"/>
    <w:rsid w:val="00447350"/>
    <w:rsid w:val="00461C09"/>
    <w:rsid w:val="00470D48"/>
    <w:rsid w:val="00472D92"/>
    <w:rsid w:val="00476B21"/>
    <w:rsid w:val="00490D10"/>
    <w:rsid w:val="0049354C"/>
    <w:rsid w:val="004935B2"/>
    <w:rsid w:val="004974E3"/>
    <w:rsid w:val="004A03CB"/>
    <w:rsid w:val="004B2FE5"/>
    <w:rsid w:val="004D266D"/>
    <w:rsid w:val="004D3FB6"/>
    <w:rsid w:val="004E3B15"/>
    <w:rsid w:val="004F61EC"/>
    <w:rsid w:val="00505E5E"/>
    <w:rsid w:val="00506040"/>
    <w:rsid w:val="00507EB2"/>
    <w:rsid w:val="00514D64"/>
    <w:rsid w:val="005204E2"/>
    <w:rsid w:val="00524B9D"/>
    <w:rsid w:val="00535FB7"/>
    <w:rsid w:val="005476EA"/>
    <w:rsid w:val="0054773A"/>
    <w:rsid w:val="0055245F"/>
    <w:rsid w:val="00573CC1"/>
    <w:rsid w:val="00584C04"/>
    <w:rsid w:val="005A4B43"/>
    <w:rsid w:val="005B430E"/>
    <w:rsid w:val="005C0771"/>
    <w:rsid w:val="005D0032"/>
    <w:rsid w:val="005D3080"/>
    <w:rsid w:val="005D32F5"/>
    <w:rsid w:val="005E45BC"/>
    <w:rsid w:val="005F038B"/>
    <w:rsid w:val="006039A8"/>
    <w:rsid w:val="00626A11"/>
    <w:rsid w:val="006311B1"/>
    <w:rsid w:val="006532A3"/>
    <w:rsid w:val="00660544"/>
    <w:rsid w:val="00665872"/>
    <w:rsid w:val="00675233"/>
    <w:rsid w:val="0069796F"/>
    <w:rsid w:val="006A214D"/>
    <w:rsid w:val="006A7C80"/>
    <w:rsid w:val="006E6B40"/>
    <w:rsid w:val="00701725"/>
    <w:rsid w:val="00731C33"/>
    <w:rsid w:val="007321E6"/>
    <w:rsid w:val="007414C3"/>
    <w:rsid w:val="00743C41"/>
    <w:rsid w:val="00770BB7"/>
    <w:rsid w:val="00783DDD"/>
    <w:rsid w:val="00795DF7"/>
    <w:rsid w:val="007A78E4"/>
    <w:rsid w:val="007C7A9E"/>
    <w:rsid w:val="007D46F3"/>
    <w:rsid w:val="007D4ED9"/>
    <w:rsid w:val="007E0AA5"/>
    <w:rsid w:val="007E1ECB"/>
    <w:rsid w:val="007F3518"/>
    <w:rsid w:val="007F45FE"/>
    <w:rsid w:val="007F76B0"/>
    <w:rsid w:val="0080156C"/>
    <w:rsid w:val="008073ED"/>
    <w:rsid w:val="0081321F"/>
    <w:rsid w:val="00815336"/>
    <w:rsid w:val="00816129"/>
    <w:rsid w:val="008331EA"/>
    <w:rsid w:val="00833616"/>
    <w:rsid w:val="00841492"/>
    <w:rsid w:val="00845B29"/>
    <w:rsid w:val="0086146E"/>
    <w:rsid w:val="00873186"/>
    <w:rsid w:val="00887263"/>
    <w:rsid w:val="008879BF"/>
    <w:rsid w:val="0089707E"/>
    <w:rsid w:val="00897264"/>
    <w:rsid w:val="008C1FD1"/>
    <w:rsid w:val="008C685F"/>
    <w:rsid w:val="008C7EC3"/>
    <w:rsid w:val="008D25BD"/>
    <w:rsid w:val="008D2E5B"/>
    <w:rsid w:val="008E6C4F"/>
    <w:rsid w:val="008E6C58"/>
    <w:rsid w:val="008E73C4"/>
    <w:rsid w:val="008F21CE"/>
    <w:rsid w:val="008F28AD"/>
    <w:rsid w:val="008F75B8"/>
    <w:rsid w:val="00917E2E"/>
    <w:rsid w:val="0093618B"/>
    <w:rsid w:val="009365B4"/>
    <w:rsid w:val="009435AB"/>
    <w:rsid w:val="009465B7"/>
    <w:rsid w:val="00960CAD"/>
    <w:rsid w:val="00961967"/>
    <w:rsid w:val="00963D87"/>
    <w:rsid w:val="00963E8F"/>
    <w:rsid w:val="00994F97"/>
    <w:rsid w:val="00996B09"/>
    <w:rsid w:val="00996F34"/>
    <w:rsid w:val="009D1D89"/>
    <w:rsid w:val="009D40CC"/>
    <w:rsid w:val="009E3D17"/>
    <w:rsid w:val="009E5AE4"/>
    <w:rsid w:val="009E6CFF"/>
    <w:rsid w:val="009F4E99"/>
    <w:rsid w:val="00A07D7A"/>
    <w:rsid w:val="00A31D9F"/>
    <w:rsid w:val="00A4290E"/>
    <w:rsid w:val="00A46985"/>
    <w:rsid w:val="00A534E3"/>
    <w:rsid w:val="00A53BE4"/>
    <w:rsid w:val="00A5672E"/>
    <w:rsid w:val="00A57428"/>
    <w:rsid w:val="00A64344"/>
    <w:rsid w:val="00A72C2D"/>
    <w:rsid w:val="00A8450B"/>
    <w:rsid w:val="00A93C16"/>
    <w:rsid w:val="00A941DA"/>
    <w:rsid w:val="00AA29FA"/>
    <w:rsid w:val="00AB05C3"/>
    <w:rsid w:val="00AB41D4"/>
    <w:rsid w:val="00AC1E9C"/>
    <w:rsid w:val="00AD10CF"/>
    <w:rsid w:val="00AD6896"/>
    <w:rsid w:val="00AD694B"/>
    <w:rsid w:val="00AD7C0B"/>
    <w:rsid w:val="00AE79C6"/>
    <w:rsid w:val="00B07337"/>
    <w:rsid w:val="00B20E38"/>
    <w:rsid w:val="00B410E2"/>
    <w:rsid w:val="00B42A3F"/>
    <w:rsid w:val="00B43646"/>
    <w:rsid w:val="00B44B57"/>
    <w:rsid w:val="00B5046C"/>
    <w:rsid w:val="00B7554F"/>
    <w:rsid w:val="00B90D6B"/>
    <w:rsid w:val="00BA2B69"/>
    <w:rsid w:val="00BB74E4"/>
    <w:rsid w:val="00C03618"/>
    <w:rsid w:val="00C054B9"/>
    <w:rsid w:val="00C13F77"/>
    <w:rsid w:val="00C1551A"/>
    <w:rsid w:val="00C30A54"/>
    <w:rsid w:val="00C36747"/>
    <w:rsid w:val="00C51719"/>
    <w:rsid w:val="00C75BC2"/>
    <w:rsid w:val="00C766D7"/>
    <w:rsid w:val="00C811F0"/>
    <w:rsid w:val="00C85208"/>
    <w:rsid w:val="00C868D8"/>
    <w:rsid w:val="00C86A19"/>
    <w:rsid w:val="00C90D38"/>
    <w:rsid w:val="00CB007D"/>
    <w:rsid w:val="00CB3528"/>
    <w:rsid w:val="00CC2566"/>
    <w:rsid w:val="00CC4C35"/>
    <w:rsid w:val="00CE3A53"/>
    <w:rsid w:val="00CE46E5"/>
    <w:rsid w:val="00CF1C8E"/>
    <w:rsid w:val="00D0469C"/>
    <w:rsid w:val="00D312DA"/>
    <w:rsid w:val="00D34D9C"/>
    <w:rsid w:val="00D41295"/>
    <w:rsid w:val="00D43F3C"/>
    <w:rsid w:val="00D45B28"/>
    <w:rsid w:val="00D52B25"/>
    <w:rsid w:val="00D57532"/>
    <w:rsid w:val="00D57CE0"/>
    <w:rsid w:val="00D6649E"/>
    <w:rsid w:val="00D70B98"/>
    <w:rsid w:val="00D84337"/>
    <w:rsid w:val="00D84A11"/>
    <w:rsid w:val="00D9289D"/>
    <w:rsid w:val="00DA2D4D"/>
    <w:rsid w:val="00DA2DDE"/>
    <w:rsid w:val="00DA5029"/>
    <w:rsid w:val="00DB1906"/>
    <w:rsid w:val="00DB6B0C"/>
    <w:rsid w:val="00DC43BE"/>
    <w:rsid w:val="00DD13D5"/>
    <w:rsid w:val="00DD382D"/>
    <w:rsid w:val="00DD4D5E"/>
    <w:rsid w:val="00DE4F80"/>
    <w:rsid w:val="00DE65D5"/>
    <w:rsid w:val="00DF2326"/>
    <w:rsid w:val="00DF2485"/>
    <w:rsid w:val="00DF3A02"/>
    <w:rsid w:val="00DF3F1D"/>
    <w:rsid w:val="00E0205E"/>
    <w:rsid w:val="00E0489E"/>
    <w:rsid w:val="00E13DBE"/>
    <w:rsid w:val="00E25DC5"/>
    <w:rsid w:val="00E425AC"/>
    <w:rsid w:val="00E430D3"/>
    <w:rsid w:val="00E437A0"/>
    <w:rsid w:val="00E442CB"/>
    <w:rsid w:val="00E55F18"/>
    <w:rsid w:val="00E74025"/>
    <w:rsid w:val="00E87B19"/>
    <w:rsid w:val="00E901C7"/>
    <w:rsid w:val="00EB13F5"/>
    <w:rsid w:val="00EC1752"/>
    <w:rsid w:val="00ED1949"/>
    <w:rsid w:val="00EE03F2"/>
    <w:rsid w:val="00EE1305"/>
    <w:rsid w:val="00EE6112"/>
    <w:rsid w:val="00F02343"/>
    <w:rsid w:val="00F11110"/>
    <w:rsid w:val="00F15D3B"/>
    <w:rsid w:val="00F26C42"/>
    <w:rsid w:val="00F30420"/>
    <w:rsid w:val="00F434F2"/>
    <w:rsid w:val="00F65844"/>
    <w:rsid w:val="00F75F6F"/>
    <w:rsid w:val="00F845DC"/>
    <w:rsid w:val="00F85853"/>
    <w:rsid w:val="00F952B8"/>
    <w:rsid w:val="00F96DB4"/>
    <w:rsid w:val="00FA6724"/>
    <w:rsid w:val="00FB12E2"/>
    <w:rsid w:val="00FC1442"/>
    <w:rsid w:val="00FC4248"/>
    <w:rsid w:val="00FE5AD3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ABC4EA"/>
  <w14:defaultImageDpi w14:val="300"/>
  <w15:docId w15:val="{43760590-B367-41B9-96B1-3AF2B4A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it-IT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qFormat/>
    <w:rsid w:val="00C86A19"/>
    <w:rPr>
      <w:b/>
      <w:bCs/>
    </w:rPr>
  </w:style>
  <w:style w:type="character" w:styleId="Nadruk">
    <w:name w:val="Emphasis"/>
    <w:qFormat/>
    <w:rsid w:val="00C86A19"/>
    <w:rPr>
      <w:i/>
      <w:iCs/>
    </w:rPr>
  </w:style>
  <w:style w:type="character" w:customStyle="1" w:styleId="apple-converted-space">
    <w:name w:val="apple-converted-space"/>
    <w:basedOn w:val="Standaardalinea-lettertype"/>
    <w:rsid w:val="00C86A19"/>
  </w:style>
  <w:style w:type="paragraph" w:styleId="Normaalweb">
    <w:name w:val="Normal (Web)"/>
    <w:basedOn w:val="Standaard"/>
    <w:rsid w:val="00C86A19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FF5F60"/>
    <w:rPr>
      <w:sz w:val="16"/>
      <w:szCs w:val="16"/>
    </w:rPr>
  </w:style>
  <w:style w:type="paragraph" w:styleId="Tekstopmerking">
    <w:name w:val="annotation text"/>
    <w:basedOn w:val="Standaard"/>
    <w:semiHidden/>
    <w:rsid w:val="00FF5F6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FF5F60"/>
    <w:rPr>
      <w:b/>
      <w:bCs/>
    </w:rPr>
  </w:style>
  <w:style w:type="paragraph" w:styleId="Ballontekst">
    <w:name w:val="Balloon Text"/>
    <w:basedOn w:val="Standaard"/>
    <w:semiHidden/>
    <w:rsid w:val="00FF5F6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rsid w:val="00EE03F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rsid w:val="00EE03F2"/>
    <w:rPr>
      <w:sz w:val="24"/>
      <w:szCs w:val="24"/>
      <w:lang w:val="it-IT" w:eastAsia="ja-JP"/>
    </w:rPr>
  </w:style>
  <w:style w:type="paragraph" w:styleId="Voettekst">
    <w:name w:val="footer"/>
    <w:basedOn w:val="Standaard"/>
    <w:link w:val="VoettekstChar"/>
    <w:uiPriority w:val="99"/>
    <w:rsid w:val="00EE03F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E03F2"/>
    <w:rPr>
      <w:sz w:val="24"/>
      <w:szCs w:val="24"/>
      <w:lang w:val="it-IT" w:eastAsia="ja-JP"/>
    </w:rPr>
  </w:style>
  <w:style w:type="character" w:styleId="Paginanummer">
    <w:name w:val="page number"/>
    <w:basedOn w:val="Standaardalinea-lettertype"/>
    <w:semiHidden/>
    <w:unhideWhenUsed/>
    <w:rsid w:val="00CB007D"/>
  </w:style>
  <w:style w:type="character" w:styleId="Hyperlink">
    <w:name w:val="Hyperlink"/>
    <w:basedOn w:val="Standaardalinea-lettertype"/>
    <w:unhideWhenUsed/>
    <w:rsid w:val="007F45FE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Standaardalinea-lettertype"/>
    <w:uiPriority w:val="99"/>
    <w:semiHidden/>
    <w:unhideWhenUsed/>
    <w:rsid w:val="007F45F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72"/>
    <w:qFormat/>
    <w:rsid w:val="001A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quator-network.org/reporting-guidelines/ch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1439</Words>
  <Characters>7920</Characters>
  <Application>Microsoft Office Word</Application>
  <DocSecurity>0</DocSecurity>
  <Lines>66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CHEERS checklist—Items to include when reporting economic evaluations of health interventions</vt:lpstr>
      <vt:lpstr>CHEERS checklist—Items to include when reporting economic evaluations of health interventions</vt:lpstr>
      <vt:lpstr>CHEERS checklist—Items to include when reporting economic evaluations of health interventions</vt:lpstr>
    </vt:vector>
  </TitlesOfParts>
  <Company>UHN Research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CHEERS checklist—Items to include when reporting economic evaluations of health interventions</dc:title>
  <dc:creator>Utente</dc:creator>
  <cp:lastModifiedBy>Lisanne Gilhuis</cp:lastModifiedBy>
  <cp:revision>62</cp:revision>
  <cp:lastPrinted>2022-06-16T09:55:00Z</cp:lastPrinted>
  <dcterms:created xsi:type="dcterms:W3CDTF">2025-02-05T14:23:00Z</dcterms:created>
  <dcterms:modified xsi:type="dcterms:W3CDTF">2025-02-06T19:48:00Z</dcterms:modified>
</cp:coreProperties>
</file>