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40"/>
        <w:jc w:val="center"/>
      </w:pPr>
      <w:r>
        <w:rPr>
          <w:rFonts w:ascii="Arial" w:cs="Arial" w:eastAsia="Arial" w:hAnsi="Arial"/>
          <w:b/>
          <w:bCs/>
          <w:color w:val="1B4F8A"/>
          <w:sz w:val="72"/>
          <w:szCs w:val="72"/>
        </w:rPr>
        <w:t xml:space="preserve">BHAPI.AI</w:t>
      </w:r>
    </w:p>
    <w:p>
      <w:pPr>
        <w:spacing w:before="0" w:after="160"/>
        <w:jc w:val="center"/>
      </w:pPr>
      <w:r>
        <w:rPr>
          <w:rFonts w:ascii="Arial" w:cs="Arial" w:eastAsia="Arial" w:hAnsi="Arial"/>
          <w:color w:val="2874A6"/>
          <w:sz w:val="44"/>
          <w:szCs w:val="44"/>
        </w:rPr>
        <w:t xml:space="preserve">Family AI Governance Portal</w:t>
      </w:r>
    </w:p>
    <w:p>
      <w:pPr>
        <w:spacing w:before="0" w:after="400"/>
        <w:jc w:val="center"/>
      </w:pPr>
      <w:r>
        <w:rPr>
          <w:rFonts w:ascii="Arial" w:cs="Arial" w:eastAsia="Arial" w:hAnsi="Arial"/>
          <w:color w:val="4A4A4A"/>
          <w:sz w:val="32"/>
          <w:szCs w:val="32"/>
        </w:rPr>
        <w:t xml:space="preserve">Formal Product Specification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Document 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Draft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Status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Mike, CEO — Bhapi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Date</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Platform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bhapi.ai</w:t>
            </w:r>
          </w:p>
        </w:tc>
      </w:tr>
    </w:tbl>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1. Executive Summary</w:t>
      </w:r>
    </w:p>
    <w:p>
      <w:pPr>
        <w:spacing w:before="80" w:after="120"/>
      </w:pPr>
      <w:r>
        <w:rPr>
          <w:rFonts w:ascii="Arial" w:cs="Arial" w:eastAsia="Arial" w:hAnsi="Arial"/>
          <w:color w:val="4A4A4A"/>
          <w:sz w:val="22"/>
          <w:szCs w:val="22"/>
        </w:rPr>
        <w:t xml:space="preserve">The Bhapi Family AI Governance Portal is a new product under the bhapi.ai umbrella that provides parents, school administrators, and community club managers with a unified platform to monitor, govern, and manage the AI tool usage of children and members under their care.</w:t>
      </w:r>
    </w:p>
    <w:p>
      <w:pPr>
        <w:spacing w:before="80" w:after="120"/>
      </w:pPr>
      <w:r>
        <w:rPr>
          <w:rFonts w:ascii="Arial" w:cs="Arial" w:eastAsia="Arial" w:hAnsi="Arial"/>
          <w:color w:val="4A4A4A"/>
          <w:sz w:val="22"/>
          <w:szCs w:val="22"/>
        </w:rPr>
        <w:t xml:space="preserve">The portal addresses a critical and growing gap: as AI tools like ChatGPT, Gemini, Microsoft Copilot, Anthropic Claude, and Grok become embedded in everyday family, school, and club life, there is no centralised parental or administrator control layer. This product fills that gap with real-time risk alerting, PII protection, content safety monitoring, and AI spend management so that families and organisations can control both the safety and the cost of AI consumption.</w:t>
      </w:r>
    </w:p>
    <w:p>
      <w:pPr>
        <w:spacing w:before="80" w:after="120"/>
      </w:pPr>
      <w:r>
        <w:rPr>
          <w:rFonts w:ascii="Arial" w:cs="Arial" w:eastAsia="Arial" w:hAnsi="Arial"/>
          <w:color w:val="4A4A4A"/>
          <w:sz w:val="22"/>
          <w:szCs w:val="22"/>
        </w:rPr>
        <w:t xml:space="preserve">The product is a sibling to Bhapi's core social safety platform and is informed by the AI risk management methodology developed at Littledata, implemented here as a fully independent service.</w:t>
      </w:r>
    </w:p>
    <w:p>
      <w:pPr>
        <w:spacing w:before="120" w:after="0"/>
      </w:pPr>
      <w:r>
        <w:t xml:space="preserve"/>
      </w:r>
    </w:p>
    <w:p>
      <w:pPr>
        <w:pStyle w:val="Heading1"/>
        <w:shd w:fill="1B4F8A" w:val="clear"/>
        <w:spacing w:before="400" w:after="160"/>
        <w:ind w:left="240" w:right="240"/>
      </w:pPr>
      <w:r>
        <w:rPr>
          <w:rFonts w:ascii="Arial" w:cs="Arial" w:eastAsia="Arial" w:hAnsi="Arial"/>
          <w:b/>
          <w:bCs/>
          <w:color w:val="FFFFFF"/>
          <w:sz w:val="32"/>
          <w:szCs w:val="32"/>
        </w:rPr>
        <w:t xml:space="preserve">2. Product Vision &amp; Goals</w:t>
      </w:r>
    </w:p>
    <w:p>
      <w:pPr>
        <w:spacing w:before="80" w:after="120"/>
      </w:pPr>
      <w:r>
        <w:rPr>
          <w:rFonts w:ascii="Arial" w:cs="Arial" w:eastAsia="Arial" w:hAnsi="Arial"/>
          <w:color w:val="4A4A4A"/>
          <w:sz w:val="22"/>
          <w:szCs w:val="22"/>
        </w:rPr>
        <w:t xml:space="preserve">Vision: To be the trusted AI safety and governance layer for families, schools, and clubs worldwide — making responsible AI use simple to manage without requiring technical expertise.</w:t>
      </w:r>
    </w:p>
    <w:p>
      <w:pPr>
        <w:spacing w:before="80" w:after="0"/>
      </w:pPr>
      <w:r>
        <w:t xml:space="preserve"/>
      </w:r>
    </w:p>
    <w:p>
      <w:pPr>
        <w:pStyle w:val="Heading3"/>
        <w:spacing w:before="240" w:after="80"/>
      </w:pPr>
      <w:r>
        <w:rPr>
          <w:rFonts w:ascii="Arial" w:cs="Arial" w:eastAsia="Arial" w:hAnsi="Arial"/>
          <w:b/>
          <w:bCs/>
          <w:color w:val="1B4F8A"/>
          <w:sz w:val="22"/>
          <w:szCs w:val="22"/>
        </w:rPr>
        <w:t xml:space="preserve">MVP Goals</w:t>
      </w:r>
    </w:p>
    <w:p>
      <w:pPr>
        <w:pStyle w:val="ListParagraph"/>
        <w:numPr>
          <w:ilvl w:val="0"/>
          <w:numId w:val="2"/>
        </w:numPr>
        <w:spacing w:before="40" w:after="40"/>
      </w:pPr>
      <w:r>
        <w:rPr>
          <w:rFonts w:ascii="Arial" w:cs="Arial" w:eastAsia="Arial" w:hAnsi="Arial"/>
          <w:b w:val="false"/>
          <w:bCs w:val="false"/>
          <w:color w:val="4A4A4A"/>
          <w:sz w:val="22"/>
          <w:szCs w:val="22"/>
        </w:rPr>
        <w:t xml:space="preserve">Launch a web-responsive portal at bhapi.ai serving family and institutional (school/club) use cases.</w:t>
      </w:r>
    </w:p>
    <w:p>
      <w:pPr>
        <w:pStyle w:val="ListParagraph"/>
        <w:numPr>
          <w:ilvl w:val="0"/>
          <w:numId w:val="2"/>
        </w:numPr>
        <w:spacing w:before="40" w:after="40"/>
      </w:pPr>
      <w:r>
        <w:rPr>
          <w:rFonts w:ascii="Arial" w:cs="Arial" w:eastAsia="Arial" w:hAnsi="Arial"/>
          <w:b w:val="false"/>
          <w:bCs w:val="false"/>
          <w:color w:val="4A4A4A"/>
          <w:sz w:val="22"/>
          <w:szCs w:val="22"/>
        </w:rPr>
        <w:t xml:space="preserve">Provide multi-channel AI usage monitoring across the five major consumer LLMs.</w:t>
      </w:r>
    </w:p>
    <w:p>
      <w:pPr>
        <w:pStyle w:val="ListParagraph"/>
        <w:numPr>
          <w:ilvl w:val="0"/>
          <w:numId w:val="2"/>
        </w:numPr>
        <w:spacing w:before="40" w:after="40"/>
      </w:pPr>
      <w:r>
        <w:rPr>
          <w:rFonts w:ascii="Arial" w:cs="Arial" w:eastAsia="Arial" w:hAnsi="Arial"/>
          <w:b w:val="false"/>
          <w:bCs w:val="false"/>
          <w:color w:val="4A4A4A"/>
          <w:sz w:val="22"/>
          <w:szCs w:val="22"/>
        </w:rPr>
        <w:t xml:space="preserve">Detect and flag harmful content, PII exposure, and high-risk AI interactions in real-time.</w:t>
      </w:r>
    </w:p>
    <w:p>
      <w:pPr>
        <w:pStyle w:val="ListParagraph"/>
        <w:numPr>
          <w:ilvl w:val="0"/>
          <w:numId w:val="2"/>
        </w:numPr>
        <w:spacing w:before="40" w:after="40"/>
      </w:pPr>
      <w:r>
        <w:rPr>
          <w:rFonts w:ascii="Arial" w:cs="Arial" w:eastAsia="Arial" w:hAnsi="Arial"/>
          <w:b w:val="false"/>
          <w:bCs w:val="false"/>
          <w:color w:val="4A4A4A"/>
          <w:sz w:val="22"/>
          <w:szCs w:val="22"/>
        </w:rPr>
        <w:t xml:space="preserve">Give parents and administrators full visibility into AI spend across their group, with configurable thresholds and alerts.</w:t>
      </w:r>
    </w:p>
    <w:p>
      <w:pPr>
        <w:pStyle w:val="ListParagraph"/>
        <w:numPr>
          <w:ilvl w:val="0"/>
          <w:numId w:val="2"/>
        </w:numPr>
        <w:spacing w:before="40" w:after="40"/>
      </w:pPr>
      <w:r>
        <w:rPr>
          <w:rFonts w:ascii="Arial" w:cs="Arial" w:eastAsia="Arial" w:hAnsi="Arial"/>
          <w:b w:val="false"/>
          <w:bCs w:val="false"/>
          <w:color w:val="4A4A4A"/>
          <w:sz w:val="22"/>
          <w:szCs w:val="22"/>
        </w:rPr>
        <w:t xml:space="preserve">Support English as the launch language with architecture ready for five additional languages (FR, DE, IT, PT, ES).</w:t>
      </w:r>
    </w:p>
    <w:p>
      <w:pPr>
        <w:pStyle w:val="ListParagraph"/>
        <w:numPr>
          <w:ilvl w:val="0"/>
          <w:numId w:val="2"/>
        </w:numPr>
        <w:spacing w:before="40" w:after="40"/>
      </w:pPr>
      <w:r>
        <w:rPr>
          <w:rFonts w:ascii="Arial" w:cs="Arial" w:eastAsia="Arial" w:hAnsi="Arial"/>
          <w:b w:val="false"/>
          <w:bCs w:val="false"/>
          <w:color w:val="4A4A4A"/>
          <w:sz w:val="22"/>
          <w:szCs w:val="22"/>
        </w:rPr>
        <w:t xml:space="preserve">Meet regulatory obligations for the US, EU, UK, Australia, and Brazil from day one.</w:t>
      </w:r>
    </w:p>
    <w:p>
      <w:pPr>
        <w:spacing w:before="120" w:after="0"/>
      </w:pPr>
      <w:r>
        <w:t xml:space="preserve"/>
      </w:r>
    </w:p>
    <w:p>
      <w:pPr>
        <w:pStyle w:val="Heading1"/>
        <w:shd w:fill="1B4F8A" w:val="clear"/>
        <w:spacing w:before="400" w:after="160"/>
        <w:ind w:left="240" w:right="240"/>
      </w:pPr>
      <w:r>
        <w:rPr>
          <w:rFonts w:ascii="Arial" w:cs="Arial" w:eastAsia="Arial" w:hAnsi="Arial"/>
          <w:b/>
          <w:bCs/>
          <w:color w:val="FFFFFF"/>
          <w:sz w:val="32"/>
          <w:szCs w:val="32"/>
        </w:rPr>
        <w:t xml:space="preserve">3. Personas &amp; User Roles</w:t>
      </w:r>
    </w:p>
    <w:p>
      <w:pPr>
        <w:pStyle w:val="Heading3"/>
        <w:spacing w:before="240" w:after="80"/>
      </w:pPr>
      <w:r>
        <w:rPr>
          <w:rFonts w:ascii="Arial" w:cs="Arial" w:eastAsia="Arial" w:hAnsi="Arial"/>
          <w:b/>
          <w:bCs/>
          <w:color w:val="1B4F8A"/>
          <w:sz w:val="22"/>
          <w:szCs w:val="22"/>
        </w:rPr>
        <w:t xml:space="preserve">3.1 Parent / Family Guardian (role: parent)</w:t>
      </w:r>
    </w:p>
    <w:p>
      <w:pPr>
        <w:spacing w:before="80" w:after="120"/>
      </w:pPr>
      <w:r>
        <w:rPr>
          <w:rFonts w:ascii="Arial" w:cs="Arial" w:eastAsia="Arial" w:hAnsi="Arial"/>
          <w:color w:val="4A4A4A"/>
          <w:sz w:val="22"/>
          <w:szCs w:val="22"/>
        </w:rPr>
        <w:t xml:space="preserve">The primary consumer persona. A parent or legal guardian who creates a family account and invites family members. They have full admin rights over their family group: viewing all monitored AI interactions, managing alerts, reviewing flagged content, setting spend limits, and approving or blocking AI tool access for children.</w:t>
      </w:r>
    </w:p>
    <w:p>
      <w:pPr>
        <w:spacing w:before="80" w:after="120"/>
      </w:pPr>
      <w:r>
        <w:rPr>
          <w:rFonts w:ascii="Arial" w:cs="Arial" w:eastAsia="Arial" w:hAnsi="Arial"/>
          <w:color w:val="4A4A4A"/>
          <w:sz w:val="22"/>
          <w:szCs w:val="22"/>
        </w:rPr>
        <w:t xml:space="preserve">Key jobs to be done:</w:t>
      </w:r>
    </w:p>
    <w:p>
      <w:pPr>
        <w:pStyle w:val="ListParagraph"/>
        <w:numPr>
          <w:ilvl w:val="0"/>
          <w:numId w:val="3"/>
        </w:numPr>
        <w:spacing w:before="20" w:after="20"/>
      </w:pPr>
      <w:r>
        <w:rPr>
          <w:rFonts w:ascii="Arial" w:cs="Arial" w:eastAsia="Arial" w:hAnsi="Arial"/>
          <w:color w:val="4A4A4A"/>
          <w:sz w:val="20"/>
          <w:szCs w:val="20"/>
        </w:rPr>
        <w:t xml:space="preserve">Know what AI tools my children are using and what they are asking.</w:t>
      </w:r>
    </w:p>
    <w:p>
      <w:pPr>
        <w:pStyle w:val="ListParagraph"/>
        <w:numPr>
          <w:ilvl w:val="0"/>
          <w:numId w:val="3"/>
        </w:numPr>
        <w:spacing w:before="20" w:after="20"/>
      </w:pPr>
      <w:r>
        <w:rPr>
          <w:rFonts w:ascii="Arial" w:cs="Arial" w:eastAsia="Arial" w:hAnsi="Arial"/>
          <w:color w:val="4A4A4A"/>
          <w:sz w:val="20"/>
          <w:szCs w:val="20"/>
        </w:rPr>
        <w:t xml:space="preserve">Be alerted immediately if something dangerous or inappropriate is happening.</w:t>
      </w:r>
    </w:p>
    <w:p>
      <w:pPr>
        <w:pStyle w:val="ListParagraph"/>
        <w:numPr>
          <w:ilvl w:val="0"/>
          <w:numId w:val="3"/>
        </w:numPr>
        <w:spacing w:before="20" w:after="20"/>
      </w:pPr>
      <w:r>
        <w:rPr>
          <w:rFonts w:ascii="Arial" w:cs="Arial" w:eastAsia="Arial" w:hAnsi="Arial"/>
          <w:color w:val="4A4A4A"/>
          <w:sz w:val="20"/>
          <w:szCs w:val="20"/>
        </w:rPr>
        <w:t xml:space="preserve">Understand and control how much money is being spent on AI across the household.</w:t>
      </w:r>
    </w:p>
    <w:p>
      <w:pPr>
        <w:pStyle w:val="ListParagraph"/>
        <w:numPr>
          <w:ilvl w:val="0"/>
          <w:numId w:val="3"/>
        </w:numPr>
        <w:spacing w:before="20" w:after="20"/>
      </w:pPr>
      <w:r>
        <w:rPr>
          <w:rFonts w:ascii="Arial" w:cs="Arial" w:eastAsia="Arial" w:hAnsi="Arial"/>
          <w:color w:val="4A4A4A"/>
          <w:sz w:val="20"/>
          <w:szCs w:val="20"/>
        </w:rPr>
        <w:t xml:space="preserve">Protect my family's personal information from being submitted to AI systems.</w:t>
      </w:r>
    </w:p>
    <w:p>
      <w:pPr>
        <w:spacing w:before="80" w:after="0"/>
      </w:pPr>
      <w:r>
        <w:t xml:space="preserve"/>
      </w:r>
    </w:p>
    <w:p>
      <w:pPr>
        <w:pStyle w:val="Heading3"/>
        <w:spacing w:before="240" w:after="80"/>
      </w:pPr>
      <w:r>
        <w:rPr>
          <w:rFonts w:ascii="Arial" w:cs="Arial" w:eastAsia="Arial" w:hAnsi="Arial"/>
          <w:b/>
          <w:bCs/>
          <w:color w:val="1B4F8A"/>
          <w:sz w:val="22"/>
          <w:szCs w:val="22"/>
        </w:rPr>
        <w:t xml:space="preserve">3.2 Child / Family Member (role: member)</w:t>
      </w:r>
    </w:p>
    <w:p>
      <w:pPr>
        <w:spacing w:before="80" w:after="120"/>
      </w:pPr>
      <w:r>
        <w:rPr>
          <w:rFonts w:ascii="Arial" w:cs="Arial" w:eastAsia="Arial" w:hAnsi="Arial"/>
          <w:color w:val="4A4A4A"/>
          <w:sz w:val="22"/>
          <w:szCs w:val="22"/>
        </w:rPr>
        <w:t xml:space="preserve">A family member (typically a minor, under 18) added to a family group by a parent. They use AI tools in their normal life and do not have administrative access to the portal. Children are never presented with their own risk scores or flagged content details without parent mediation.</w:t>
      </w:r>
    </w:p>
    <w:p>
      <w:pPr>
        <w:spacing w:before="80" w:after="0"/>
      </w:pPr>
      <w:r>
        <w:t xml:space="preserve"/>
      </w:r>
    </w:p>
    <w:p>
      <w:pPr>
        <w:pStyle w:val="Heading3"/>
        <w:spacing w:before="240" w:after="80"/>
      </w:pPr>
      <w:r>
        <w:rPr>
          <w:rFonts w:ascii="Arial" w:cs="Arial" w:eastAsia="Arial" w:hAnsi="Arial"/>
          <w:b/>
          <w:bCs/>
          <w:color w:val="1B4F8A"/>
          <w:sz w:val="22"/>
          <w:szCs w:val="22"/>
        </w:rPr>
        <w:t xml:space="preserve">3.3 School Administrator (role: school_admin)</w:t>
      </w:r>
    </w:p>
    <w:p>
      <w:pPr>
        <w:spacing w:before="80" w:after="120"/>
      </w:pPr>
      <w:r>
        <w:rPr>
          <w:rFonts w:ascii="Arial" w:cs="Arial" w:eastAsia="Arial" w:hAnsi="Arial"/>
          <w:color w:val="4A4A4A"/>
          <w:sz w:val="22"/>
          <w:szCs w:val="22"/>
        </w:rPr>
        <w:t xml:space="preserve">A designated staff member at a school (IT administrator, head teacher, designated safeguarding lead) who manages a school group. They can see aggregate and individual AI usage across students, manage school-wide AI spend, set content safety policies, and receive risk alerts.</w:t>
      </w:r>
    </w:p>
    <w:p>
      <w:pPr>
        <w:spacing w:before="80" w:after="120"/>
      </w:pPr>
      <w:r>
        <w:rPr>
          <w:rFonts w:ascii="Arial" w:cs="Arial" w:eastAsia="Arial" w:hAnsi="Arial"/>
          <w:color w:val="4A4A4A"/>
          <w:sz w:val="22"/>
          <w:szCs w:val="22"/>
        </w:rPr>
        <w:t xml:space="preserve">Key jobs to be done:</w:t>
      </w:r>
    </w:p>
    <w:p>
      <w:pPr>
        <w:pStyle w:val="ListParagraph"/>
        <w:numPr>
          <w:ilvl w:val="0"/>
          <w:numId w:val="3"/>
        </w:numPr>
        <w:spacing w:before="20" w:after="20"/>
      </w:pPr>
      <w:r>
        <w:rPr>
          <w:rFonts w:ascii="Arial" w:cs="Arial" w:eastAsia="Arial" w:hAnsi="Arial"/>
          <w:color w:val="4A4A4A"/>
          <w:sz w:val="20"/>
          <w:szCs w:val="20"/>
        </w:rPr>
        <w:t xml:space="preserve">Ensure students are using approved AI tools within safe boundaries.</w:t>
      </w:r>
    </w:p>
    <w:p>
      <w:pPr>
        <w:pStyle w:val="ListParagraph"/>
        <w:numPr>
          <w:ilvl w:val="0"/>
          <w:numId w:val="3"/>
        </w:numPr>
        <w:spacing w:before="20" w:after="20"/>
      </w:pPr>
      <w:r>
        <w:rPr>
          <w:rFonts w:ascii="Arial" w:cs="Arial" w:eastAsia="Arial" w:hAnsi="Arial"/>
          <w:color w:val="4A4A4A"/>
          <w:sz w:val="20"/>
          <w:szCs w:val="20"/>
        </w:rPr>
        <w:t xml:space="preserve">Detect and respond to students attempting to use AI for harmful, dishonest, or unsafe purposes.</w:t>
      </w:r>
    </w:p>
    <w:p>
      <w:pPr>
        <w:pStyle w:val="ListParagraph"/>
        <w:numPr>
          <w:ilvl w:val="0"/>
          <w:numId w:val="3"/>
        </w:numPr>
        <w:spacing w:before="20" w:after="20"/>
      </w:pPr>
      <w:r>
        <w:rPr>
          <w:rFonts w:ascii="Arial" w:cs="Arial" w:eastAsia="Arial" w:hAnsi="Arial"/>
          <w:color w:val="4A4A4A"/>
          <w:sz w:val="20"/>
          <w:szCs w:val="20"/>
        </w:rPr>
        <w:t xml:space="preserve">Manage the school's AI licensing costs and enforce budget caps per department or year group.</w:t>
      </w:r>
    </w:p>
    <w:p>
      <w:pPr>
        <w:pStyle w:val="ListParagraph"/>
        <w:numPr>
          <w:ilvl w:val="0"/>
          <w:numId w:val="3"/>
        </w:numPr>
        <w:spacing w:before="20" w:after="20"/>
      </w:pPr>
      <w:r>
        <w:rPr>
          <w:rFonts w:ascii="Arial" w:cs="Arial" w:eastAsia="Arial" w:hAnsi="Arial"/>
          <w:color w:val="4A4A4A"/>
          <w:sz w:val="20"/>
          <w:szCs w:val="20"/>
        </w:rPr>
        <w:t xml:space="preserve">Generate compliance reports for governors, Ofsted, or other regulatory bodies.</w:t>
      </w:r>
    </w:p>
    <w:p>
      <w:pPr>
        <w:spacing w:before="80" w:after="0"/>
      </w:pPr>
      <w:r>
        <w:t xml:space="preserve"/>
      </w:r>
    </w:p>
    <w:p>
      <w:pPr>
        <w:pStyle w:val="Heading3"/>
        <w:spacing w:before="240" w:after="80"/>
      </w:pPr>
      <w:r>
        <w:rPr>
          <w:rFonts w:ascii="Arial" w:cs="Arial" w:eastAsia="Arial" w:hAnsi="Arial"/>
          <w:b/>
          <w:bCs/>
          <w:color w:val="1B4F8A"/>
          <w:sz w:val="22"/>
          <w:szCs w:val="22"/>
        </w:rPr>
        <w:t xml:space="preserve">3.4 Club / Organisation Manager (role: club_admin)</w:t>
      </w:r>
    </w:p>
    <w:p>
      <w:pPr>
        <w:spacing w:before="80" w:after="120"/>
      </w:pPr>
      <w:r>
        <w:rPr>
          <w:rFonts w:ascii="Arial" w:cs="Arial" w:eastAsia="Arial" w:hAnsi="Arial"/>
          <w:color w:val="4A4A4A"/>
          <w:sz w:val="22"/>
          <w:szCs w:val="22"/>
        </w:rPr>
        <w:t xml:space="preserve">Similar to the school admin but for youth clubs, sports clubs, faith groups, or community organisations. Typically less technical. Focused on safeguarding members and managing any shared AI tool accounts.</w:t>
      </w:r>
    </w:p>
    <w:p>
      <w:pPr>
        <w:spacing w:before="80" w:after="0"/>
      </w:pPr>
      <w:r>
        <w:t xml:space="preserve"/>
      </w:r>
    </w:p>
    <w:p>
      <w:pPr>
        <w:pStyle w:val="Heading3"/>
        <w:spacing w:before="240" w:after="80"/>
      </w:pPr>
      <w:r>
        <w:rPr>
          <w:rFonts w:ascii="Arial" w:cs="Arial" w:eastAsia="Arial" w:hAnsi="Arial"/>
          <w:b/>
          <w:bCs/>
          <w:color w:val="1B4F8A"/>
          <w:sz w:val="22"/>
          <w:szCs w:val="22"/>
        </w:rPr>
        <w:t xml:space="preserve">3.5 System Administrator (role: system_admin)</w:t>
      </w:r>
    </w:p>
    <w:p>
      <w:pPr>
        <w:spacing w:before="80" w:after="120"/>
      </w:pPr>
      <w:r>
        <w:rPr>
          <w:rFonts w:ascii="Arial" w:cs="Arial" w:eastAsia="Arial" w:hAnsi="Arial"/>
          <w:color w:val="4A4A4A"/>
          <w:sz w:val="22"/>
          <w:szCs w:val="22"/>
        </w:rPr>
        <w:t xml:space="preserve">Internal Bhapi staff role with full platform access for support, compliance audit, and operations. Not visible to end users.</w:t>
      </w:r>
    </w:p>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4. Functional Requirements</w:t>
      </w:r>
    </w:p>
    <w:p>
      <w:pPr>
        <w:pStyle w:val="Heading2"/>
        <w:pBdr>
          <w:bottom w:val="single" w:color="2874A6" w:sz="4" w:space="1"/>
        </w:pBdr>
        <w:spacing w:before="320" w:after="120"/>
      </w:pPr>
      <w:r>
        <w:rPr>
          <w:rFonts w:ascii="Arial" w:cs="Arial" w:eastAsia="Arial" w:hAnsi="Arial"/>
          <w:b/>
          <w:bCs/>
          <w:color w:val="2874A6"/>
          <w:sz w:val="26"/>
          <w:szCs w:val="26"/>
        </w:rPr>
        <w:t xml:space="preserve">4.1 Account &amp; Group Management</w:t>
      </w:r>
    </w:p>
    <w:p>
      <w:pPr>
        <w:spacing w:before="60" w:after="60"/>
        <w:ind w:left="360"/>
      </w:pPr>
      <w:r>
        <w:rPr>
          <w:rFonts w:ascii="Arial" w:cs="Arial" w:eastAsia="Arial" w:hAnsi="Arial"/>
          <w:b/>
          <w:bCs/>
          <w:color w:val="1B4F8A"/>
          <w:sz w:val="22"/>
          <w:szCs w:val="22"/>
        </w:rPr>
        <w:t xml:space="preserve">FR-001 — </w:t>
      </w:r>
      <w:r>
        <w:rPr>
          <w:rFonts w:ascii="Arial" w:cs="Arial" w:eastAsia="Arial" w:hAnsi="Arial"/>
          <w:color w:val="4A4A4A"/>
          <w:sz w:val="22"/>
          <w:szCs w:val="22"/>
        </w:rPr>
        <w:t xml:space="preserve">Users must be able to register via email/password or SSO (Google, Microsoft, Apple).</w:t>
      </w:r>
    </w:p>
    <w:p>
      <w:pPr>
        <w:spacing w:before="60" w:after="60"/>
        <w:ind w:left="360"/>
      </w:pPr>
      <w:r>
        <w:rPr>
          <w:rFonts w:ascii="Arial" w:cs="Arial" w:eastAsia="Arial" w:hAnsi="Arial"/>
          <w:b/>
          <w:bCs/>
          <w:color w:val="1B4F8A"/>
          <w:sz w:val="22"/>
          <w:szCs w:val="22"/>
        </w:rPr>
        <w:t xml:space="preserve">FR-002 — </w:t>
      </w:r>
      <w:r>
        <w:rPr>
          <w:rFonts w:ascii="Arial" w:cs="Arial" w:eastAsia="Arial" w:hAnsi="Arial"/>
          <w:color w:val="4A4A4A"/>
          <w:sz w:val="22"/>
          <w:szCs w:val="22"/>
        </w:rPr>
        <w:t xml:space="preserve">Registration flow must differentiate between Family, School, and Club account types at sign-up.</w:t>
      </w:r>
    </w:p>
    <w:p>
      <w:pPr>
        <w:spacing w:before="60" w:after="60"/>
        <w:ind w:left="360"/>
      </w:pPr>
      <w:r>
        <w:rPr>
          <w:rFonts w:ascii="Arial" w:cs="Arial" w:eastAsia="Arial" w:hAnsi="Arial"/>
          <w:b/>
          <w:bCs/>
          <w:color w:val="1B4F8A"/>
          <w:sz w:val="22"/>
          <w:szCs w:val="22"/>
        </w:rPr>
        <w:t xml:space="preserve">FR-003 — </w:t>
      </w:r>
      <w:r>
        <w:rPr>
          <w:rFonts w:ascii="Arial" w:cs="Arial" w:eastAsia="Arial" w:hAnsi="Arial"/>
          <w:color w:val="4A4A4A"/>
          <w:sz w:val="22"/>
          <w:szCs w:val="22"/>
        </w:rPr>
        <w:t xml:space="preserve">A Parent or Admin must be able to create a named Group and invite members by email or shareable link.</w:t>
      </w:r>
    </w:p>
    <w:p>
      <w:pPr>
        <w:spacing w:before="60" w:after="60"/>
        <w:ind w:left="360"/>
      </w:pPr>
      <w:r>
        <w:rPr>
          <w:rFonts w:ascii="Arial" w:cs="Arial" w:eastAsia="Arial" w:hAnsi="Arial"/>
          <w:b/>
          <w:bCs/>
          <w:color w:val="1B4F8A"/>
          <w:sz w:val="22"/>
          <w:szCs w:val="22"/>
        </w:rPr>
        <w:t xml:space="preserve">FR-004 — </w:t>
      </w:r>
      <w:r>
        <w:rPr>
          <w:rFonts w:ascii="Arial" w:cs="Arial" w:eastAsia="Arial" w:hAnsi="Arial"/>
          <w:color w:val="4A4A4A"/>
          <w:sz w:val="22"/>
          <w:szCs w:val="22"/>
        </w:rPr>
        <w:t xml:space="preserve">Invitations must require guardian consent for any member identified as under 16 years of age.</w:t>
      </w:r>
    </w:p>
    <w:p>
      <w:pPr>
        <w:spacing w:before="60" w:after="60"/>
        <w:ind w:left="360"/>
      </w:pPr>
      <w:r>
        <w:rPr>
          <w:rFonts w:ascii="Arial" w:cs="Arial" w:eastAsia="Arial" w:hAnsi="Arial"/>
          <w:b/>
          <w:bCs/>
          <w:color w:val="1B4F8A"/>
          <w:sz w:val="22"/>
          <w:szCs w:val="22"/>
        </w:rPr>
        <w:t xml:space="preserve">FR-005 — </w:t>
      </w:r>
      <w:r>
        <w:rPr>
          <w:rFonts w:ascii="Arial" w:cs="Arial" w:eastAsia="Arial" w:hAnsi="Arial"/>
          <w:color w:val="4A4A4A"/>
          <w:sz w:val="22"/>
          <w:szCs w:val="22"/>
        </w:rPr>
        <w:t xml:space="preserve">Group members can be assigned the roles defined in Section 3. Role changes require group admin confirmation.</w:t>
      </w:r>
    </w:p>
    <w:p>
      <w:pPr>
        <w:spacing w:before="60" w:after="60"/>
        <w:ind w:left="360"/>
      </w:pPr>
      <w:r>
        <w:rPr>
          <w:rFonts w:ascii="Arial" w:cs="Arial" w:eastAsia="Arial" w:hAnsi="Arial"/>
          <w:b/>
          <w:bCs/>
          <w:color w:val="1B4F8A"/>
          <w:sz w:val="22"/>
          <w:szCs w:val="22"/>
        </w:rPr>
        <w:t xml:space="preserve">FR-006 — </w:t>
      </w:r>
      <w:r>
        <w:rPr>
          <w:rFonts w:ascii="Arial" w:cs="Arial" w:eastAsia="Arial" w:hAnsi="Arial"/>
          <w:color w:val="4A4A4A"/>
          <w:sz w:val="22"/>
          <w:szCs w:val="22"/>
        </w:rPr>
        <w:t xml:space="preserve">A user may belong to multiple groups (e.g. a parent who is also a school admin).</w:t>
      </w:r>
    </w:p>
    <w:p>
      <w:pPr>
        <w:spacing w:before="60" w:after="60"/>
        <w:ind w:left="360"/>
      </w:pPr>
      <w:r>
        <w:rPr>
          <w:rFonts w:ascii="Arial" w:cs="Arial" w:eastAsia="Arial" w:hAnsi="Arial"/>
          <w:b/>
          <w:bCs/>
          <w:color w:val="1B4F8A"/>
          <w:sz w:val="22"/>
          <w:szCs w:val="22"/>
        </w:rPr>
        <w:t xml:space="preserve">FR-007 — </w:t>
      </w:r>
      <w:r>
        <w:rPr>
          <w:rFonts w:ascii="Arial" w:cs="Arial" w:eastAsia="Arial" w:hAnsi="Arial"/>
          <w:color w:val="4A4A4A"/>
          <w:sz w:val="22"/>
          <w:szCs w:val="22"/>
        </w:rPr>
        <w:t xml:space="preserve">Account deletion must trigger full data erasure workflows compliant with GDPR, LGPD, and COPPA as applicable.</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4.2 Dashboard</w:t>
      </w:r>
    </w:p>
    <w:p>
      <w:pPr>
        <w:spacing w:before="60" w:after="60"/>
        <w:ind w:left="360"/>
      </w:pPr>
      <w:r>
        <w:rPr>
          <w:rFonts w:ascii="Arial" w:cs="Arial" w:eastAsia="Arial" w:hAnsi="Arial"/>
          <w:b/>
          <w:bCs/>
          <w:color w:val="1B4F8A"/>
          <w:sz w:val="22"/>
          <w:szCs w:val="22"/>
        </w:rPr>
        <w:t xml:space="preserve">FR-010 — </w:t>
      </w:r>
      <w:r>
        <w:rPr>
          <w:rFonts w:ascii="Arial" w:cs="Arial" w:eastAsia="Arial" w:hAnsi="Arial"/>
          <w:color w:val="4A4A4A"/>
          <w:sz w:val="22"/>
          <w:szCs w:val="22"/>
        </w:rPr>
        <w:t xml:space="preserve">The portal must present a primary dashboard showing: active monitored members, recent AI activity feed, unresolved risk alerts, and current-period AI spend summary.</w:t>
      </w:r>
    </w:p>
    <w:p>
      <w:pPr>
        <w:spacing w:before="60" w:after="60"/>
        <w:ind w:left="360"/>
      </w:pPr>
      <w:r>
        <w:rPr>
          <w:rFonts w:ascii="Arial" w:cs="Arial" w:eastAsia="Arial" w:hAnsi="Arial"/>
          <w:b/>
          <w:bCs/>
          <w:color w:val="1B4F8A"/>
          <w:sz w:val="22"/>
          <w:szCs w:val="22"/>
        </w:rPr>
        <w:t xml:space="preserve">FR-011 — </w:t>
      </w:r>
      <w:r>
        <w:rPr>
          <w:rFonts w:ascii="Arial" w:cs="Arial" w:eastAsia="Arial" w:hAnsi="Arial"/>
          <w:color w:val="4A4A4A"/>
          <w:sz w:val="22"/>
          <w:szCs w:val="22"/>
        </w:rPr>
        <w:t xml:space="preserve">The dashboard must be fully responsive on mobile web (≥320px width) without loss of core functionality.</w:t>
      </w:r>
    </w:p>
    <w:p>
      <w:pPr>
        <w:spacing w:before="60" w:after="60"/>
        <w:ind w:left="360"/>
      </w:pPr>
      <w:r>
        <w:rPr>
          <w:rFonts w:ascii="Arial" w:cs="Arial" w:eastAsia="Arial" w:hAnsi="Arial"/>
          <w:b/>
          <w:bCs/>
          <w:color w:val="1B4F8A"/>
          <w:sz w:val="22"/>
          <w:szCs w:val="22"/>
        </w:rPr>
        <w:t xml:space="preserve">FR-012 — </w:t>
      </w:r>
      <w:r>
        <w:rPr>
          <w:rFonts w:ascii="Arial" w:cs="Arial" w:eastAsia="Arial" w:hAnsi="Arial"/>
          <w:color w:val="4A4A4A"/>
          <w:sz w:val="22"/>
          <w:szCs w:val="22"/>
        </w:rPr>
        <w:t xml:space="preserve">School and club dashboards must support a group-level summary view and a drill-down to individual member views.</w:t>
      </w:r>
    </w:p>
    <w:p>
      <w:pPr>
        <w:spacing w:before="60" w:after="60"/>
        <w:ind w:left="360"/>
      </w:pPr>
      <w:r>
        <w:rPr>
          <w:rFonts w:ascii="Arial" w:cs="Arial" w:eastAsia="Arial" w:hAnsi="Arial"/>
          <w:b/>
          <w:bCs/>
          <w:color w:val="1B4F8A"/>
          <w:sz w:val="22"/>
          <w:szCs w:val="22"/>
        </w:rPr>
        <w:t xml:space="preserve">FR-013 — </w:t>
      </w:r>
      <w:r>
        <w:rPr>
          <w:rFonts w:ascii="Arial" w:cs="Arial" w:eastAsia="Arial" w:hAnsi="Arial"/>
          <w:color w:val="4A4A4A"/>
          <w:sz w:val="22"/>
          <w:szCs w:val="22"/>
        </w:rPr>
        <w:t xml:space="preserve">Dashboard data must refresh at a maximum interval of 60 seconds for risk alerts and 5 minutes for usage summaries.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4.3 AI Usage Monitoring</w:t>
      </w:r>
    </w:p>
    <w:p>
      <w:pPr>
        <w:spacing w:before="60" w:after="60"/>
        <w:ind w:left="360"/>
      </w:pPr>
      <w:r>
        <w:rPr>
          <w:rFonts w:ascii="Arial" w:cs="Arial" w:eastAsia="Arial" w:hAnsi="Arial"/>
          <w:b/>
          <w:bCs/>
          <w:color w:val="1B4F8A"/>
          <w:sz w:val="22"/>
          <w:szCs w:val="22"/>
        </w:rPr>
        <w:t xml:space="preserve">FR-020 — </w:t>
      </w:r>
      <w:r>
        <w:rPr>
          <w:rFonts w:ascii="Arial" w:cs="Arial" w:eastAsia="Arial" w:hAnsi="Arial"/>
          <w:color w:val="4A4A4A"/>
          <w:sz w:val="22"/>
          <w:szCs w:val="22"/>
        </w:rPr>
        <w:t xml:space="preserve">The system must monitor interactions with: ChatGPT, Gemini, Microsoft Copilot, Claude (Anthropic), and Grok (xAI).</w:t>
      </w:r>
    </w:p>
    <w:p>
      <w:pPr>
        <w:spacing w:before="60" w:after="60"/>
        <w:ind w:left="360"/>
      </w:pPr>
      <w:r>
        <w:rPr>
          <w:rFonts w:ascii="Arial" w:cs="Arial" w:eastAsia="Arial" w:hAnsi="Arial"/>
          <w:b/>
          <w:bCs/>
          <w:color w:val="1B4F8A"/>
          <w:sz w:val="22"/>
          <w:szCs w:val="22"/>
        </w:rPr>
        <w:t xml:space="preserve">FR-021 — </w:t>
      </w:r>
      <w:r>
        <w:rPr>
          <w:rFonts w:ascii="Arial" w:cs="Arial" w:eastAsia="Arial" w:hAnsi="Arial"/>
          <w:color w:val="4A4A4A"/>
          <w:sz w:val="22"/>
          <w:szCs w:val="22"/>
        </w:rPr>
        <w:t xml:space="preserve">Monitoring must be achievable via three complementary capture channels: browser extension (Chrome and Firefox), DNS-layer proxy, and API/webhook integrations where natively supported.</w:t>
      </w:r>
    </w:p>
    <w:p>
      <w:pPr>
        <w:spacing w:before="60" w:after="60"/>
        <w:ind w:left="360"/>
      </w:pPr>
      <w:r>
        <w:rPr>
          <w:rFonts w:ascii="Arial" w:cs="Arial" w:eastAsia="Arial" w:hAnsi="Arial"/>
          <w:b/>
          <w:bCs/>
          <w:color w:val="1B4F8A"/>
          <w:sz w:val="22"/>
          <w:szCs w:val="22"/>
        </w:rPr>
        <w:t xml:space="preserve">FR-022 — </w:t>
      </w:r>
      <w:r>
        <w:rPr>
          <w:rFonts w:ascii="Arial" w:cs="Arial" w:eastAsia="Arial" w:hAnsi="Arial"/>
          <w:color w:val="4A4A4A"/>
          <w:sz w:val="22"/>
          <w:szCs w:val="22"/>
        </w:rPr>
        <w:t xml:space="preserve">Usage events must capture: timestamp, platform, session identifier, prompt category classification, and risk classification. Raw prompt content is only retained when a risk flag is raised.</w:t>
      </w:r>
    </w:p>
    <w:p>
      <w:pPr>
        <w:spacing w:before="60" w:after="60"/>
        <w:ind w:left="360"/>
      </w:pPr>
      <w:r>
        <w:rPr>
          <w:rFonts w:ascii="Arial" w:cs="Arial" w:eastAsia="Arial" w:hAnsi="Arial"/>
          <w:b/>
          <w:bCs/>
          <w:color w:val="1B4F8A"/>
          <w:sz w:val="22"/>
          <w:szCs w:val="22"/>
        </w:rPr>
        <w:t xml:space="preserve">FR-023 — </w:t>
      </w:r>
      <w:r>
        <w:rPr>
          <w:rFonts w:ascii="Arial" w:cs="Arial" w:eastAsia="Arial" w:hAnsi="Arial"/>
          <w:color w:val="4A4A4A"/>
          <w:sz w:val="22"/>
          <w:szCs w:val="22"/>
        </w:rPr>
        <w:t xml:space="preserve">The system must present a usage timeline per member showing sessions, duration, and platform.</w:t>
      </w:r>
    </w:p>
    <w:p>
      <w:pPr>
        <w:spacing w:before="60" w:after="60"/>
        <w:ind w:left="360"/>
      </w:pPr>
      <w:r>
        <w:rPr>
          <w:rFonts w:ascii="Arial" w:cs="Arial" w:eastAsia="Arial" w:hAnsi="Arial"/>
          <w:b/>
          <w:bCs/>
          <w:color w:val="1B4F8A"/>
          <w:sz w:val="22"/>
          <w:szCs w:val="22"/>
        </w:rPr>
        <w:t xml:space="preserve">FR-024 — </w:t>
      </w:r>
      <w:r>
        <w:rPr>
          <w:rFonts w:ascii="Arial" w:cs="Arial" w:eastAsia="Arial" w:hAnsi="Arial"/>
          <w:color w:val="4A4A4A"/>
          <w:sz w:val="22"/>
          <w:szCs w:val="22"/>
        </w:rPr>
        <w:t xml:space="preserve">Administrators must be able to see which AI tools are being accessed and what proportion of total spend each tool represents.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4.4 Risk &amp; Safety Monitoring</w:t>
      </w:r>
    </w:p>
    <w:p>
      <w:pPr>
        <w:spacing w:before="60" w:after="60"/>
        <w:ind w:left="360"/>
      </w:pPr>
      <w:r>
        <w:rPr>
          <w:rFonts w:ascii="Arial" w:cs="Arial" w:eastAsia="Arial" w:hAnsi="Arial"/>
          <w:b/>
          <w:bCs/>
          <w:color w:val="1B4F8A"/>
          <w:sz w:val="22"/>
          <w:szCs w:val="22"/>
        </w:rPr>
        <w:t xml:space="preserve">FR-030 — </w:t>
      </w:r>
      <w:r>
        <w:rPr>
          <w:rFonts w:ascii="Arial" w:cs="Arial" w:eastAsia="Arial" w:hAnsi="Arial"/>
          <w:color w:val="4A4A4A"/>
          <w:sz w:val="22"/>
          <w:szCs w:val="22"/>
        </w:rPr>
        <w:t xml:space="preserve">The system must evaluate AI interactions in real-time against a risk classification matrix.</w:t>
      </w:r>
    </w:p>
    <w:p>
      <w:pPr>
        <w:spacing w:before="60" w:after="60"/>
        <w:ind w:left="360"/>
      </w:pPr>
      <w:r>
        <w:rPr>
          <w:rFonts w:ascii="Arial" w:cs="Arial" w:eastAsia="Arial" w:hAnsi="Arial"/>
          <w:b/>
          <w:bCs/>
          <w:color w:val="1B4F8A"/>
          <w:sz w:val="22"/>
          <w:szCs w:val="22"/>
        </w:rPr>
        <w:t xml:space="preserve">FR-031 — </w:t>
      </w:r>
      <w:r>
        <w:rPr>
          <w:rFonts w:ascii="Arial" w:cs="Arial" w:eastAsia="Arial" w:hAnsi="Arial"/>
          <w:color w:val="4A4A4A"/>
          <w:sz w:val="22"/>
          <w:szCs w:val="22"/>
        </w:rPr>
        <w:t xml:space="preserve">Risk events must trigger: in-portal dashboard notification, push/email alert to group admin, and automated temporary session flag.</w:t>
      </w:r>
    </w:p>
    <w:p>
      <w:pPr>
        <w:spacing w:before="60" w:after="60"/>
        <w:ind w:left="360"/>
      </w:pPr>
      <w:r>
        <w:rPr>
          <w:rFonts w:ascii="Arial" w:cs="Arial" w:eastAsia="Arial" w:hAnsi="Arial"/>
          <w:b/>
          <w:bCs/>
          <w:color w:val="1B4F8A"/>
          <w:sz w:val="22"/>
          <w:szCs w:val="22"/>
        </w:rPr>
        <w:t xml:space="preserve">FR-032 — </w:t>
      </w:r>
      <w:r>
        <w:rPr>
          <w:rFonts w:ascii="Arial" w:cs="Arial" w:eastAsia="Arial" w:hAnsi="Arial"/>
          <w:color w:val="4A4A4A"/>
          <w:sz w:val="22"/>
          <w:szCs w:val="22"/>
        </w:rPr>
        <w:t xml:space="preserve">Risk categories detected: harmful/dangerous content, adult content, PII exposure, academic dishonesty, scam/manipulation patterns, and excessive usage anomalies.</w:t>
      </w:r>
    </w:p>
    <w:p>
      <w:pPr>
        <w:spacing w:before="60" w:after="60"/>
        <w:ind w:left="360"/>
      </w:pPr>
      <w:r>
        <w:rPr>
          <w:rFonts w:ascii="Arial" w:cs="Arial" w:eastAsia="Arial" w:hAnsi="Arial"/>
          <w:b/>
          <w:bCs/>
          <w:color w:val="1B4F8A"/>
          <w:sz w:val="22"/>
          <w:szCs w:val="22"/>
        </w:rPr>
        <w:t xml:space="preserve">FR-033 — </w:t>
      </w:r>
      <w:r>
        <w:rPr>
          <w:rFonts w:ascii="Arial" w:cs="Arial" w:eastAsia="Arial" w:hAnsi="Arial"/>
          <w:color w:val="4A4A4A"/>
          <w:sz w:val="22"/>
          <w:szCs w:val="22"/>
        </w:rPr>
        <w:t xml:space="preserve">PII detected in monitored prompts must be masked in the portal display and logged under elevated access controls.</w:t>
      </w:r>
    </w:p>
    <w:p>
      <w:pPr>
        <w:spacing w:before="60" w:after="60"/>
        <w:ind w:left="360"/>
      </w:pPr>
      <w:r>
        <w:rPr>
          <w:rFonts w:ascii="Arial" w:cs="Arial" w:eastAsia="Arial" w:hAnsi="Arial"/>
          <w:b/>
          <w:bCs/>
          <w:color w:val="1B4F8A"/>
          <w:sz w:val="22"/>
          <w:szCs w:val="22"/>
        </w:rPr>
        <w:t xml:space="preserve">FR-034 — </w:t>
      </w:r>
      <w:r>
        <w:rPr>
          <w:rFonts w:ascii="Arial" w:cs="Arial" w:eastAsia="Arial" w:hAnsi="Arial"/>
          <w:color w:val="4A4A4A"/>
          <w:sz w:val="22"/>
          <w:szCs w:val="22"/>
        </w:rPr>
        <w:t xml:space="preserve">Admins must be able to configure alert sensitivity per risk category.</w:t>
      </w:r>
    </w:p>
    <w:p>
      <w:pPr>
        <w:spacing w:before="60" w:after="60"/>
        <w:ind w:left="360"/>
      </w:pPr>
      <w:r>
        <w:rPr>
          <w:rFonts w:ascii="Arial" w:cs="Arial" w:eastAsia="Arial" w:hAnsi="Arial"/>
          <w:b/>
          <w:bCs/>
          <w:color w:val="1B4F8A"/>
          <w:sz w:val="22"/>
          <w:szCs w:val="22"/>
        </w:rPr>
        <w:t xml:space="preserve">FR-035 — </w:t>
      </w:r>
      <w:r>
        <w:rPr>
          <w:rFonts w:ascii="Arial" w:cs="Arial" w:eastAsia="Arial" w:hAnsi="Arial"/>
          <w:color w:val="4A4A4A"/>
          <w:sz w:val="22"/>
          <w:szCs w:val="22"/>
        </w:rPr>
        <w:t xml:space="preserve">All risk flags must be retained in an audit log for a minimum of 12 months.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4.5 LLM Billing Management</w:t>
      </w:r>
    </w:p>
    <w:p>
      <w:pPr>
        <w:spacing w:before="60" w:after="60"/>
        <w:ind w:left="360"/>
      </w:pPr>
      <w:r>
        <w:rPr>
          <w:rFonts w:ascii="Arial" w:cs="Arial" w:eastAsia="Arial" w:hAnsi="Arial"/>
          <w:b/>
          <w:bCs/>
          <w:color w:val="1B4F8A"/>
          <w:sz w:val="22"/>
          <w:szCs w:val="22"/>
        </w:rPr>
        <w:t xml:space="preserve">FR-040 — </w:t>
      </w:r>
      <w:r>
        <w:rPr>
          <w:rFonts w:ascii="Arial" w:cs="Arial" w:eastAsia="Arial" w:hAnsi="Arial"/>
          <w:color w:val="4A4A4A"/>
          <w:sz w:val="22"/>
          <w:szCs w:val="22"/>
        </w:rPr>
        <w:t xml:space="preserve">The portal must support connection of LLM provider accounts to track AI spend (OpenAI, Google Gemini, Microsoft Copilot, Anthropic, xAI).</w:t>
      </w:r>
    </w:p>
    <w:p>
      <w:pPr>
        <w:spacing w:before="60" w:after="60"/>
        <w:ind w:left="360"/>
      </w:pPr>
      <w:r>
        <w:rPr>
          <w:rFonts w:ascii="Arial" w:cs="Arial" w:eastAsia="Arial" w:hAnsi="Arial"/>
          <w:b/>
          <w:bCs/>
          <w:color w:val="1B4F8A"/>
          <w:sz w:val="22"/>
          <w:szCs w:val="22"/>
        </w:rPr>
        <w:t xml:space="preserve">FR-041 — </w:t>
      </w:r>
      <w:r>
        <w:rPr>
          <w:rFonts w:ascii="Arial" w:cs="Arial" w:eastAsia="Arial" w:hAnsi="Arial"/>
          <w:color w:val="4A4A4A"/>
          <w:sz w:val="22"/>
          <w:szCs w:val="22"/>
        </w:rPr>
        <w:t xml:space="preserve">For each connected provider, the system must display current-period spend, trend versus prior period, and projected monthly spend.</w:t>
      </w:r>
    </w:p>
    <w:p>
      <w:pPr>
        <w:spacing w:before="60" w:after="60"/>
        <w:ind w:left="360"/>
      </w:pPr>
      <w:r>
        <w:rPr>
          <w:rFonts w:ascii="Arial" w:cs="Arial" w:eastAsia="Arial" w:hAnsi="Arial"/>
          <w:b/>
          <w:bCs/>
          <w:color w:val="1B4F8A"/>
          <w:sz w:val="22"/>
          <w:szCs w:val="22"/>
        </w:rPr>
        <w:t xml:space="preserve">FR-042 — </w:t>
      </w:r>
      <w:r>
        <w:rPr>
          <w:rFonts w:ascii="Arial" w:cs="Arial" w:eastAsia="Arial" w:hAnsi="Arial"/>
          <w:color w:val="4A4A4A"/>
          <w:sz w:val="22"/>
          <w:szCs w:val="22"/>
        </w:rPr>
        <w:t xml:space="preserve">Admins must be able to set spend thresholds at group level and per-member level, with soft (alert) and hard (flag) threshold types.</w:t>
      </w:r>
    </w:p>
    <w:p>
      <w:pPr>
        <w:spacing w:before="60" w:after="60"/>
        <w:ind w:left="360"/>
      </w:pPr>
      <w:r>
        <w:rPr>
          <w:rFonts w:ascii="Arial" w:cs="Arial" w:eastAsia="Arial" w:hAnsi="Arial"/>
          <w:b/>
          <w:bCs/>
          <w:color w:val="1B4F8A"/>
          <w:sz w:val="22"/>
          <w:szCs w:val="22"/>
        </w:rPr>
        <w:t xml:space="preserve">FR-043 — </w:t>
      </w:r>
      <w:r>
        <w:rPr>
          <w:rFonts w:ascii="Arial" w:cs="Arial" w:eastAsia="Arial" w:hAnsi="Arial"/>
          <w:color w:val="4A4A4A"/>
          <w:sz w:val="22"/>
          <w:szCs w:val="22"/>
        </w:rPr>
        <w:t xml:space="preserve">The system must send alerts when spend reaches 50%, 80%, and 100% of any configured threshold.</w:t>
      </w:r>
    </w:p>
    <w:p>
      <w:pPr>
        <w:spacing w:before="60" w:after="60"/>
        <w:ind w:left="360"/>
      </w:pPr>
      <w:r>
        <w:rPr>
          <w:rFonts w:ascii="Arial" w:cs="Arial" w:eastAsia="Arial" w:hAnsi="Arial"/>
          <w:b/>
          <w:bCs/>
          <w:color w:val="1B4F8A"/>
          <w:sz w:val="22"/>
          <w:szCs w:val="22"/>
        </w:rPr>
        <w:t xml:space="preserve">FR-044 — </w:t>
      </w:r>
      <w:r>
        <w:rPr>
          <w:rFonts w:ascii="Arial" w:cs="Arial" w:eastAsia="Arial" w:hAnsi="Arial"/>
          <w:color w:val="4A4A4A"/>
          <w:sz w:val="22"/>
          <w:szCs w:val="22"/>
        </w:rPr>
        <w:t xml:space="preserve">Spend reports must be exportable as CSV and PDF.</w:t>
      </w:r>
    </w:p>
    <w:p>
      <w:pPr>
        <w:spacing w:before="60" w:after="60"/>
        <w:ind w:left="360"/>
      </w:pPr>
      <w:r>
        <w:rPr>
          <w:rFonts w:ascii="Arial" w:cs="Arial" w:eastAsia="Arial" w:hAnsi="Arial"/>
          <w:b/>
          <w:bCs/>
          <w:color w:val="1B4F8A"/>
          <w:sz w:val="22"/>
          <w:szCs w:val="22"/>
        </w:rPr>
        <w:t xml:space="preserve">FR-045 — </w:t>
      </w:r>
      <w:r>
        <w:rPr>
          <w:rFonts w:ascii="Arial" w:cs="Arial" w:eastAsia="Arial" w:hAnsi="Arial"/>
          <w:color w:val="4A4A4A"/>
          <w:sz w:val="22"/>
          <w:szCs w:val="22"/>
        </w:rPr>
        <w:t xml:space="preserve">The system must display cost-per-interaction estimates where API cost data is available.</w:t>
      </w:r>
    </w:p>
    <w:p>
      <w:pPr>
        <w:spacing w:before="60" w:after="60"/>
        <w:ind w:left="360"/>
      </w:pPr>
      <w:r>
        <w:rPr>
          <w:rFonts w:ascii="Arial" w:cs="Arial" w:eastAsia="Arial" w:hAnsi="Arial"/>
          <w:b/>
          <w:bCs/>
          <w:color w:val="1B4F8A"/>
          <w:sz w:val="22"/>
          <w:szCs w:val="22"/>
        </w:rPr>
        <w:t xml:space="preserve">FR-046 — </w:t>
      </w:r>
      <w:r>
        <w:rPr>
          <w:rFonts w:ascii="Arial" w:cs="Arial" w:eastAsia="Arial" w:hAnsi="Arial"/>
          <w:color w:val="4A4A4A"/>
          <w:sz w:val="22"/>
          <w:szCs w:val="22"/>
        </w:rPr>
        <w:t xml:space="preserve">Schools and clubs must be able to allocate named budget envelopes to sub-groups and track spend within them.</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4.6 Alerts &amp; Notifications</w:t>
      </w:r>
    </w:p>
    <w:p>
      <w:pPr>
        <w:spacing w:before="60" w:after="60"/>
        <w:ind w:left="360"/>
      </w:pPr>
      <w:r>
        <w:rPr>
          <w:rFonts w:ascii="Arial" w:cs="Arial" w:eastAsia="Arial" w:hAnsi="Arial"/>
          <w:b/>
          <w:bCs/>
          <w:color w:val="1B4F8A"/>
          <w:sz w:val="22"/>
          <w:szCs w:val="22"/>
        </w:rPr>
        <w:t xml:space="preserve">FR-050 — </w:t>
      </w:r>
      <w:r>
        <w:rPr>
          <w:rFonts w:ascii="Arial" w:cs="Arial" w:eastAsia="Arial" w:hAnsi="Arial"/>
          <w:color w:val="4A4A4A"/>
          <w:sz w:val="22"/>
          <w:szCs w:val="22"/>
        </w:rPr>
        <w:t xml:space="preserve">Alerts must be deliverable via: in-portal notification centre and email (SMS in Phase 2).</w:t>
      </w:r>
    </w:p>
    <w:p>
      <w:pPr>
        <w:spacing w:before="60" w:after="60"/>
        <w:ind w:left="360"/>
      </w:pPr>
      <w:r>
        <w:rPr>
          <w:rFonts w:ascii="Arial" w:cs="Arial" w:eastAsia="Arial" w:hAnsi="Arial"/>
          <w:b/>
          <w:bCs/>
          <w:color w:val="1B4F8A"/>
          <w:sz w:val="22"/>
          <w:szCs w:val="22"/>
        </w:rPr>
        <w:t xml:space="preserve">FR-051 — </w:t>
      </w:r>
      <w:r>
        <w:rPr>
          <w:rFonts w:ascii="Arial" w:cs="Arial" w:eastAsia="Arial" w:hAnsi="Arial"/>
          <w:color w:val="4A4A4A"/>
          <w:sz w:val="22"/>
          <w:szCs w:val="22"/>
        </w:rPr>
        <w:t xml:space="preserve">Admins must be able to configure notification preferences per alert category and per member.</w:t>
      </w:r>
    </w:p>
    <w:p>
      <w:pPr>
        <w:spacing w:before="60" w:after="60"/>
        <w:ind w:left="360"/>
      </w:pPr>
      <w:r>
        <w:rPr>
          <w:rFonts w:ascii="Arial" w:cs="Arial" w:eastAsia="Arial" w:hAnsi="Arial"/>
          <w:b/>
          <w:bCs/>
          <w:color w:val="1B4F8A"/>
          <w:sz w:val="22"/>
          <w:szCs w:val="22"/>
        </w:rPr>
        <w:t xml:space="preserve">FR-052 — </w:t>
      </w:r>
      <w:r>
        <w:rPr>
          <w:rFonts w:ascii="Arial" w:cs="Arial" w:eastAsia="Arial" w:hAnsi="Arial"/>
          <w:color w:val="4A4A4A"/>
          <w:sz w:val="22"/>
          <w:szCs w:val="22"/>
        </w:rPr>
        <w:t xml:space="preserve">The system must support a digest mode (immediate, hourly, daily) for lower-severity notifications.</w:t>
      </w:r>
    </w:p>
    <w:p>
      <w:pPr>
        <w:spacing w:before="60" w:after="60"/>
        <w:ind w:left="360"/>
      </w:pPr>
      <w:r>
        <w:rPr>
          <w:rFonts w:ascii="Arial" w:cs="Arial" w:eastAsia="Arial" w:hAnsi="Arial"/>
          <w:b/>
          <w:bCs/>
          <w:color w:val="1B4F8A"/>
          <w:sz w:val="22"/>
          <w:szCs w:val="22"/>
        </w:rPr>
        <w:t xml:space="preserve">FR-053 — </w:t>
      </w:r>
      <w:r>
        <w:rPr>
          <w:rFonts w:ascii="Arial" w:cs="Arial" w:eastAsia="Arial" w:hAnsi="Arial"/>
          <w:color w:val="4A4A4A"/>
          <w:sz w:val="22"/>
          <w:szCs w:val="22"/>
        </w:rPr>
        <w:t xml:space="preserve">Unacknowledged high-severity alerts must re-notify after 30 minutes.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4.7 Reporting</w:t>
      </w:r>
    </w:p>
    <w:p>
      <w:pPr>
        <w:spacing w:before="60" w:after="60"/>
        <w:ind w:left="360"/>
      </w:pPr>
      <w:r>
        <w:rPr>
          <w:rFonts w:ascii="Arial" w:cs="Arial" w:eastAsia="Arial" w:hAnsi="Arial"/>
          <w:b/>
          <w:bCs/>
          <w:color w:val="1B4F8A"/>
          <w:sz w:val="22"/>
          <w:szCs w:val="22"/>
        </w:rPr>
        <w:t xml:space="preserve">FR-060 — </w:t>
      </w:r>
      <w:r>
        <w:rPr>
          <w:rFonts w:ascii="Arial" w:cs="Arial" w:eastAsia="Arial" w:hAnsi="Arial"/>
          <w:color w:val="4A4A4A"/>
          <w:sz w:val="22"/>
          <w:szCs w:val="22"/>
        </w:rPr>
        <w:t xml:space="preserve">The portal must provide exportable reports for: AI usage by member and platform, spend by period, risk events log, and PII detection events.</w:t>
      </w:r>
    </w:p>
    <w:p>
      <w:pPr>
        <w:spacing w:before="60" w:after="60"/>
        <w:ind w:left="360"/>
      </w:pPr>
      <w:r>
        <w:rPr>
          <w:rFonts w:ascii="Arial" w:cs="Arial" w:eastAsia="Arial" w:hAnsi="Arial"/>
          <w:b/>
          <w:bCs/>
          <w:color w:val="1B4F8A"/>
          <w:sz w:val="22"/>
          <w:szCs w:val="22"/>
        </w:rPr>
        <w:t xml:space="preserve">FR-061 — </w:t>
      </w:r>
      <w:r>
        <w:rPr>
          <w:rFonts w:ascii="Arial" w:cs="Arial" w:eastAsia="Arial" w:hAnsi="Arial"/>
          <w:color w:val="4A4A4A"/>
          <w:sz w:val="22"/>
          <w:szCs w:val="22"/>
        </w:rPr>
        <w:t xml:space="preserve">Reports must be exportable in CSV and PDF formats.</w:t>
      </w:r>
    </w:p>
    <w:p>
      <w:pPr>
        <w:spacing w:before="60" w:after="60"/>
        <w:ind w:left="360"/>
      </w:pPr>
      <w:r>
        <w:rPr>
          <w:rFonts w:ascii="Arial" w:cs="Arial" w:eastAsia="Arial" w:hAnsi="Arial"/>
          <w:b/>
          <w:bCs/>
          <w:color w:val="1B4F8A"/>
          <w:sz w:val="22"/>
          <w:szCs w:val="22"/>
        </w:rPr>
        <w:t xml:space="preserve">FR-062 — </w:t>
      </w:r>
      <w:r>
        <w:rPr>
          <w:rFonts w:ascii="Arial" w:cs="Arial" w:eastAsia="Arial" w:hAnsi="Arial"/>
          <w:color w:val="4A4A4A"/>
          <w:sz w:val="22"/>
          <w:szCs w:val="22"/>
        </w:rPr>
        <w:t xml:space="preserve">School and club admins must be able to generate safeguarding summary reports suitable for governance bodies.</w:t>
      </w:r>
    </w:p>
    <w:p>
      <w:pPr>
        <w:spacing w:before="60" w:after="60"/>
        <w:ind w:left="360"/>
      </w:pPr>
      <w:r>
        <w:rPr>
          <w:rFonts w:ascii="Arial" w:cs="Arial" w:eastAsia="Arial" w:hAnsi="Arial"/>
          <w:b/>
          <w:bCs/>
          <w:color w:val="1B4F8A"/>
          <w:sz w:val="22"/>
          <w:szCs w:val="22"/>
        </w:rPr>
        <w:t xml:space="preserve">FR-063 — </w:t>
      </w:r>
      <w:r>
        <w:rPr>
          <w:rFonts w:ascii="Arial" w:cs="Arial" w:eastAsia="Arial" w:hAnsi="Arial"/>
          <w:color w:val="4A4A4A"/>
          <w:sz w:val="22"/>
          <w:szCs w:val="22"/>
        </w:rPr>
        <w:t xml:space="preserve">Automated scheduled reports (weekly, monthly) must be configurable and sent to designated email addresses.</w:t>
      </w:r>
    </w:p>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5. Non-Functional Requirements</w:t>
      </w:r>
    </w:p>
    <w:p>
      <w:pPr>
        <w:pStyle w:val="Heading3"/>
        <w:spacing w:before="240" w:after="80"/>
      </w:pPr>
      <w:r>
        <w:rPr>
          <w:rFonts w:ascii="Arial" w:cs="Arial" w:eastAsia="Arial" w:hAnsi="Arial"/>
          <w:b/>
          <w:bCs/>
          <w:color w:val="1B4F8A"/>
          <w:sz w:val="22"/>
          <w:szCs w:val="22"/>
        </w:rPr>
        <w:t xml:space="preserve">Performance</w:t>
      </w:r>
    </w:p>
    <w:p>
      <w:pPr>
        <w:pStyle w:val="ListParagraph"/>
        <w:numPr>
          <w:ilvl w:val="0"/>
          <w:numId w:val="2"/>
        </w:numPr>
        <w:spacing w:before="40" w:after="40"/>
      </w:pPr>
      <w:r>
        <w:rPr>
          <w:rFonts w:ascii="Arial" w:cs="Arial" w:eastAsia="Arial" w:hAnsi="Arial"/>
          <w:b w:val="false"/>
          <w:bCs w:val="false"/>
          <w:color w:val="4A4A4A"/>
          <w:sz w:val="22"/>
          <w:szCs w:val="22"/>
        </w:rPr>
        <w:t xml:space="preserve">Dashboard page load under 3 seconds at 95th percentile on a standard 4G connection.</w:t>
      </w:r>
    </w:p>
    <w:p>
      <w:pPr>
        <w:pStyle w:val="ListParagraph"/>
        <w:numPr>
          <w:ilvl w:val="0"/>
          <w:numId w:val="2"/>
        </w:numPr>
        <w:spacing w:before="40" w:after="40"/>
      </w:pPr>
      <w:r>
        <w:rPr>
          <w:rFonts w:ascii="Arial" w:cs="Arial" w:eastAsia="Arial" w:hAnsi="Arial"/>
          <w:b w:val="false"/>
          <w:bCs w:val="false"/>
          <w:color w:val="4A4A4A"/>
          <w:sz w:val="22"/>
          <w:szCs w:val="22"/>
        </w:rPr>
        <w:t xml:space="preserve">Risk alert processing pipeline completes within 10 seconds of a monitored interaction occurring.</w:t>
      </w:r>
    </w:p>
    <w:p>
      <w:pPr>
        <w:pStyle w:val="ListParagraph"/>
        <w:numPr>
          <w:ilvl w:val="0"/>
          <w:numId w:val="2"/>
        </w:numPr>
        <w:spacing w:before="40" w:after="40"/>
      </w:pPr>
      <w:r>
        <w:rPr>
          <w:rFonts w:ascii="Arial" w:cs="Arial" w:eastAsia="Arial" w:hAnsi="Arial"/>
          <w:b w:val="false"/>
          <w:bCs w:val="false"/>
          <w:color w:val="4A4A4A"/>
          <w:sz w:val="22"/>
          <w:szCs w:val="22"/>
        </w:rPr>
        <w:t xml:space="preserve">Supports up to 10,000 concurrent users at MVP with horizontal scaling to 100,000+.</w:t>
      </w:r>
    </w:p>
    <w:p>
      <w:pPr>
        <w:spacing w:before="80" w:after="0"/>
      </w:pPr>
      <w:r>
        <w:t xml:space="preserve"/>
      </w:r>
    </w:p>
    <w:p>
      <w:pPr>
        <w:pStyle w:val="Heading3"/>
        <w:spacing w:before="240" w:after="80"/>
      </w:pPr>
      <w:r>
        <w:rPr>
          <w:rFonts w:ascii="Arial" w:cs="Arial" w:eastAsia="Arial" w:hAnsi="Arial"/>
          <w:b/>
          <w:bCs/>
          <w:color w:val="1B4F8A"/>
          <w:sz w:val="22"/>
          <w:szCs w:val="22"/>
        </w:rPr>
        <w:t xml:space="preserve">Availability</w:t>
      </w:r>
    </w:p>
    <w:p>
      <w:pPr>
        <w:pStyle w:val="ListParagraph"/>
        <w:numPr>
          <w:ilvl w:val="0"/>
          <w:numId w:val="2"/>
        </w:numPr>
        <w:spacing w:before="40" w:after="40"/>
      </w:pPr>
      <w:r>
        <w:rPr>
          <w:rFonts w:ascii="Arial" w:cs="Arial" w:eastAsia="Arial" w:hAnsi="Arial"/>
          <w:b w:val="false"/>
          <w:bCs w:val="false"/>
          <w:color w:val="4A4A4A"/>
          <w:sz w:val="22"/>
          <w:szCs w:val="22"/>
        </w:rPr>
        <w:t xml:space="preserve">Target uptime: 99.9% monthly (excluding planned maintenance).</w:t>
      </w:r>
    </w:p>
    <w:p>
      <w:pPr>
        <w:pStyle w:val="ListParagraph"/>
        <w:numPr>
          <w:ilvl w:val="0"/>
          <w:numId w:val="2"/>
        </w:numPr>
        <w:spacing w:before="40" w:after="40"/>
      </w:pPr>
      <w:r>
        <w:rPr>
          <w:rFonts w:ascii="Arial" w:cs="Arial" w:eastAsia="Arial" w:hAnsi="Arial"/>
          <w:b w:val="false"/>
          <w:bCs w:val="false"/>
          <w:color w:val="4A4A4A"/>
          <w:sz w:val="22"/>
          <w:szCs w:val="22"/>
        </w:rPr>
        <w:t xml:space="preserve">Planned maintenance communicated 48 hours in advance and scheduled outside 06:00–22:00 in any supported region.</w:t>
      </w:r>
    </w:p>
    <w:p>
      <w:pPr>
        <w:spacing w:before="80" w:after="0"/>
      </w:pPr>
      <w:r>
        <w:t xml:space="preserve"/>
      </w:r>
    </w:p>
    <w:p>
      <w:pPr>
        <w:pStyle w:val="Heading3"/>
        <w:spacing w:before="240" w:after="80"/>
      </w:pPr>
      <w:r>
        <w:rPr>
          <w:rFonts w:ascii="Arial" w:cs="Arial" w:eastAsia="Arial" w:hAnsi="Arial"/>
          <w:b/>
          <w:bCs/>
          <w:color w:val="1B4F8A"/>
          <w:sz w:val="22"/>
          <w:szCs w:val="22"/>
        </w:rPr>
        <w:t xml:space="preserve">Accessibility</w:t>
      </w:r>
    </w:p>
    <w:p>
      <w:pPr>
        <w:pStyle w:val="ListParagraph"/>
        <w:numPr>
          <w:ilvl w:val="0"/>
          <w:numId w:val="2"/>
        </w:numPr>
        <w:spacing w:before="40" w:after="40"/>
      </w:pPr>
      <w:r>
        <w:rPr>
          <w:rFonts w:ascii="Arial" w:cs="Arial" w:eastAsia="Arial" w:hAnsi="Arial"/>
          <w:b w:val="false"/>
          <w:bCs w:val="false"/>
          <w:color w:val="4A4A4A"/>
          <w:sz w:val="22"/>
          <w:szCs w:val="22"/>
        </w:rPr>
        <w:t xml:space="preserve">WCAG 2.1 Level AA compliance.</w:t>
      </w:r>
    </w:p>
    <w:p>
      <w:pPr>
        <w:pStyle w:val="ListParagraph"/>
        <w:numPr>
          <w:ilvl w:val="0"/>
          <w:numId w:val="2"/>
        </w:numPr>
        <w:spacing w:before="40" w:after="40"/>
      </w:pPr>
      <w:r>
        <w:rPr>
          <w:rFonts w:ascii="Arial" w:cs="Arial" w:eastAsia="Arial" w:hAnsi="Arial"/>
          <w:b w:val="false"/>
          <w:bCs w:val="false"/>
          <w:color w:val="4A4A4A"/>
          <w:sz w:val="22"/>
          <w:szCs w:val="22"/>
        </w:rPr>
        <w:t xml:space="preserve">All critical workflows operable via keyboard navigation.</w:t>
      </w:r>
    </w:p>
    <w:p>
      <w:pPr>
        <w:spacing w:before="80" w:after="0"/>
      </w:pPr>
      <w:r>
        <w:t xml:space="preserve"/>
      </w:r>
    </w:p>
    <w:p>
      <w:pPr>
        <w:pStyle w:val="Heading3"/>
        <w:spacing w:before="240" w:after="80"/>
      </w:pPr>
      <w:r>
        <w:rPr>
          <w:rFonts w:ascii="Arial" w:cs="Arial" w:eastAsia="Arial" w:hAnsi="Arial"/>
          <w:b/>
          <w:bCs/>
          <w:color w:val="1B4F8A"/>
          <w:sz w:val="22"/>
          <w:szCs w:val="22"/>
        </w:rPr>
        <w:t xml:space="preserve">Browser &amp; Device Support</w:t>
      </w:r>
    </w:p>
    <w:p>
      <w:pPr>
        <w:pStyle w:val="ListParagraph"/>
        <w:numPr>
          <w:ilvl w:val="0"/>
          <w:numId w:val="2"/>
        </w:numPr>
        <w:spacing w:before="40" w:after="40"/>
      </w:pPr>
      <w:r>
        <w:rPr>
          <w:rFonts w:ascii="Arial" w:cs="Arial" w:eastAsia="Arial" w:hAnsi="Arial"/>
          <w:b w:val="false"/>
          <w:bCs w:val="false"/>
          <w:color w:val="4A4A4A"/>
          <w:sz w:val="22"/>
          <w:szCs w:val="22"/>
        </w:rPr>
        <w:t xml:space="preserve">Chrome, Firefox, Safari, Edge (latest 2 versions each).</w:t>
      </w:r>
    </w:p>
    <w:p>
      <w:pPr>
        <w:pStyle w:val="ListParagraph"/>
        <w:numPr>
          <w:ilvl w:val="0"/>
          <w:numId w:val="2"/>
        </w:numPr>
        <w:spacing w:before="40" w:after="40"/>
      </w:pPr>
      <w:r>
        <w:rPr>
          <w:rFonts w:ascii="Arial" w:cs="Arial" w:eastAsia="Arial" w:hAnsi="Arial"/>
          <w:b w:val="false"/>
          <w:bCs w:val="false"/>
          <w:color w:val="4A4A4A"/>
          <w:sz w:val="22"/>
          <w:szCs w:val="22"/>
        </w:rPr>
        <w:t xml:space="preserve">iOS Safari and Android Chrome (mobile web).</w:t>
      </w:r>
    </w:p>
    <w:p>
      <w:pPr>
        <w:pStyle w:val="ListParagraph"/>
        <w:numPr>
          <w:ilvl w:val="0"/>
          <w:numId w:val="2"/>
        </w:numPr>
        <w:spacing w:before="40" w:after="40"/>
      </w:pPr>
      <w:r>
        <w:rPr>
          <w:rFonts w:ascii="Arial" w:cs="Arial" w:eastAsia="Arial" w:hAnsi="Arial"/>
          <w:b w:val="false"/>
          <w:bCs w:val="false"/>
          <w:color w:val="4A4A4A"/>
          <w:sz w:val="22"/>
          <w:szCs w:val="22"/>
        </w:rPr>
        <w:t xml:space="preserve">Minimum supported screen width: 320px.</w:t>
      </w:r>
    </w:p>
    <w:p>
      <w:pPr>
        <w:spacing w:before="120" w:after="0"/>
      </w:pPr>
      <w:r>
        <w:t xml:space="preserve"/>
      </w:r>
    </w:p>
    <w:p>
      <w:pPr>
        <w:pStyle w:val="Heading1"/>
        <w:shd w:fill="1B4F8A" w:val="clear"/>
        <w:spacing w:before="400" w:after="160"/>
        <w:ind w:left="240" w:right="240"/>
      </w:pPr>
      <w:r>
        <w:rPr>
          <w:rFonts w:ascii="Arial" w:cs="Arial" w:eastAsia="Arial" w:hAnsi="Arial"/>
          <w:b/>
          <w:bCs/>
          <w:color w:val="FFFFFF"/>
          <w:sz w:val="32"/>
          <w:szCs w:val="32"/>
        </w:rPr>
        <w:t xml:space="preserve">6. Architecture Overview</w:t>
      </w:r>
    </w:p>
    <w:p>
      <w:pPr>
        <w:pStyle w:val="Heading3"/>
        <w:spacing w:before="240" w:after="80"/>
      </w:pPr>
      <w:r>
        <w:rPr>
          <w:rFonts w:ascii="Arial" w:cs="Arial" w:eastAsia="Arial" w:hAnsi="Arial"/>
          <w:b/>
          <w:bCs/>
          <w:color w:val="1B4F8A"/>
          <w:sz w:val="22"/>
          <w:szCs w:val="22"/>
        </w:rPr>
        <w:t xml:space="preserve">Product Positioning</w:t>
      </w:r>
    </w:p>
    <w:p>
      <w:pPr>
        <w:spacing w:before="80" w:after="120"/>
      </w:pPr>
      <w:r>
        <w:rPr>
          <w:rFonts w:ascii="Arial" w:cs="Arial" w:eastAsia="Arial" w:hAnsi="Arial"/>
          <w:color w:val="4A4A4A"/>
          <w:sz w:val="22"/>
          <w:szCs w:val="22"/>
        </w:rPr>
        <w:t xml:space="preserve">The portal is a separate product under the bhapi.ai brand. It shares Bhapi's brand identity, marketing site, and Stripe billing infrastructure but operates with its own independent backend services, database, and authentication layer. A single sign-on bridge is available for users who also have a core Bhapi social account, but it is not required.</w:t>
      </w:r>
    </w:p>
    <w:p>
      <w:pPr>
        <w:spacing w:before="80" w:after="0"/>
      </w:pPr>
      <w:r>
        <w:t xml:space="preserve"/>
      </w:r>
    </w:p>
    <w:p>
      <w:pPr>
        <w:pStyle w:val="Heading3"/>
        <w:spacing w:before="240" w:after="80"/>
      </w:pPr>
      <w:r>
        <w:rPr>
          <w:rFonts w:ascii="Arial" w:cs="Arial" w:eastAsia="Arial" w:hAnsi="Arial"/>
          <w:b/>
          <w:bCs/>
          <w:color w:val="1B4F8A"/>
          <w:sz w:val="22"/>
          <w:szCs w:val="22"/>
        </w:rPr>
        <w:t xml:space="preserve">Cloud Platform — Google Cloud Platform (GCP)</w:t>
      </w:r>
    </w:p>
    <w:p>
      <w:pPr>
        <w:spacing w:before="80" w:after="120"/>
      </w:pPr>
      <w:r>
        <w:rPr>
          <w:rFonts w:ascii="Arial" w:cs="Arial" w:eastAsia="Arial" w:hAnsi="Arial"/>
          <w:color w:val="4A4A4A"/>
          <w:sz w:val="22"/>
          <w:szCs w:val="22"/>
        </w:rPr>
        <w:t xml:space="preserve">Consistent with the core Bhapi platform, enabling shared networking, security, and operational tooling.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Registration, login, SSO, session management, role enforcement</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group-service</w:t>
            </w:r>
          </w:p>
        </w:tc>
        <w:tc>
          <w:tcPr>
            <w:tcW w:type="dxa" w:w="5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Group CRUD, member management, invitations, consent flows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capture-gateway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Ingests monitoring signals from browser extension, DNS proxy, and API webhooks</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risk-engine</w:t>
            </w:r>
          </w:p>
        </w:tc>
        <w:tc>
          <w:tcPr>
            <w:tcW w:type="dxa" w:w="5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Classifies interactions, detects PII and harmful content, generates risk events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Delivers notifications via email, in-portal, and future channels</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billing-service</w:t>
            </w:r>
          </w:p>
        </w:tc>
        <w:tc>
          <w:tcPr>
            <w:tcW w:type="dxa" w:w="5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Stripe subscription management, LLM spend aggregation, threshold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reporting-service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Generates and distributes reports and exports</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portal-api</w:t>
            </w:r>
          </w:p>
        </w:tc>
        <w:tc>
          <w:tcPr>
            <w:tcW w:type="dxa" w:w="5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Backend for Frontend — aggregates data for the web portal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web-portal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React-based progressive web app served at bhapi.ai</w:t>
            </w:r>
          </w:p>
        </w:tc>
      </w:tr>
    </w:tbl>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7. AI Monitoring — Capture Strategy</w:t>
      </w:r>
    </w:p>
    <w:p>
      <w:pPr>
        <w:spacing w:before="80" w:after="120"/>
      </w:pPr>
      <w:r>
        <w:rPr>
          <w:rFonts w:ascii="Arial" w:cs="Arial" w:eastAsia="Arial" w:hAnsi="Arial"/>
          <w:color w:val="4A4A4A"/>
          <w:sz w:val="22"/>
          <w:szCs w:val="22"/>
        </w:rPr>
        <w:t xml:space="preserve">Monitoring is achieved through three complementary channels. All three are deployed to maximise coverage. Coverage and depth vary by channel and LLM provider.</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Channel 1 — Browser Extension</w:t>
      </w:r>
    </w:p>
    <w:p>
      <w:pPr>
        <w:spacing w:before="80" w:after="120"/>
      </w:pPr>
      <w:r>
        <w:rPr>
          <w:rFonts w:ascii="Arial" w:cs="Arial" w:eastAsia="Arial" w:hAnsi="Arial"/>
          <w:color w:val="4A4A4A"/>
          <w:sz w:val="22"/>
          <w:szCs w:val="22"/>
        </w:rPr>
        <w:t xml:space="preserve">A Chrome and Firefox browser extension installed on members' devices. Detects when a member navigates to a monitored AI platform, captures prompt submission and response events via DOM monitoring, and sends sanitised event metadata to the capture gateway. Raw content is only submitted for risk classification — not stored unless a risk event is raised.</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Channel 2 — DNS-Layer Proxy / Network Monitoring</w:t>
      </w:r>
    </w:p>
    <w:p>
      <w:pPr>
        <w:spacing w:before="80" w:after="120"/>
      </w:pPr>
      <w:r>
        <w:rPr>
          <w:rFonts w:ascii="Arial" w:cs="Arial" w:eastAsia="Arial" w:hAnsi="Arial"/>
          <w:color w:val="4A4A4A"/>
          <w:sz w:val="22"/>
          <w:szCs w:val="22"/>
        </w:rPr>
        <w:t xml:space="preserve">A family or school configures their network router to use the Bhapi-managed DNS resolver. This logs DNS resolution events for monitored AI domains and provides device-level usage attribution. DNS-layer monitoring shows that a service was accessed but does not inspect HTTPS content — content inspection is handled at device level by the browser extension, keeping this approach fully GDPR-compliant.</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Channel 3 — LLM Provider API / Webhook Integration</w:t>
      </w:r>
    </w:p>
    <w:p>
      <w:pPr>
        <w:spacing w:before="80" w:after="120"/>
      </w:pPr>
      <w:r>
        <w:rPr>
          <w:rFonts w:ascii="Arial" w:cs="Arial" w:eastAsia="Arial" w:hAnsi="Arial"/>
          <w:color w:val="4A4A4A"/>
          <w:sz w:val="22"/>
          <w:szCs w:val="22"/>
        </w:rPr>
        <w:t xml:space="preserve">Where supported by the LLM provider, admins connect their organisation's API account to Bhapi for direct query of usage and spend data. Bhapi requests the minimum scope: usage and billing data only. No provider exposes content (prompt/response text) via management APIs — content-level risk monitoring is handled exclusively by the browser extension.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9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Browser Extension</w:t>
            </w:r>
          </w:p>
        </w:tc>
        <w:tc>
          <w:tcPr>
            <w:tcW w:type="dxa" w:w="19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DNS Proxy</w:t>
            </w:r>
          </w:p>
        </w:tc>
        <w:tc>
          <w:tcPr>
            <w:tcW w:type="dxa" w:w="19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LLM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Usage detection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Content risk scanning</w:t>
            </w:r>
          </w:p>
        </w:tc>
        <w:tc>
          <w:tcPr>
            <w:tcW w:type="dxa" w:w="19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19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9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Spend tracking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Estimated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(accurate)</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Mobile device coverage</w:t>
            </w:r>
          </w:p>
        </w:tc>
        <w:tc>
          <w:tcPr>
            <w:tcW w:type="dxa" w:w="19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Yes (per browser)</w:t>
            </w:r>
          </w:p>
        </w:tc>
        <w:tc>
          <w:tcPr>
            <w:tcW w:type="dxa" w:w="19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Partial</w:t>
            </w:r>
          </w:p>
        </w:tc>
        <w:tc>
          <w:tcPr>
            <w:tcW w:type="dxa" w:w="19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Works on unmanaged devices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bl>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8. Risk &amp; Safety Engine</w:t>
      </w:r>
    </w:p>
    <w:p>
      <w:pPr>
        <w:spacing w:before="80" w:after="120"/>
      </w:pPr>
      <w:r>
        <w:rPr>
          <w:rFonts w:ascii="Arial" w:cs="Arial" w:eastAsia="Arial" w:hAnsi="Arial"/>
          <w:color w:val="4A4A4A"/>
          <w:sz w:val="22"/>
          <w:szCs w:val="22"/>
        </w:rPr>
        <w:t xml:space="preserve">The risk engine is a new, standalone service independent of Littledata. It applies a multi-layer classification pipeline to all monitored content signals.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8.1 Classification Pipeline</w:t>
      </w:r>
    </w:p>
    <w:p>
      <w:pPr>
        <w:pStyle w:val="Heading3"/>
        <w:spacing w:before="240" w:after="80"/>
      </w:pPr>
      <w:r>
        <w:rPr>
          <w:rFonts w:ascii="Arial" w:cs="Arial" w:eastAsia="Arial" w:hAnsi="Arial"/>
          <w:b/>
          <w:bCs/>
          <w:color w:val="1B4F8A"/>
          <w:sz w:val="22"/>
          <w:szCs w:val="22"/>
        </w:rPr>
        <w:t xml:space="preserve">Layer 1 — PII Detection (Google Cloud DLP)</w:t>
      </w:r>
    </w:p>
    <w:p>
      <w:pPr>
        <w:spacing w:before="80" w:after="120"/>
      </w:pPr>
      <w:r>
        <w:rPr>
          <w:rFonts w:ascii="Arial" w:cs="Arial" w:eastAsia="Arial" w:hAnsi="Arial"/>
          <w:color w:val="4A4A4A"/>
          <w:sz w:val="22"/>
          <w:szCs w:val="22"/>
        </w:rPr>
        <w:t xml:space="preserve">All content signals pass through Cloud DLP to identify names, email addresses, phone numbers, physical addresses, national identity numbers, financial account numbers, and health data. Detected PII is masked before any further processing or storage.</w:t>
      </w:r>
    </w:p>
    <w:p>
      <w:pPr>
        <w:pStyle w:val="Heading3"/>
        <w:spacing w:before="240" w:after="80"/>
      </w:pPr>
      <w:r>
        <w:rPr>
          <w:rFonts w:ascii="Arial" w:cs="Arial" w:eastAsia="Arial" w:hAnsi="Arial"/>
          <w:b/>
          <w:bCs/>
          <w:color w:val="1B4F8A"/>
          <w:sz w:val="22"/>
          <w:szCs w:val="22"/>
        </w:rPr>
        <w:t xml:space="preserve">Layer 2 — Safety Classification (Safety LLM via Vertex AI)</w:t>
      </w:r>
    </w:p>
    <w:p>
      <w:pPr>
        <w:spacing w:before="80" w:after="120"/>
      </w:pPr>
      <w:r>
        <w:rPr>
          <w:rFonts w:ascii="Arial" w:cs="Arial" w:eastAsia="Arial" w:hAnsi="Arial"/>
          <w:color w:val="4A4A4A"/>
          <w:sz w:val="22"/>
          <w:szCs w:val="22"/>
        </w:rPr>
        <w:t xml:space="preserve">A safety-tuned LLM classifies the interaction against the risk taxonomy, returning a structured risk assessment. The model is hardened against prompt injection — user-submitted content is wrapped in a structured classification prompt that prevents instruction following.</w:t>
      </w:r>
    </w:p>
    <w:p>
      <w:pPr>
        <w:pStyle w:val="Heading3"/>
        <w:spacing w:before="240" w:after="80"/>
      </w:pPr>
      <w:r>
        <w:rPr>
          <w:rFonts w:ascii="Arial" w:cs="Arial" w:eastAsia="Arial" w:hAnsi="Arial"/>
          <w:b/>
          <w:bCs/>
          <w:color w:val="1B4F8A"/>
          <w:sz w:val="22"/>
          <w:szCs w:val="22"/>
        </w:rPr>
        <w:t xml:space="preserve">Layer 3 — Rules Engine</w:t>
      </w:r>
    </w:p>
    <w:p>
      <w:pPr>
        <w:spacing w:before="80" w:after="120"/>
      </w:pPr>
      <w:r>
        <w:rPr>
          <w:rFonts w:ascii="Arial" w:cs="Arial" w:eastAsia="Arial" w:hAnsi="Arial"/>
          <w:color w:val="4A4A4A"/>
          <w:sz w:val="22"/>
          <w:szCs w:val="22"/>
        </w:rPr>
        <w:t xml:space="preserve">A deterministic rules layer applies context-specific overrides: school-specific keyword watchlists, parent-configured alert preferences, age-band risk scaling, and spend anomaly detection.</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8.2 Risk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SELF_HARM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Content related to self-harm, suicide, eating disorders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VIOLENCE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Threats, glorification of violence, weapons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RADICALISATION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Extremist content, recruitment patterns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CSAM_ADJACENT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Any content with sexual indicators involving minors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ADULT_CONTENT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Sexual or explicit content not involving minors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SCAM_MANIPULATION</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Social engineering, phishing, manipulation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PII_EXPOSURE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Personally identifiable information submitted to AI</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ACADEMIC_DISHONESTY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Assignment completion, exam question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BULLYING_HARASSMENT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Content targeting identifiable individuals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SPEND_ANOMALY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Usage or spend significantly exceeding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EXCESSIVE_USAGE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Usage duration anomaly</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UNKNOWN_PLATFORM</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Access to an unmonitored AI platform detected</w:t>
            </w:r>
          </w:p>
        </w:tc>
      </w:tr>
    </w:tbl>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8.3 Response Actions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In-Portal Alert</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Email to Admin</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Re-notification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Immediate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Immediate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After 15 minutes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Immediate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Immediate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After 30 minutes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Immediate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Digest (configurable)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Low</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Dashboard feed</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Digest (configurable)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No</w:t>
            </w:r>
          </w:p>
        </w:tc>
      </w:tr>
    </w:tbl>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9. LLM Billing Management</w:t>
      </w:r>
    </w:p>
    <w:p>
      <w:pPr>
        <w:spacing w:before="80" w:after="120"/>
      </w:pPr>
      <w:r>
        <w:rPr>
          <w:rFonts w:ascii="Arial" w:cs="Arial" w:eastAsia="Arial" w:hAnsi="Arial"/>
          <w:color w:val="4A4A4A"/>
          <w:sz w:val="22"/>
          <w:szCs w:val="22"/>
        </w:rPr>
        <w:t xml:space="preserve">LLM billing management is a first-class feature of the portal. Families, schools, and clubs increasingly hold paid LLM subscriptions or API accounts with no tooling to manage costs across multiple users.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9.1 LLM Account Connection</w:t>
      </w:r>
    </w:p>
    <w:p>
      <w:pPr>
        <w:spacing w:before="80" w:after="120"/>
      </w:pPr>
      <w:r>
        <w:rPr>
          <w:rFonts w:ascii="Arial" w:cs="Arial" w:eastAsia="Arial" w:hAnsi="Arial"/>
          <w:color w:val="4A4A4A"/>
          <w:sz w:val="22"/>
          <w:szCs w:val="22"/>
        </w:rPr>
        <w:t xml:space="preserve">Admins connect LLM provider accounts via OAuth (where supported) or read-only API key. Bhapi requests the minimum scope: usage and billing data only. Bhapi explicitly does not request the ability to generate content or manage model settings.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9.2 Spend Aggregation</w:t>
      </w:r>
    </w:p>
    <w:p>
      <w:pPr>
        <w:spacing w:before="80" w:after="120"/>
      </w:pPr>
      <w:r>
        <w:rPr>
          <w:rFonts w:ascii="Arial" w:cs="Arial" w:eastAsia="Arial" w:hAnsi="Arial"/>
          <w:color w:val="4A4A4A"/>
          <w:sz w:val="22"/>
          <w:szCs w:val="22"/>
        </w:rPr>
        <w:t xml:space="preserve">Once connected, the billing service polls provider APIs on a scheduled basis and aggregates: total spend for the current billing period, spend per user, spend trend versus prior period, token consumption by model where available, and estimated cost per interaction.</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9.3 Budget Thresholds &amp; Alerts</w:t>
      </w:r>
    </w:p>
    <w:p>
      <w:pPr>
        <w:pStyle w:val="ListParagraph"/>
        <w:numPr>
          <w:ilvl w:val="0"/>
          <w:numId w:val="2"/>
        </w:numPr>
        <w:spacing w:before="40" w:after="40"/>
      </w:pPr>
      <w:r>
        <w:rPr>
          <w:rFonts w:ascii="Arial" w:cs="Arial" w:eastAsia="Arial" w:hAnsi="Arial"/>
          <w:b w:val="false"/>
          <w:bCs w:val="false"/>
          <w:color w:val="4A4A4A"/>
          <w:sz w:val="22"/>
          <w:szCs w:val="22"/>
        </w:rPr>
        <w:t xml:space="preserve">Soft threshold (alert only): Notifications at 50%, 80%, and 100% of the configured limit.</w:t>
      </w:r>
    </w:p>
    <w:p>
      <w:pPr>
        <w:pStyle w:val="ListParagraph"/>
        <w:numPr>
          <w:ilvl w:val="0"/>
          <w:numId w:val="2"/>
        </w:numPr>
        <w:spacing w:before="40" w:after="40"/>
      </w:pPr>
      <w:r>
        <w:rPr>
          <w:rFonts w:ascii="Arial" w:cs="Arial" w:eastAsia="Arial" w:hAnsi="Arial"/>
          <w:b w:val="false"/>
          <w:bCs w:val="false"/>
          <w:color w:val="4A4A4A"/>
          <w:sz w:val="22"/>
          <w:szCs w:val="22"/>
        </w:rPr>
        <w:t xml:space="preserve">Hard threshold (flag for action): Critical alert and dashboard flag at 100%. Admin must take action directly with the provider.</w:t>
      </w:r>
    </w:p>
    <w:p>
      <w:pPr>
        <w:pStyle w:val="ListParagraph"/>
        <w:numPr>
          <w:ilvl w:val="0"/>
          <w:numId w:val="2"/>
        </w:numPr>
        <w:spacing w:before="40" w:after="40"/>
      </w:pPr>
      <w:r>
        <w:rPr>
          <w:rFonts w:ascii="Arial" w:cs="Arial" w:eastAsia="Arial" w:hAnsi="Arial"/>
          <w:b w:val="false"/>
          <w:bCs w:val="false"/>
          <w:color w:val="4A4A4A"/>
          <w:sz w:val="22"/>
          <w:szCs w:val="22"/>
        </w:rPr>
        <w:t xml:space="preserve">Budget envelopes: Schools and clubs can define named envelopes (e.g. 'Year 10 Computing', 'Football First Team') and track spend at envelope level.</w:t>
      </w:r>
    </w:p>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10. Compliance &amp; Regulatory Framework</w:t>
      </w:r>
    </w:p>
    <w:p>
      <w:pPr>
        <w:spacing w:before="80" w:after="120"/>
      </w:pPr>
      <w:r>
        <w:rPr>
          <w:rFonts w:ascii="Arial" w:cs="Arial" w:eastAsia="Arial" w:hAnsi="Arial"/>
          <w:color w:val="4A4A4A"/>
          <w:sz w:val="22"/>
          <w:szCs w:val="22"/>
        </w:rPr>
        <w:t xml:space="preserve">The portal processes data about children and families across multiple jurisdictions. Compliance is a foundation of the product, not a retrofit.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Obligations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GDPR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EU / EEA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Lawful basis, data subject rights, DPO, data residency, 72hr breach notification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UK GDPR + Children's Code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United Kingdom</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Age-appropriate design, high privacy defaults for under-18s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COPPA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United States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Verifiable parental consent for under-13s, no targeted advertising</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LGPD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Brazil</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Explicit consent, data subject rights, DPA notification, parental consent under-18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Online Safety 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Australia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 assurance, harmful content obligations, platform duty of care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EU AI Act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EU</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Risk classification, documentation and transparency for AI systems used with children</w:t>
            </w:r>
          </w:p>
        </w:tc>
      </w:tr>
    </w:tbl>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10.1 Age Assurance</w:t>
      </w:r>
    </w:p>
    <w:p>
      <w:pPr>
        <w:pStyle w:val="ListParagraph"/>
        <w:numPr>
          <w:ilvl w:val="0"/>
          <w:numId w:val="2"/>
        </w:numPr>
        <w:spacing w:before="40" w:after="40"/>
      </w:pPr>
      <w:r>
        <w:rPr>
          <w:rFonts w:ascii="Arial" w:cs="Arial" w:eastAsia="Arial" w:hAnsi="Arial"/>
          <w:b w:val="false"/>
          <w:bCs w:val="false"/>
          <w:color w:val="4A4A4A"/>
          <w:sz w:val="22"/>
          <w:szCs w:val="22"/>
        </w:rPr>
        <w:t xml:space="preserve">Under 16 (EU/UK): parental or guardian consent required before account activation.</w:t>
      </w:r>
    </w:p>
    <w:p>
      <w:pPr>
        <w:pStyle w:val="ListParagraph"/>
        <w:numPr>
          <w:ilvl w:val="0"/>
          <w:numId w:val="2"/>
        </w:numPr>
        <w:spacing w:before="40" w:after="40"/>
      </w:pPr>
      <w:r>
        <w:rPr>
          <w:rFonts w:ascii="Arial" w:cs="Arial" w:eastAsia="Arial" w:hAnsi="Arial"/>
          <w:b w:val="false"/>
          <w:bCs w:val="false"/>
          <w:color w:val="4A4A4A"/>
          <w:sz w:val="22"/>
          <w:szCs w:val="22"/>
        </w:rPr>
        <w:t xml:space="preserve">Under 13 (US): COPPA-compliant verifiable parental consent required.</w:t>
      </w:r>
    </w:p>
    <w:p>
      <w:pPr>
        <w:pStyle w:val="ListParagraph"/>
        <w:numPr>
          <w:ilvl w:val="0"/>
          <w:numId w:val="2"/>
        </w:numPr>
        <w:spacing w:before="40" w:after="40"/>
      </w:pPr>
      <w:r>
        <w:rPr>
          <w:rFonts w:ascii="Arial" w:cs="Arial" w:eastAsia="Arial" w:hAnsi="Arial"/>
          <w:b w:val="false"/>
          <w:bCs w:val="false"/>
          <w:color w:val="4A4A4A"/>
          <w:sz w:val="22"/>
          <w:szCs w:val="22"/>
        </w:rPr>
        <w:t xml:space="preserve">Brazil: parental consent required for under-18s per LGPD guidance.</w:t>
      </w:r>
    </w:p>
    <w:p>
      <w:pPr>
        <w:pStyle w:val="ListParagraph"/>
        <w:numPr>
          <w:ilvl w:val="0"/>
          <w:numId w:val="2"/>
        </w:numPr>
        <w:spacing w:before="40" w:after="40"/>
      </w:pPr>
      <w:r>
        <w:rPr>
          <w:rFonts w:ascii="Arial" w:cs="Arial" w:eastAsia="Arial" w:hAnsi="Arial"/>
          <w:b w:val="false"/>
          <w:bCs w:val="false"/>
          <w:color w:val="4A4A4A"/>
          <w:sz w:val="22"/>
          <w:szCs w:val="22"/>
        </w:rPr>
        <w:t xml:space="preserve">MVP: declaration-based. Enhanced age verification (identity document) in Phase 2.</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10.2 Data Residency</w:t>
      </w:r>
    </w:p>
    <w:p>
      <w:pPr>
        <w:pStyle w:val="ListParagraph"/>
        <w:numPr>
          <w:ilvl w:val="0"/>
          <w:numId w:val="2"/>
        </w:numPr>
        <w:spacing w:before="40" w:after="40"/>
      </w:pPr>
      <w:r>
        <w:rPr>
          <w:rFonts w:ascii="Arial" w:cs="Arial" w:eastAsia="Arial" w:hAnsi="Arial"/>
          <w:b w:val="false"/>
          <w:bCs w:val="false"/>
          <w:color w:val="4A4A4A"/>
          <w:sz w:val="22"/>
          <w:szCs w:val="22"/>
        </w:rPr>
        <w:t xml:space="preserve">EU member data stored and processed within EU GCP regions.</w:t>
      </w:r>
    </w:p>
    <w:p>
      <w:pPr>
        <w:pStyle w:val="ListParagraph"/>
        <w:numPr>
          <w:ilvl w:val="0"/>
          <w:numId w:val="2"/>
        </w:numPr>
        <w:spacing w:before="40" w:after="40"/>
      </w:pPr>
      <w:r>
        <w:rPr>
          <w:rFonts w:ascii="Arial" w:cs="Arial" w:eastAsia="Arial" w:hAnsi="Arial"/>
          <w:b w:val="false"/>
          <w:bCs w:val="false"/>
          <w:color w:val="4A4A4A"/>
          <w:sz w:val="22"/>
          <w:szCs w:val="22"/>
        </w:rPr>
        <w:t xml:space="preserve">Australian data stored within Australian GCP regions.</w:t>
      </w:r>
    </w:p>
    <w:p>
      <w:pPr>
        <w:pStyle w:val="ListParagraph"/>
        <w:numPr>
          <w:ilvl w:val="0"/>
          <w:numId w:val="2"/>
        </w:numPr>
        <w:spacing w:before="40" w:after="40"/>
      </w:pPr>
      <w:r>
        <w:rPr>
          <w:rFonts w:ascii="Arial" w:cs="Arial" w:eastAsia="Arial" w:hAnsi="Arial"/>
          <w:b w:val="false"/>
          <w:bCs w:val="false"/>
          <w:color w:val="4A4A4A"/>
          <w:sz w:val="22"/>
          <w:szCs w:val="22"/>
        </w:rPr>
        <w:t xml:space="preserve">US data stored within US GCP regions.</w:t>
      </w:r>
    </w:p>
    <w:p>
      <w:pPr>
        <w:pStyle w:val="ListParagraph"/>
        <w:numPr>
          <w:ilvl w:val="0"/>
          <w:numId w:val="2"/>
        </w:numPr>
        <w:spacing w:before="40" w:after="40"/>
      </w:pPr>
      <w:r>
        <w:rPr>
          <w:rFonts w:ascii="Arial" w:cs="Arial" w:eastAsia="Arial" w:hAnsi="Arial"/>
          <w:b w:val="false"/>
          <w:bCs w:val="false"/>
          <w:color w:val="4A4A4A"/>
          <w:sz w:val="22"/>
          <w:szCs w:val="22"/>
        </w:rPr>
        <w:t xml:space="preserve">Cross-region data transfers governed by Standard Contractual Clauses.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10.3 Required Documentation Before Launch</w:t>
      </w:r>
    </w:p>
    <w:p>
      <w:pPr>
        <w:pStyle w:val="ListParagraph"/>
        <w:numPr>
          <w:ilvl w:val="0"/>
          <w:numId w:val="2"/>
        </w:numPr>
        <w:spacing w:before="40" w:after="40"/>
      </w:pPr>
      <w:r>
        <w:rPr>
          <w:rFonts w:ascii="Arial" w:cs="Arial" w:eastAsia="Arial" w:hAnsi="Arial"/>
          <w:b w:val="false"/>
          <w:bCs w:val="false"/>
          <w:color w:val="4A4A4A"/>
          <w:sz w:val="22"/>
          <w:szCs w:val="22"/>
        </w:rPr>
        <w:t xml:space="preserve">Data Protection Impact Assessment (DPIA) — GDPR Article 35.</w:t>
      </w:r>
    </w:p>
    <w:p>
      <w:pPr>
        <w:pStyle w:val="ListParagraph"/>
        <w:numPr>
          <w:ilvl w:val="0"/>
          <w:numId w:val="2"/>
        </w:numPr>
        <w:spacing w:before="40" w:after="40"/>
      </w:pPr>
      <w:r>
        <w:rPr>
          <w:rFonts w:ascii="Arial" w:cs="Arial" w:eastAsia="Arial" w:hAnsi="Arial"/>
          <w:b w:val="false"/>
          <w:bCs w:val="false"/>
          <w:color w:val="4A4A4A"/>
          <w:sz w:val="22"/>
          <w:szCs w:val="22"/>
        </w:rPr>
        <w:t xml:space="preserve">Children's Data Impact Assessment (CDIA) — UK Children's Code.</w:t>
      </w:r>
    </w:p>
    <w:p>
      <w:pPr>
        <w:pStyle w:val="ListParagraph"/>
        <w:numPr>
          <w:ilvl w:val="0"/>
          <w:numId w:val="2"/>
        </w:numPr>
        <w:spacing w:before="40" w:after="40"/>
      </w:pPr>
      <w:r>
        <w:rPr>
          <w:rFonts w:ascii="Arial" w:cs="Arial" w:eastAsia="Arial" w:hAnsi="Arial"/>
          <w:b w:val="false"/>
          <w:bCs w:val="false"/>
          <w:color w:val="4A4A4A"/>
          <w:sz w:val="22"/>
          <w:szCs w:val="22"/>
        </w:rPr>
        <w:t xml:space="preserve">Record of Processing Activities (ROPA).</w:t>
      </w:r>
    </w:p>
    <w:p>
      <w:pPr>
        <w:pStyle w:val="ListParagraph"/>
        <w:numPr>
          <w:ilvl w:val="0"/>
          <w:numId w:val="2"/>
        </w:numPr>
        <w:spacing w:before="40" w:after="40"/>
      </w:pPr>
      <w:r>
        <w:rPr>
          <w:rFonts w:ascii="Arial" w:cs="Arial" w:eastAsia="Arial" w:hAnsi="Arial"/>
          <w:b w:val="false"/>
          <w:bCs w:val="false"/>
          <w:color w:val="4A4A4A"/>
          <w:sz w:val="22"/>
          <w:szCs w:val="22"/>
        </w:rPr>
        <w:t xml:space="preserve">EU AI Act technical documentation for the risk classification system.</w:t>
      </w:r>
    </w:p>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11. Billing &amp; Subscription</w:t>
      </w:r>
    </w:p>
    <w:p>
      <w:pPr>
        <w:pStyle w:val="Heading2"/>
        <w:pBdr>
          <w:bottom w:val="single" w:color="2874A6" w:sz="4" w:space="1"/>
        </w:pBdr>
        <w:spacing w:before="320" w:after="120"/>
      </w:pPr>
      <w:r>
        <w:rPr>
          <w:rFonts w:ascii="Arial" w:cs="Arial" w:eastAsia="Arial" w:hAnsi="Arial"/>
          <w:b/>
          <w:bCs/>
          <w:color w:val="2874A6"/>
          <w:sz w:val="26"/>
          <w:szCs w:val="26"/>
        </w:rPr>
        <w:t xml:space="preserve">11.1 Subscription Model</w:t>
      </w:r>
    </w:p>
    <w:p>
      <w:pPr>
        <w:spacing w:before="80" w:after="120"/>
      </w:pPr>
      <w:r>
        <w:rPr>
          <w:rFonts w:ascii="Arial" w:cs="Arial" w:eastAsia="Arial" w:hAnsi="Arial"/>
          <w:color w:val="4A4A4A"/>
          <w:sz w:val="22"/>
          <w:szCs w:val="22"/>
        </w:rPr>
        <w:t xml:space="preserve">MVP: Single tier, monthly or annual billing. Payment processor: Stripe (existing Bhapi Stripe account, new Product/Price configuration).</w:t>
      </w:r>
    </w:p>
    <w:p>
      <w:pPr>
        <w:pStyle w:val="ListParagraph"/>
        <w:numPr>
          <w:ilvl w:val="0"/>
          <w:numId w:val="2"/>
        </w:numPr>
        <w:spacing w:before="40" w:after="40"/>
      </w:pPr>
      <w:r>
        <w:rPr>
          <w:rFonts w:ascii="Arial" w:cs="Arial" w:eastAsia="Arial" w:hAnsi="Arial"/>
          <w:b w:val="false"/>
          <w:bCs w:val="false"/>
          <w:color w:val="4A4A4A"/>
          <w:sz w:val="22"/>
          <w:szCs w:val="22"/>
        </w:rPr>
        <w:t xml:space="preserve">Family plan: billed per family group.</w:t>
      </w:r>
    </w:p>
    <w:p>
      <w:pPr>
        <w:pStyle w:val="ListParagraph"/>
        <w:numPr>
          <w:ilvl w:val="0"/>
          <w:numId w:val="2"/>
        </w:numPr>
        <w:spacing w:before="40" w:after="40"/>
      </w:pPr>
      <w:r>
        <w:rPr>
          <w:rFonts w:ascii="Arial" w:cs="Arial" w:eastAsia="Arial" w:hAnsi="Arial"/>
          <w:b w:val="false"/>
          <w:bCs w:val="false"/>
          <w:color w:val="4A4A4A"/>
          <w:sz w:val="22"/>
          <w:szCs w:val="22"/>
        </w:rPr>
        <w:t xml:space="preserve">School plan: education pricing, billed per school.</w:t>
      </w:r>
    </w:p>
    <w:p>
      <w:pPr>
        <w:pStyle w:val="ListParagraph"/>
        <w:numPr>
          <w:ilvl w:val="0"/>
          <w:numId w:val="2"/>
        </w:numPr>
        <w:spacing w:before="40" w:after="40"/>
      </w:pPr>
      <w:r>
        <w:rPr>
          <w:rFonts w:ascii="Arial" w:cs="Arial" w:eastAsia="Arial" w:hAnsi="Arial"/>
          <w:b w:val="false"/>
          <w:bCs w:val="false"/>
          <w:color w:val="4A4A4A"/>
          <w:sz w:val="22"/>
          <w:szCs w:val="22"/>
        </w:rPr>
        <w:t xml:space="preserve">Club plan: billed per club group.</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11.2 Billing Features</w:t>
      </w:r>
    </w:p>
    <w:p>
      <w:pPr>
        <w:pStyle w:val="ListParagraph"/>
        <w:numPr>
          <w:ilvl w:val="0"/>
          <w:numId w:val="2"/>
        </w:numPr>
        <w:spacing w:before="40" w:after="40"/>
      </w:pPr>
      <w:r>
        <w:rPr>
          <w:rFonts w:ascii="Arial" w:cs="Arial" w:eastAsia="Arial" w:hAnsi="Arial"/>
          <w:b w:val="false"/>
          <w:bCs w:val="false"/>
          <w:color w:val="4A4A4A"/>
          <w:sz w:val="22"/>
          <w:szCs w:val="22"/>
        </w:rPr>
        <w:t xml:space="preserve">Monthly and annual cycles with annual discount.</w:t>
      </w:r>
    </w:p>
    <w:p>
      <w:pPr>
        <w:pStyle w:val="ListParagraph"/>
        <w:numPr>
          <w:ilvl w:val="0"/>
          <w:numId w:val="2"/>
        </w:numPr>
        <w:spacing w:before="40" w:after="40"/>
      </w:pPr>
      <w:r>
        <w:rPr>
          <w:rFonts w:ascii="Arial" w:cs="Arial" w:eastAsia="Arial" w:hAnsi="Arial"/>
          <w:b w:val="false"/>
          <w:bCs w:val="false"/>
          <w:color w:val="4A4A4A"/>
          <w:sz w:val="22"/>
          <w:szCs w:val="22"/>
        </w:rPr>
        <w:t xml:space="preserve">Stripe Customer Portal for self-service plan management, payment updates, and invoice history.</w:t>
      </w:r>
    </w:p>
    <w:p>
      <w:pPr>
        <w:pStyle w:val="ListParagraph"/>
        <w:numPr>
          <w:ilvl w:val="0"/>
          <w:numId w:val="2"/>
        </w:numPr>
        <w:spacing w:before="40" w:after="40"/>
      </w:pPr>
      <w:r>
        <w:rPr>
          <w:rFonts w:ascii="Arial" w:cs="Arial" w:eastAsia="Arial" w:hAnsi="Arial"/>
          <w:b w:val="false"/>
          <w:bCs w:val="false"/>
          <w:color w:val="4A4A4A"/>
          <w:sz w:val="22"/>
          <w:szCs w:val="22"/>
        </w:rPr>
        <w:t xml:space="preserve">Automatic dunning management via Stripe for failed payments.</w:t>
      </w:r>
    </w:p>
    <w:p>
      <w:pPr>
        <w:pStyle w:val="ListParagraph"/>
        <w:numPr>
          <w:ilvl w:val="0"/>
          <w:numId w:val="2"/>
        </w:numPr>
        <w:spacing w:before="40" w:after="40"/>
      </w:pPr>
      <w:r>
        <w:rPr>
          <w:rFonts w:ascii="Arial" w:cs="Arial" w:eastAsia="Arial" w:hAnsi="Arial"/>
          <w:b w:val="false"/>
          <w:bCs w:val="false"/>
          <w:color w:val="4A4A4A"/>
          <w:sz w:val="22"/>
          <w:szCs w:val="22"/>
        </w:rPr>
        <w:t xml:space="preserve">VAT/GST handling via Stripe Tax (automatic by jurisdiction).</w:t>
      </w:r>
    </w:p>
    <w:p>
      <w:pPr>
        <w:pStyle w:val="ListParagraph"/>
        <w:numPr>
          <w:ilvl w:val="0"/>
          <w:numId w:val="2"/>
        </w:numPr>
        <w:spacing w:before="40" w:after="40"/>
      </w:pPr>
      <w:r>
        <w:rPr>
          <w:rFonts w:ascii="Arial" w:cs="Arial" w:eastAsia="Arial" w:hAnsi="Arial"/>
          <w:b w:val="false"/>
          <w:bCs w:val="false"/>
          <w:color w:val="4A4A4A"/>
          <w:sz w:val="22"/>
          <w:szCs w:val="22"/>
        </w:rPr>
        <w:t xml:space="preserve">14-day free trial at sign-up, no credit card required.</w:t>
      </w:r>
    </w:p>
    <w:p>
      <w:pPr>
        <w:spacing w:before="120" w:after="0"/>
      </w:pPr>
      <w:r>
        <w:t xml:space="preserve"/>
      </w:r>
    </w:p>
    <w:p>
      <w:pPr>
        <w:pStyle w:val="Heading1"/>
        <w:shd w:fill="1B4F8A" w:val="clear"/>
        <w:spacing w:before="400" w:after="160"/>
        <w:ind w:left="240" w:right="240"/>
      </w:pPr>
      <w:r>
        <w:rPr>
          <w:rFonts w:ascii="Arial" w:cs="Arial" w:eastAsia="Arial" w:hAnsi="Arial"/>
          <w:b/>
          <w:bCs/>
          <w:color w:val="FFFFFF"/>
          <w:sz w:val="32"/>
          <w:szCs w:val="32"/>
        </w:rPr>
        <w:t xml:space="preserve">12. Internationalisation</w:t>
      </w:r>
    </w:p>
    <w:p>
      <w:pPr>
        <w:pStyle w:val="Heading2"/>
        <w:pBdr>
          <w:bottom w:val="single" w:color="2874A6" w:sz="4" w:space="1"/>
        </w:pBdr>
        <w:spacing w:before="320" w:after="120"/>
      </w:pPr>
      <w:r>
        <w:rPr>
          <w:rFonts w:ascii="Arial" w:cs="Arial" w:eastAsia="Arial" w:hAnsi="Arial"/>
          <w:b/>
          <w:bCs/>
          <w:color w:val="2874A6"/>
          <w:sz w:val="26"/>
          <w:szCs w:val="26"/>
        </w:rPr>
        <w:t xml:space="preserve">12.1 MVP Language</w:t>
      </w:r>
    </w:p>
    <w:p>
      <w:pPr>
        <w:spacing w:before="80" w:after="120"/>
      </w:pPr>
      <w:r>
        <w:rPr>
          <w:rFonts w:ascii="Arial" w:cs="Arial" w:eastAsia="Arial" w:hAnsi="Arial"/>
          <w:color w:val="4A4A4A"/>
          <w:sz w:val="22"/>
          <w:szCs w:val="22"/>
        </w:rPr>
        <w:t xml:space="preserve">English only at launch.</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12.2 Phase 2 Languages (in priority order)</w:t>
      </w:r>
    </w:p>
    <w:p>
      <w:pPr>
        <w:pStyle w:val="ListParagraph"/>
        <w:numPr>
          <w:ilvl w:val="0"/>
          <w:numId w:val="2"/>
        </w:numPr>
        <w:spacing w:before="40" w:after="40"/>
      </w:pPr>
      <w:r>
        <w:rPr>
          <w:rFonts w:ascii="Arial" w:cs="Arial" w:eastAsia="Arial" w:hAnsi="Arial"/>
          <w:b w:val="false"/>
          <w:bCs w:val="false"/>
          <w:color w:val="4A4A4A"/>
          <w:sz w:val="22"/>
          <w:szCs w:val="22"/>
        </w:rPr>
        <w:t xml:space="preserve">French (FR)</w:t>
      </w:r>
    </w:p>
    <w:p>
      <w:pPr>
        <w:pStyle w:val="ListParagraph"/>
        <w:numPr>
          <w:ilvl w:val="0"/>
          <w:numId w:val="2"/>
        </w:numPr>
        <w:spacing w:before="40" w:after="40"/>
      </w:pPr>
      <w:r>
        <w:rPr>
          <w:rFonts w:ascii="Arial" w:cs="Arial" w:eastAsia="Arial" w:hAnsi="Arial"/>
          <w:b w:val="false"/>
          <w:bCs w:val="false"/>
          <w:color w:val="4A4A4A"/>
          <w:sz w:val="22"/>
          <w:szCs w:val="22"/>
        </w:rPr>
        <w:t xml:space="preserve">Spanish (ES)</w:t>
      </w:r>
    </w:p>
    <w:p>
      <w:pPr>
        <w:pStyle w:val="ListParagraph"/>
        <w:numPr>
          <w:ilvl w:val="0"/>
          <w:numId w:val="2"/>
        </w:numPr>
        <w:spacing w:before="40" w:after="40"/>
      </w:pPr>
      <w:r>
        <w:rPr>
          <w:rFonts w:ascii="Arial" w:cs="Arial" w:eastAsia="Arial" w:hAnsi="Arial"/>
          <w:b w:val="false"/>
          <w:bCs w:val="false"/>
          <w:color w:val="4A4A4A"/>
          <w:sz w:val="22"/>
          <w:szCs w:val="22"/>
        </w:rPr>
        <w:t xml:space="preserve">German (DE)</w:t>
      </w:r>
    </w:p>
    <w:p>
      <w:pPr>
        <w:pStyle w:val="ListParagraph"/>
        <w:numPr>
          <w:ilvl w:val="0"/>
          <w:numId w:val="2"/>
        </w:numPr>
        <w:spacing w:before="40" w:after="40"/>
      </w:pPr>
      <w:r>
        <w:rPr>
          <w:rFonts w:ascii="Arial" w:cs="Arial" w:eastAsia="Arial" w:hAnsi="Arial"/>
          <w:b w:val="false"/>
          <w:bCs w:val="false"/>
          <w:color w:val="4A4A4A"/>
          <w:sz w:val="22"/>
          <w:szCs w:val="22"/>
        </w:rPr>
        <w:t xml:space="preserve">Portuguese (PT-PT and PT-BR)</w:t>
      </w:r>
    </w:p>
    <w:p>
      <w:pPr>
        <w:pStyle w:val="ListParagraph"/>
        <w:numPr>
          <w:ilvl w:val="0"/>
          <w:numId w:val="2"/>
        </w:numPr>
        <w:spacing w:before="40" w:after="40"/>
      </w:pPr>
      <w:r>
        <w:rPr>
          <w:rFonts w:ascii="Arial" w:cs="Arial" w:eastAsia="Arial" w:hAnsi="Arial"/>
          <w:b w:val="false"/>
          <w:bCs w:val="false"/>
          <w:color w:val="4A4A4A"/>
          <w:sz w:val="22"/>
          <w:szCs w:val="22"/>
        </w:rPr>
        <w:t xml:space="preserve">Italian (IT)</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12.3 Technical Implementation</w:t>
      </w:r>
    </w:p>
    <w:p>
      <w:pPr>
        <w:pStyle w:val="ListParagraph"/>
        <w:numPr>
          <w:ilvl w:val="0"/>
          <w:numId w:val="2"/>
        </w:numPr>
        <w:spacing w:before="40" w:after="40"/>
      </w:pPr>
      <w:r>
        <w:rPr>
          <w:rFonts w:ascii="Arial" w:cs="Arial" w:eastAsia="Arial" w:hAnsi="Arial"/>
          <w:b w:val="false"/>
          <w:bCs w:val="false"/>
          <w:color w:val="4A4A4A"/>
          <w:sz w:val="22"/>
          <w:szCs w:val="22"/>
        </w:rPr>
        <w:t xml:space="preserve">All UI strings externalised into locale resource files (JSON) from day one. No hardcoded English strings.</w:t>
      </w:r>
    </w:p>
    <w:p>
      <w:pPr>
        <w:pStyle w:val="ListParagraph"/>
        <w:numPr>
          <w:ilvl w:val="0"/>
          <w:numId w:val="2"/>
        </w:numPr>
        <w:spacing w:before="40" w:after="40"/>
      </w:pPr>
      <w:r>
        <w:rPr>
          <w:rFonts w:ascii="Arial" w:cs="Arial" w:eastAsia="Arial" w:hAnsi="Arial"/>
          <w:b w:val="false"/>
          <w:bCs w:val="false"/>
          <w:color w:val="4A4A4A"/>
          <w:sz w:val="22"/>
          <w:szCs w:val="22"/>
        </w:rPr>
        <w:t xml:space="preserve">Locale routing: bhapi.ai/en/, bhapi.ai/fr/, etc.</w:t>
      </w:r>
    </w:p>
    <w:p>
      <w:pPr>
        <w:pStyle w:val="ListParagraph"/>
        <w:numPr>
          <w:ilvl w:val="0"/>
          <w:numId w:val="2"/>
        </w:numPr>
        <w:spacing w:before="40" w:after="40"/>
      </w:pPr>
      <w:r>
        <w:rPr>
          <w:rFonts w:ascii="Arial" w:cs="Arial" w:eastAsia="Arial" w:hAnsi="Arial"/>
          <w:b w:val="false"/>
          <w:bCs w:val="false"/>
          <w:color w:val="4A4A4A"/>
          <w:sz w:val="22"/>
          <w:szCs w:val="22"/>
        </w:rPr>
        <w:t xml:space="preserve">Legal documents professionally translated and legally reviewed for each locale.</w:t>
      </w:r>
    </w:p>
    <w:p>
      <w:pPr>
        <w:pStyle w:val="ListParagraph"/>
        <w:numPr>
          <w:ilvl w:val="0"/>
          <w:numId w:val="2"/>
        </w:numPr>
        <w:spacing w:before="40" w:after="40"/>
      </w:pPr>
      <w:r>
        <w:rPr>
          <w:rFonts w:ascii="Arial" w:cs="Arial" w:eastAsia="Arial" w:hAnsi="Arial"/>
          <w:b w:val="false"/>
          <w:bCs w:val="false"/>
          <w:color w:val="4A4A4A"/>
          <w:sz w:val="22"/>
          <w:szCs w:val="22"/>
        </w:rPr>
        <w:t xml:space="preserve">Risk engine multilingual capability verified for each language before that language is enabled in production.</w:t>
      </w:r>
    </w:p>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13. Security Requirements</w:t>
      </w:r>
    </w:p>
    <w:p>
      <w:pPr>
        <w:pStyle w:val="Heading2"/>
        <w:pBdr>
          <w:bottom w:val="single" w:color="2874A6" w:sz="4" w:space="1"/>
        </w:pBdr>
        <w:spacing w:before="320" w:after="120"/>
      </w:pPr>
      <w:r>
        <w:rPr>
          <w:rFonts w:ascii="Arial" w:cs="Arial" w:eastAsia="Arial" w:hAnsi="Arial"/>
          <w:b/>
          <w:bCs/>
          <w:color w:val="2874A6"/>
          <w:sz w:val="26"/>
          <w:szCs w:val="26"/>
        </w:rPr>
        <w:t xml:space="preserve">13.1 Authentication &amp; Access</w:t>
      </w:r>
    </w:p>
    <w:p>
      <w:pPr>
        <w:pStyle w:val="ListParagraph"/>
        <w:numPr>
          <w:ilvl w:val="0"/>
          <w:numId w:val="2"/>
        </w:numPr>
        <w:spacing w:before="40" w:after="40"/>
      </w:pPr>
      <w:r>
        <w:rPr>
          <w:rFonts w:ascii="Arial" w:cs="Arial" w:eastAsia="Arial" w:hAnsi="Arial"/>
          <w:b w:val="false"/>
          <w:bCs w:val="false"/>
          <w:color w:val="4A4A4A"/>
          <w:sz w:val="22"/>
          <w:szCs w:val="22"/>
        </w:rPr>
        <w:t xml:space="preserve">Passwords: 12+ characters minimum, mixed case, numbers.</w:t>
      </w:r>
    </w:p>
    <w:p>
      <w:pPr>
        <w:pStyle w:val="ListParagraph"/>
        <w:numPr>
          <w:ilvl w:val="0"/>
          <w:numId w:val="2"/>
        </w:numPr>
        <w:spacing w:before="40" w:after="40"/>
      </w:pPr>
      <w:r>
        <w:rPr>
          <w:rFonts w:ascii="Arial" w:cs="Arial" w:eastAsia="Arial" w:hAnsi="Arial"/>
          <w:b w:val="false"/>
          <w:bCs w:val="false"/>
          <w:color w:val="4A4A4A"/>
          <w:sz w:val="22"/>
          <w:szCs w:val="22"/>
        </w:rPr>
        <w:t xml:space="preserve">MFA available and strongly encouraged; mandatory for school and club admin roles.</w:t>
      </w:r>
    </w:p>
    <w:p>
      <w:pPr>
        <w:pStyle w:val="ListParagraph"/>
        <w:numPr>
          <w:ilvl w:val="0"/>
          <w:numId w:val="2"/>
        </w:numPr>
        <w:spacing w:before="40" w:after="40"/>
      </w:pPr>
      <w:r>
        <w:rPr>
          <w:rFonts w:ascii="Arial" w:cs="Arial" w:eastAsia="Arial" w:hAnsi="Arial"/>
          <w:b w:val="false"/>
          <w:bCs w:val="false"/>
          <w:color w:val="4A4A4A"/>
          <w:sz w:val="22"/>
          <w:szCs w:val="22"/>
        </w:rPr>
        <w:t xml:space="preserve">Session tokens expire after 24 hours of inactivity.</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13.2 Encryption</w:t>
      </w:r>
    </w:p>
    <w:p>
      <w:pPr>
        <w:pStyle w:val="ListParagraph"/>
        <w:numPr>
          <w:ilvl w:val="0"/>
          <w:numId w:val="2"/>
        </w:numPr>
        <w:spacing w:before="40" w:after="40"/>
      </w:pPr>
      <w:r>
        <w:rPr>
          <w:rFonts w:ascii="Arial" w:cs="Arial" w:eastAsia="Arial" w:hAnsi="Arial"/>
          <w:b w:val="false"/>
          <w:bCs w:val="false"/>
          <w:color w:val="4A4A4A"/>
          <w:sz w:val="22"/>
          <w:szCs w:val="22"/>
        </w:rPr>
        <w:t xml:space="preserve">All data in transit: TLS 1.3 minimum.</w:t>
      </w:r>
    </w:p>
    <w:p>
      <w:pPr>
        <w:pStyle w:val="ListParagraph"/>
        <w:numPr>
          <w:ilvl w:val="0"/>
          <w:numId w:val="2"/>
        </w:numPr>
        <w:spacing w:before="40" w:after="40"/>
      </w:pPr>
      <w:r>
        <w:rPr>
          <w:rFonts w:ascii="Arial" w:cs="Arial" w:eastAsia="Arial" w:hAnsi="Arial"/>
          <w:b w:val="false"/>
          <w:bCs w:val="false"/>
          <w:color w:val="4A4A4A"/>
          <w:sz w:val="22"/>
          <w:szCs w:val="22"/>
        </w:rPr>
        <w:t xml:space="preserve">All data at rest: AES-256 via GCP managed encryption.</w:t>
      </w:r>
    </w:p>
    <w:p>
      <w:pPr>
        <w:pStyle w:val="ListParagraph"/>
        <w:numPr>
          <w:ilvl w:val="0"/>
          <w:numId w:val="2"/>
        </w:numPr>
        <w:spacing w:before="40" w:after="40"/>
      </w:pPr>
      <w:r>
        <w:rPr>
          <w:rFonts w:ascii="Arial" w:cs="Arial" w:eastAsia="Arial" w:hAnsi="Arial"/>
          <w:b w:val="false"/>
          <w:bCs w:val="false"/>
          <w:color w:val="4A4A4A"/>
          <w:sz w:val="22"/>
          <w:szCs w:val="22"/>
        </w:rPr>
        <w:t xml:space="preserve">PII and risk event content: field-level encryption via GCP Cloud KMS.</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13.3 Pre-Launch Security Requirements</w:t>
      </w:r>
    </w:p>
    <w:p>
      <w:pPr>
        <w:pStyle w:val="ListParagraph"/>
        <w:numPr>
          <w:ilvl w:val="0"/>
          <w:numId w:val="2"/>
        </w:numPr>
        <w:spacing w:before="40" w:after="40"/>
      </w:pPr>
      <w:r>
        <w:rPr>
          <w:rFonts w:ascii="Arial" w:cs="Arial" w:eastAsia="Arial" w:hAnsi="Arial"/>
          <w:b w:val="false"/>
          <w:bCs w:val="false"/>
          <w:color w:val="4A4A4A"/>
          <w:sz w:val="22"/>
          <w:szCs w:val="22"/>
        </w:rPr>
        <w:t xml:space="preserve">Independent penetration test completed before public launch.</w:t>
      </w:r>
    </w:p>
    <w:p>
      <w:pPr>
        <w:pStyle w:val="ListParagraph"/>
        <w:numPr>
          <w:ilvl w:val="0"/>
          <w:numId w:val="2"/>
        </w:numPr>
        <w:spacing w:before="40" w:after="40"/>
      </w:pPr>
      <w:r>
        <w:rPr>
          <w:rFonts w:ascii="Arial" w:cs="Arial" w:eastAsia="Arial" w:hAnsi="Arial"/>
          <w:b w:val="false"/>
          <w:bCs w:val="false"/>
          <w:color w:val="4A4A4A"/>
          <w:sz w:val="22"/>
          <w:szCs w:val="22"/>
        </w:rPr>
        <w:t xml:space="preserve">OWASP Top 10 addressed in code review.</w:t>
      </w:r>
    </w:p>
    <w:p>
      <w:pPr>
        <w:pStyle w:val="ListParagraph"/>
        <w:numPr>
          <w:ilvl w:val="0"/>
          <w:numId w:val="2"/>
        </w:numPr>
        <w:spacing w:before="40" w:after="40"/>
      </w:pPr>
      <w:r>
        <w:rPr>
          <w:rFonts w:ascii="Arial" w:cs="Arial" w:eastAsia="Arial" w:hAnsi="Arial"/>
          <w:b w:val="false"/>
          <w:bCs w:val="false"/>
          <w:color w:val="4A4A4A"/>
          <w:sz w:val="22"/>
          <w:szCs w:val="22"/>
        </w:rPr>
        <w:t xml:space="preserve">Dependency vulnerability scanning integrated into CI/CD pipeline.</w:t>
      </w:r>
    </w:p>
    <w:p>
      <w:pPr>
        <w:pStyle w:val="ListParagraph"/>
        <w:numPr>
          <w:ilvl w:val="0"/>
          <w:numId w:val="2"/>
        </w:numPr>
        <w:spacing w:before="40" w:after="40"/>
      </w:pPr>
      <w:r>
        <w:rPr>
          <w:rFonts w:ascii="Arial" w:cs="Arial" w:eastAsia="Arial" w:hAnsi="Arial"/>
          <w:b w:val="false"/>
          <w:bCs w:val="false"/>
          <w:color w:val="4A4A4A"/>
          <w:sz w:val="22"/>
          <w:szCs w:val="22"/>
        </w:rPr>
        <w:t xml:space="preserve">Browser extension signed requests (HMAC or JWT) to prevent spoofing of capture gateway.</w:t>
      </w:r>
    </w:p>
    <w:p>
      <w:pPr>
        <w:spacing w:before="120" w:after="0"/>
      </w:pPr>
      <w:r>
        <w:t xml:space="preserve"/>
      </w:r>
    </w:p>
    <w:p>
      <w:pPr>
        <w:pStyle w:val="Heading1"/>
        <w:shd w:fill="1B4F8A" w:val="clear"/>
        <w:spacing w:before="400" w:after="160"/>
        <w:ind w:left="240" w:right="240"/>
      </w:pPr>
      <w:r>
        <w:rPr>
          <w:rFonts w:ascii="Arial" w:cs="Arial" w:eastAsia="Arial" w:hAnsi="Arial"/>
          <w:b/>
          <w:bCs/>
          <w:color w:val="FFFFFF"/>
          <w:sz w:val="32"/>
          <w:szCs w:val="32"/>
        </w:rPr>
        <w:t xml:space="preserve">14. Scope Boundaries — MVP</w:t>
      </w:r>
    </w:p>
    <w:p>
      <w:pPr>
        <w:pStyle w:val="Heading2"/>
        <w:pBdr>
          <w:bottom w:val="single" w:color="2874A6" w:sz="4" w:space="1"/>
        </w:pBdr>
        <w:spacing w:before="320" w:after="120"/>
      </w:pPr>
      <w:r>
        <w:rPr>
          <w:rFonts w:ascii="Arial" w:cs="Arial" w:eastAsia="Arial" w:hAnsi="Arial"/>
          <w:b/>
          <w:bCs/>
          <w:color w:val="2874A6"/>
          <w:sz w:val="26"/>
          <w:szCs w:val="26"/>
        </w:rPr>
        <w:t xml:space="preserve">In Scope</w:t>
      </w:r>
    </w:p>
    <w:p>
      <w:pPr>
        <w:pStyle w:val="ListParagraph"/>
        <w:numPr>
          <w:ilvl w:val="0"/>
          <w:numId w:val="2"/>
        </w:numPr>
        <w:spacing w:before="40" w:after="40"/>
      </w:pPr>
      <w:r>
        <w:rPr>
          <w:rFonts w:ascii="Arial" w:cs="Arial" w:eastAsia="Arial" w:hAnsi="Arial"/>
          <w:b w:val="false"/>
          <w:bCs w:val="false"/>
          <w:color w:val="4A4A4A"/>
          <w:sz w:val="22"/>
          <w:szCs w:val="22"/>
        </w:rPr>
        <w:t xml:space="preserve">Web-responsive portal (mobile web, min 320px).</w:t>
      </w:r>
    </w:p>
    <w:p>
      <w:pPr>
        <w:pStyle w:val="ListParagraph"/>
        <w:numPr>
          <w:ilvl w:val="0"/>
          <w:numId w:val="2"/>
        </w:numPr>
        <w:spacing w:before="40" w:after="40"/>
      </w:pPr>
      <w:r>
        <w:rPr>
          <w:rFonts w:ascii="Arial" w:cs="Arial" w:eastAsia="Arial" w:hAnsi="Arial"/>
          <w:b w:val="false"/>
          <w:bCs w:val="false"/>
          <w:color w:val="4A4A4A"/>
          <w:sz w:val="22"/>
          <w:szCs w:val="22"/>
        </w:rPr>
        <w:t xml:space="preserve">Family, school, and club group account types.</w:t>
      </w:r>
    </w:p>
    <w:p>
      <w:pPr>
        <w:pStyle w:val="ListParagraph"/>
        <w:numPr>
          <w:ilvl w:val="0"/>
          <w:numId w:val="2"/>
        </w:numPr>
        <w:spacing w:before="40" w:after="40"/>
      </w:pPr>
      <w:r>
        <w:rPr>
          <w:rFonts w:ascii="Arial" w:cs="Arial" w:eastAsia="Arial" w:hAnsi="Arial"/>
          <w:b w:val="false"/>
          <w:bCs w:val="false"/>
          <w:color w:val="4A4A4A"/>
          <w:sz w:val="22"/>
          <w:szCs w:val="22"/>
        </w:rPr>
        <w:t xml:space="preserve">Monitoring: ChatGPT, Gemini, Microsoft Copilot, Claude, Grok.</w:t>
      </w:r>
    </w:p>
    <w:p>
      <w:pPr>
        <w:pStyle w:val="ListParagraph"/>
        <w:numPr>
          <w:ilvl w:val="0"/>
          <w:numId w:val="2"/>
        </w:numPr>
        <w:spacing w:before="40" w:after="40"/>
      </w:pPr>
      <w:r>
        <w:rPr>
          <w:rFonts w:ascii="Arial" w:cs="Arial" w:eastAsia="Arial" w:hAnsi="Arial"/>
          <w:b w:val="false"/>
          <w:bCs w:val="false"/>
          <w:color w:val="4A4A4A"/>
          <w:sz w:val="22"/>
          <w:szCs w:val="22"/>
        </w:rPr>
        <w:t xml:space="preserve">Browser extension (Chrome and Firefox).</w:t>
      </w:r>
    </w:p>
    <w:p>
      <w:pPr>
        <w:pStyle w:val="ListParagraph"/>
        <w:numPr>
          <w:ilvl w:val="0"/>
          <w:numId w:val="2"/>
        </w:numPr>
        <w:spacing w:before="40" w:after="40"/>
      </w:pPr>
      <w:r>
        <w:rPr>
          <w:rFonts w:ascii="Arial" w:cs="Arial" w:eastAsia="Arial" w:hAnsi="Arial"/>
          <w:b w:val="false"/>
          <w:bCs w:val="false"/>
          <w:color w:val="4A4A4A"/>
          <w:sz w:val="22"/>
          <w:szCs w:val="22"/>
        </w:rPr>
        <w:t xml:space="preserve">DNS proxy monitoring channel.</w:t>
      </w:r>
    </w:p>
    <w:p>
      <w:pPr>
        <w:pStyle w:val="ListParagraph"/>
        <w:numPr>
          <w:ilvl w:val="0"/>
          <w:numId w:val="2"/>
        </w:numPr>
        <w:spacing w:before="40" w:after="40"/>
      </w:pPr>
      <w:r>
        <w:rPr>
          <w:rFonts w:ascii="Arial" w:cs="Arial" w:eastAsia="Arial" w:hAnsi="Arial"/>
          <w:b w:val="false"/>
          <w:bCs w:val="false"/>
          <w:color w:val="4A4A4A"/>
          <w:sz w:val="22"/>
          <w:szCs w:val="22"/>
        </w:rPr>
        <w:t xml:space="preserve">LLM API/webhook integration for spend and usage data.</w:t>
      </w:r>
    </w:p>
    <w:p>
      <w:pPr>
        <w:pStyle w:val="ListParagraph"/>
        <w:numPr>
          <w:ilvl w:val="0"/>
          <w:numId w:val="2"/>
        </w:numPr>
        <w:spacing w:before="40" w:after="40"/>
      </w:pPr>
      <w:r>
        <w:rPr>
          <w:rFonts w:ascii="Arial" w:cs="Arial" w:eastAsia="Arial" w:hAnsi="Arial"/>
          <w:b w:val="false"/>
          <w:bCs w:val="false"/>
          <w:color w:val="4A4A4A"/>
          <w:sz w:val="22"/>
          <w:szCs w:val="22"/>
        </w:rPr>
        <w:t xml:space="preserve">Risk &amp; safety engine with PII detection and harmful content classification.</w:t>
      </w:r>
    </w:p>
    <w:p>
      <w:pPr>
        <w:pStyle w:val="ListParagraph"/>
        <w:numPr>
          <w:ilvl w:val="0"/>
          <w:numId w:val="2"/>
        </w:numPr>
        <w:spacing w:before="40" w:after="40"/>
      </w:pPr>
      <w:r>
        <w:rPr>
          <w:rFonts w:ascii="Arial" w:cs="Arial" w:eastAsia="Arial" w:hAnsi="Arial"/>
          <w:b w:val="false"/>
          <w:bCs w:val="false"/>
          <w:color w:val="4A4A4A"/>
          <w:sz w:val="22"/>
          <w:szCs w:val="22"/>
        </w:rPr>
        <w:t xml:space="preserve">Real-time alerts (in-portal and email).</w:t>
      </w:r>
    </w:p>
    <w:p>
      <w:pPr>
        <w:pStyle w:val="ListParagraph"/>
        <w:numPr>
          <w:ilvl w:val="0"/>
          <w:numId w:val="2"/>
        </w:numPr>
        <w:spacing w:before="40" w:after="40"/>
      </w:pPr>
      <w:r>
        <w:rPr>
          <w:rFonts w:ascii="Arial" w:cs="Arial" w:eastAsia="Arial" w:hAnsi="Arial"/>
          <w:b w:val="false"/>
          <w:bCs w:val="false"/>
          <w:color w:val="4A4A4A"/>
          <w:sz w:val="22"/>
          <w:szCs w:val="22"/>
        </w:rPr>
        <w:t xml:space="preserve">LLM spend tracking, budget thresholds, alerts, and budget envelopes.</w:t>
      </w:r>
    </w:p>
    <w:p>
      <w:pPr>
        <w:pStyle w:val="ListParagraph"/>
        <w:numPr>
          <w:ilvl w:val="0"/>
          <w:numId w:val="2"/>
        </w:numPr>
        <w:spacing w:before="40" w:after="40"/>
      </w:pPr>
      <w:r>
        <w:rPr>
          <w:rFonts w:ascii="Arial" w:cs="Arial" w:eastAsia="Arial" w:hAnsi="Arial"/>
          <w:b w:val="false"/>
          <w:bCs w:val="false"/>
          <w:color w:val="4A4A4A"/>
          <w:sz w:val="22"/>
          <w:szCs w:val="22"/>
        </w:rPr>
        <w:t xml:space="preserve">Stripe billing — monthly and annual, single tier.</w:t>
      </w:r>
    </w:p>
    <w:p>
      <w:pPr>
        <w:pStyle w:val="ListParagraph"/>
        <w:numPr>
          <w:ilvl w:val="0"/>
          <w:numId w:val="2"/>
        </w:numPr>
        <w:spacing w:before="40" w:after="40"/>
      </w:pPr>
      <w:r>
        <w:rPr>
          <w:rFonts w:ascii="Arial" w:cs="Arial" w:eastAsia="Arial" w:hAnsi="Arial"/>
          <w:b w:val="false"/>
          <w:bCs w:val="false"/>
          <w:color w:val="4A4A4A"/>
          <w:sz w:val="22"/>
          <w:szCs w:val="22"/>
        </w:rPr>
        <w:t xml:space="preserve">English language only.</w:t>
      </w:r>
    </w:p>
    <w:p>
      <w:pPr>
        <w:pStyle w:val="ListParagraph"/>
        <w:numPr>
          <w:ilvl w:val="0"/>
          <w:numId w:val="2"/>
        </w:numPr>
        <w:spacing w:before="40" w:after="40"/>
      </w:pPr>
      <w:r>
        <w:rPr>
          <w:rFonts w:ascii="Arial" w:cs="Arial" w:eastAsia="Arial" w:hAnsi="Arial"/>
          <w:b w:val="false"/>
          <w:bCs w:val="false"/>
          <w:color w:val="4A4A4A"/>
          <w:sz w:val="22"/>
          <w:szCs w:val="22"/>
        </w:rPr>
        <w:t xml:space="preserve">Compliance: GDPR, UK GDPR, COPPA, LGPD, Australian Online Safety Act, EU AI Act.</w:t>
      </w:r>
    </w:p>
    <w:p>
      <w:pPr>
        <w:pStyle w:val="ListParagraph"/>
        <w:numPr>
          <w:ilvl w:val="0"/>
          <w:numId w:val="2"/>
        </w:numPr>
        <w:spacing w:before="40" w:after="40"/>
      </w:pPr>
      <w:r>
        <w:rPr>
          <w:rFonts w:ascii="Arial" w:cs="Arial" w:eastAsia="Arial" w:hAnsi="Arial"/>
          <w:b w:val="false"/>
          <w:bCs w:val="false"/>
          <w:color w:val="4A4A4A"/>
          <w:sz w:val="22"/>
          <w:szCs w:val="22"/>
        </w:rPr>
        <w:t xml:space="preserve">Report exports (CSV and PDF).</w:t>
      </w:r>
    </w:p>
    <w:p>
      <w:pPr>
        <w:pStyle w:val="ListParagraph"/>
        <w:numPr>
          <w:ilvl w:val="0"/>
          <w:numId w:val="2"/>
        </w:numPr>
        <w:spacing w:before="40" w:after="40"/>
      </w:pPr>
      <w:r>
        <w:rPr>
          <w:rFonts w:ascii="Arial" w:cs="Arial" w:eastAsia="Arial" w:hAnsi="Arial"/>
          <w:b w:val="false"/>
          <w:bCs w:val="false"/>
          <w:color w:val="4A4A4A"/>
          <w:sz w:val="22"/>
          <w:szCs w:val="22"/>
        </w:rPr>
        <w:t xml:space="preserve">WCAG 2.1 AA accessibility.</w:t>
      </w:r>
    </w:p>
    <w:p>
      <w:pPr>
        <w:spacing w:before="80" w:after="0"/>
      </w:pPr>
      <w:r>
        <w:t xml:space="preserve"/>
      </w:r>
    </w:p>
    <w:p>
      <w:pPr>
        <w:pStyle w:val="Heading2"/>
        <w:pBdr>
          <w:bottom w:val="single" w:color="2874A6" w:sz="4" w:space="1"/>
        </w:pBdr>
        <w:spacing w:before="320" w:after="120"/>
      </w:pPr>
      <w:r>
        <w:rPr>
          <w:rFonts w:ascii="Arial" w:cs="Arial" w:eastAsia="Arial" w:hAnsi="Arial"/>
          <w:b/>
          <w:bCs/>
          <w:color w:val="2874A6"/>
          <w:sz w:val="26"/>
          <w:szCs w:val="26"/>
        </w:rPr>
        <w:t xml:space="preserve">Out of Scope — MVP</w:t>
      </w:r>
    </w:p>
    <w:p>
      <w:pPr>
        <w:pStyle w:val="ListParagraph"/>
        <w:numPr>
          <w:ilvl w:val="0"/>
          <w:numId w:val="2"/>
        </w:numPr>
        <w:spacing w:before="40" w:after="40"/>
      </w:pPr>
      <w:r>
        <w:rPr>
          <w:rFonts w:ascii="Arial" w:cs="Arial" w:eastAsia="Arial" w:hAnsi="Arial"/>
          <w:b w:val="false"/>
          <w:bCs w:val="false"/>
          <w:color w:val="4A4A4A"/>
          <w:sz w:val="22"/>
          <w:szCs w:val="22"/>
        </w:rPr>
        <w:t xml:space="preserve">Native mobile application (iOS/Android).</w:t>
      </w:r>
    </w:p>
    <w:p>
      <w:pPr>
        <w:pStyle w:val="ListParagraph"/>
        <w:numPr>
          <w:ilvl w:val="0"/>
          <w:numId w:val="2"/>
        </w:numPr>
        <w:spacing w:before="40" w:after="40"/>
      </w:pPr>
      <w:r>
        <w:rPr>
          <w:rFonts w:ascii="Arial" w:cs="Arial" w:eastAsia="Arial" w:hAnsi="Arial"/>
          <w:b w:val="false"/>
          <w:bCs w:val="false"/>
          <w:color w:val="4A4A4A"/>
          <w:sz w:val="22"/>
          <w:szCs w:val="22"/>
        </w:rPr>
        <w:t xml:space="preserve">Additional languages beyond English.</w:t>
      </w:r>
    </w:p>
    <w:p>
      <w:pPr>
        <w:pStyle w:val="ListParagraph"/>
        <w:numPr>
          <w:ilvl w:val="0"/>
          <w:numId w:val="2"/>
        </w:numPr>
        <w:spacing w:before="40" w:after="40"/>
      </w:pPr>
      <w:r>
        <w:rPr>
          <w:rFonts w:ascii="Arial" w:cs="Arial" w:eastAsia="Arial" w:hAnsi="Arial"/>
          <w:b w:val="false"/>
          <w:bCs w:val="false"/>
          <w:color w:val="4A4A4A"/>
          <w:sz w:val="22"/>
          <w:szCs w:val="22"/>
        </w:rPr>
        <w:t xml:space="preserve">Automated blocking of AI sessions (alert and flag only).</w:t>
      </w:r>
    </w:p>
    <w:p>
      <w:pPr>
        <w:pStyle w:val="ListParagraph"/>
        <w:numPr>
          <w:ilvl w:val="0"/>
          <w:numId w:val="2"/>
        </w:numPr>
        <w:spacing w:before="40" w:after="40"/>
      </w:pPr>
      <w:r>
        <w:rPr>
          <w:rFonts w:ascii="Arial" w:cs="Arial" w:eastAsia="Arial" w:hAnsi="Arial"/>
          <w:b w:val="false"/>
          <w:bCs w:val="false"/>
          <w:color w:val="4A4A4A"/>
          <w:sz w:val="22"/>
          <w:szCs w:val="22"/>
        </w:rPr>
        <w:t xml:space="preserve">Tiered pricing and freemium model.</w:t>
      </w:r>
    </w:p>
    <w:p>
      <w:pPr>
        <w:pStyle w:val="ListParagraph"/>
        <w:numPr>
          <w:ilvl w:val="0"/>
          <w:numId w:val="2"/>
        </w:numPr>
        <w:spacing w:before="40" w:after="40"/>
      </w:pPr>
      <w:r>
        <w:rPr>
          <w:rFonts w:ascii="Arial" w:cs="Arial" w:eastAsia="Arial" w:hAnsi="Arial"/>
          <w:b w:val="false"/>
          <w:bCs w:val="false"/>
          <w:color w:val="4A4A4A"/>
          <w:sz w:val="22"/>
          <w:szCs w:val="22"/>
        </w:rPr>
        <w:t xml:space="preserve">SMS notifications.</w:t>
      </w:r>
    </w:p>
    <w:p>
      <w:pPr>
        <w:pStyle w:val="ListParagraph"/>
        <w:numPr>
          <w:ilvl w:val="0"/>
          <w:numId w:val="2"/>
        </w:numPr>
        <w:spacing w:before="40" w:after="40"/>
      </w:pPr>
      <w:r>
        <w:rPr>
          <w:rFonts w:ascii="Arial" w:cs="Arial" w:eastAsia="Arial" w:hAnsi="Arial"/>
          <w:b w:val="false"/>
          <w:bCs w:val="false"/>
          <w:color w:val="4A4A4A"/>
          <w:sz w:val="22"/>
          <w:szCs w:val="22"/>
        </w:rPr>
        <w:t xml:space="preserve">Direct LLM API key revocation or spend blocking via provider APIs.</w:t>
      </w:r>
    </w:p>
    <w:p>
      <w:pPr>
        <w:pStyle w:val="ListParagraph"/>
        <w:numPr>
          <w:ilvl w:val="0"/>
          <w:numId w:val="2"/>
        </w:numPr>
        <w:spacing w:before="40" w:after="40"/>
      </w:pPr>
      <w:r>
        <w:rPr>
          <w:rFonts w:ascii="Arial" w:cs="Arial" w:eastAsia="Arial" w:hAnsi="Arial"/>
          <w:b w:val="false"/>
          <w:bCs w:val="false"/>
          <w:color w:val="4A4A4A"/>
          <w:sz w:val="22"/>
          <w:szCs w:val="22"/>
        </w:rPr>
        <w:t xml:space="preserve">School SIS integrations (Clever, ClassLink).</w:t>
      </w:r>
    </w:p>
    <w:p>
      <w:pPr>
        <w:pStyle w:val="ListParagraph"/>
        <w:numPr>
          <w:ilvl w:val="0"/>
          <w:numId w:val="2"/>
        </w:numPr>
        <w:spacing w:before="40" w:after="40"/>
      </w:pPr>
      <w:r>
        <w:rPr>
          <w:rFonts w:ascii="Arial" w:cs="Arial" w:eastAsia="Arial" w:hAnsi="Arial"/>
          <w:b w:val="false"/>
          <w:bCs w:val="false"/>
          <w:color w:val="4A4A4A"/>
          <w:sz w:val="22"/>
          <w:szCs w:val="22"/>
        </w:rPr>
        <w:t xml:space="preserve">Federated SSO for schools (Google Workspace for Education, Microsoft Entra).</w:t>
      </w:r>
    </w:p>
    <w:p>
      <w:pPr>
        <w:pStyle w:val="ListParagraph"/>
        <w:numPr>
          <w:ilvl w:val="0"/>
          <w:numId w:val="2"/>
        </w:numPr>
        <w:spacing w:before="40" w:after="40"/>
      </w:pPr>
      <w:r>
        <w:rPr>
          <w:rFonts w:ascii="Arial" w:cs="Arial" w:eastAsia="Arial" w:hAnsi="Arial"/>
          <w:b w:val="false"/>
          <w:bCs w:val="false"/>
          <w:color w:val="4A4A4A"/>
          <w:sz w:val="22"/>
          <w:szCs w:val="22"/>
        </w:rPr>
        <w:t xml:space="preserve">Browser extension for Safari.</w:t>
      </w:r>
    </w:p>
    <w:p>
      <w:pPr>
        <w:pStyle w:val="ListParagraph"/>
        <w:numPr>
          <w:ilvl w:val="0"/>
          <w:numId w:val="2"/>
        </w:numPr>
        <w:spacing w:before="40" w:after="40"/>
      </w:pPr>
      <w:r>
        <w:rPr>
          <w:rFonts w:ascii="Arial" w:cs="Arial" w:eastAsia="Arial" w:hAnsi="Arial"/>
          <w:b w:val="false"/>
          <w:bCs w:val="false"/>
          <w:color w:val="4A4A4A"/>
          <w:sz w:val="22"/>
          <w:szCs w:val="22"/>
        </w:rPr>
        <w:t xml:space="preserve">Age verification beyond self-declaration.</w:t>
      </w:r>
    </w:p>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15. Backlog &amp; Future Phases</w:t>
      </w:r>
    </w:p>
    <w:p>
      <w:pPr>
        <w:spacing w:before="80" w:after="120"/>
      </w:pPr>
      <w:r>
        <w:rPr>
          <w:rFonts w:ascii="Arial" w:cs="Arial" w:eastAsia="Arial" w:hAnsi="Arial"/>
          <w:color w:val="4A4A4A"/>
          <w:sz w:val="22"/>
          <w:szCs w:val="22"/>
        </w:rPr>
        <w:t xml:space="preserve">The following items are explicitly deferred but should be considered in architectural decisions to avoid future rework:</w:t>
      </w:r>
    </w:p>
    <w:p>
      <w:pPr>
        <w:pStyle w:val="ListParagraph"/>
        <w:numPr>
          <w:ilvl w:val="0"/>
          <w:numId w:val="2"/>
        </w:numPr>
        <w:spacing w:before="40" w:after="40"/>
      </w:pPr>
      <w:r>
        <w:rPr>
          <w:rFonts w:ascii="Arial" w:cs="Arial" w:eastAsia="Arial" w:hAnsi="Arial"/>
          <w:b w:val="false"/>
          <w:bCs w:val="false"/>
          <w:color w:val="4A4A4A"/>
          <w:sz w:val="22"/>
          <w:szCs w:val="22"/>
        </w:rPr>
        <w:t xml:space="preserve">Tiered pricing: Free/Basic/Premium tiers with feature gating.</w:t>
      </w:r>
    </w:p>
    <w:p>
      <w:pPr>
        <w:pStyle w:val="ListParagraph"/>
        <w:numPr>
          <w:ilvl w:val="0"/>
          <w:numId w:val="2"/>
        </w:numPr>
        <w:spacing w:before="40" w:after="40"/>
      </w:pPr>
      <w:r>
        <w:rPr>
          <w:rFonts w:ascii="Arial" w:cs="Arial" w:eastAsia="Arial" w:hAnsi="Arial"/>
          <w:b w:val="false"/>
          <w:bCs w:val="false"/>
          <w:color w:val="4A4A4A"/>
          <w:sz w:val="22"/>
          <w:szCs w:val="22"/>
        </w:rPr>
        <w:t xml:space="preserve">Native mobile apps: iOS and Android with push notification support.</w:t>
      </w:r>
    </w:p>
    <w:p>
      <w:pPr>
        <w:pStyle w:val="ListParagraph"/>
        <w:numPr>
          <w:ilvl w:val="0"/>
          <w:numId w:val="2"/>
        </w:numPr>
        <w:spacing w:before="40" w:after="40"/>
      </w:pPr>
      <w:r>
        <w:rPr>
          <w:rFonts w:ascii="Arial" w:cs="Arial" w:eastAsia="Arial" w:hAnsi="Arial"/>
          <w:b w:val="false"/>
          <w:bCs w:val="false"/>
          <w:color w:val="4A4A4A"/>
          <w:sz w:val="22"/>
          <w:szCs w:val="22"/>
        </w:rPr>
        <w:t xml:space="preserve">Additional language support: FR, ES, DE, PT, IT.</w:t>
      </w:r>
    </w:p>
    <w:p>
      <w:pPr>
        <w:pStyle w:val="ListParagraph"/>
        <w:numPr>
          <w:ilvl w:val="0"/>
          <w:numId w:val="2"/>
        </w:numPr>
        <w:spacing w:before="40" w:after="40"/>
      </w:pPr>
      <w:r>
        <w:rPr>
          <w:rFonts w:ascii="Arial" w:cs="Arial" w:eastAsia="Arial" w:hAnsi="Arial"/>
          <w:b w:val="false"/>
          <w:bCs w:val="false"/>
          <w:color w:val="4A4A4A"/>
          <w:sz w:val="22"/>
          <w:szCs w:val="22"/>
        </w:rPr>
        <w:t xml:space="preserve">Automated AI session blocking via browser extension.</w:t>
      </w:r>
    </w:p>
    <w:p>
      <w:pPr>
        <w:pStyle w:val="ListParagraph"/>
        <w:numPr>
          <w:ilvl w:val="0"/>
          <w:numId w:val="2"/>
        </w:numPr>
        <w:spacing w:before="40" w:after="40"/>
      </w:pPr>
      <w:r>
        <w:rPr>
          <w:rFonts w:ascii="Arial" w:cs="Arial" w:eastAsia="Arial" w:hAnsi="Arial"/>
          <w:b w:val="false"/>
          <w:bCs w:val="false"/>
          <w:color w:val="4A4A4A"/>
          <w:sz w:val="22"/>
          <w:szCs w:val="22"/>
        </w:rPr>
        <w:t xml:space="preserve">SMS notifications via Twilio or similar.</w:t>
      </w:r>
    </w:p>
    <w:p>
      <w:pPr>
        <w:pStyle w:val="ListParagraph"/>
        <w:numPr>
          <w:ilvl w:val="0"/>
          <w:numId w:val="2"/>
        </w:numPr>
        <w:spacing w:before="40" w:after="40"/>
      </w:pPr>
      <w:r>
        <w:rPr>
          <w:rFonts w:ascii="Arial" w:cs="Arial" w:eastAsia="Arial" w:hAnsi="Arial"/>
          <w:b w:val="false"/>
          <w:bCs w:val="false"/>
          <w:color w:val="4A4A4A"/>
          <w:sz w:val="22"/>
          <w:szCs w:val="22"/>
        </w:rPr>
        <w:t xml:space="preserve">School SIS integration (Clever, ClassLink, CSV import).</w:t>
      </w:r>
    </w:p>
    <w:p>
      <w:pPr>
        <w:pStyle w:val="ListParagraph"/>
        <w:numPr>
          <w:ilvl w:val="0"/>
          <w:numId w:val="2"/>
        </w:numPr>
        <w:spacing w:before="40" w:after="40"/>
      </w:pPr>
      <w:r>
        <w:rPr>
          <w:rFonts w:ascii="Arial" w:cs="Arial" w:eastAsia="Arial" w:hAnsi="Arial"/>
          <w:b w:val="false"/>
          <w:bCs w:val="false"/>
          <w:color w:val="4A4A4A"/>
          <w:sz w:val="22"/>
          <w:szCs w:val="22"/>
        </w:rPr>
        <w:t xml:space="preserve">Federated SSO: Microsoft Entra, Google Workspace for Education.</w:t>
      </w:r>
    </w:p>
    <w:p>
      <w:pPr>
        <w:pStyle w:val="ListParagraph"/>
        <w:numPr>
          <w:ilvl w:val="0"/>
          <w:numId w:val="2"/>
        </w:numPr>
        <w:spacing w:before="40" w:after="40"/>
      </w:pPr>
      <w:r>
        <w:rPr>
          <w:rFonts w:ascii="Arial" w:cs="Arial" w:eastAsia="Arial" w:hAnsi="Arial"/>
          <w:b w:val="false"/>
          <w:bCs w:val="false"/>
          <w:color w:val="4A4A4A"/>
          <w:sz w:val="22"/>
          <w:szCs w:val="22"/>
        </w:rPr>
        <w:t xml:space="preserve">Age verification: integration with providers such as Yoti or Age ID.</w:t>
      </w:r>
    </w:p>
    <w:p>
      <w:pPr>
        <w:pStyle w:val="ListParagraph"/>
        <w:numPr>
          <w:ilvl w:val="0"/>
          <w:numId w:val="2"/>
        </w:numPr>
        <w:spacing w:before="40" w:after="40"/>
      </w:pPr>
      <w:r>
        <w:rPr>
          <w:rFonts w:ascii="Arial" w:cs="Arial" w:eastAsia="Arial" w:hAnsi="Arial"/>
          <w:b w:val="false"/>
          <w:bCs w:val="false"/>
          <w:color w:val="4A4A4A"/>
          <w:sz w:val="22"/>
          <w:szCs w:val="22"/>
        </w:rPr>
        <w:t xml:space="preserve">AI usage coaching and healthy usage recommendations.</w:t>
      </w:r>
    </w:p>
    <w:p>
      <w:pPr>
        <w:pStyle w:val="ListParagraph"/>
        <w:numPr>
          <w:ilvl w:val="0"/>
          <w:numId w:val="2"/>
        </w:numPr>
        <w:spacing w:before="40" w:after="40"/>
      </w:pPr>
      <w:r>
        <w:rPr>
          <w:rFonts w:ascii="Arial" w:cs="Arial" w:eastAsia="Arial" w:hAnsi="Arial"/>
          <w:b w:val="false"/>
          <w:bCs w:val="false"/>
          <w:color w:val="4A4A4A"/>
          <w:sz w:val="22"/>
          <w:szCs w:val="22"/>
        </w:rPr>
        <w:t xml:space="preserve">Mobile device agent for extended DNS proxy coverage on mobile data.</w:t>
      </w:r>
    </w:p>
    <w:p>
      <w:pPr>
        <w:pStyle w:val="ListParagraph"/>
        <w:numPr>
          <w:ilvl w:val="0"/>
          <w:numId w:val="2"/>
        </w:numPr>
        <w:spacing w:before="40" w:after="40"/>
      </w:pPr>
      <w:r>
        <w:rPr>
          <w:rFonts w:ascii="Arial" w:cs="Arial" w:eastAsia="Arial" w:hAnsi="Arial"/>
          <w:b w:val="false"/>
          <w:bCs w:val="false"/>
          <w:color w:val="4A4A4A"/>
          <w:sz w:val="22"/>
          <w:szCs w:val="22"/>
        </w:rPr>
        <w:t xml:space="preserve">Vendor risk scoring for connected LLM providers against compliance frameworks.</w:t>
      </w:r>
    </w:p>
    <w:p>
      <w:pPr>
        <w:pStyle w:val="ListParagraph"/>
        <w:numPr>
          <w:ilvl w:val="0"/>
          <w:numId w:val="2"/>
        </w:numPr>
        <w:spacing w:before="40" w:after="40"/>
      </w:pPr>
      <w:r>
        <w:rPr>
          <w:rFonts w:ascii="Arial" w:cs="Arial" w:eastAsia="Arial" w:hAnsi="Arial"/>
          <w:b w:val="false"/>
          <w:bCs w:val="false"/>
          <w:color w:val="4A4A4A"/>
          <w:sz w:val="22"/>
          <w:szCs w:val="22"/>
        </w:rPr>
        <w:t xml:space="preserve">API for third-party EdTech platform integration to consume Bhapi risk signals.</w:t>
      </w:r>
    </w:p>
    <w:p>
      <w:pPr>
        <w:spacing w:before="120" w:after="0"/>
      </w:pPr>
      <w:r>
        <w:t xml:space="preserve"/>
      </w:r>
    </w:p>
    <w:p>
      <w:pPr>
        <w:pStyle w:val="Heading1"/>
        <w:shd w:fill="1B4F8A" w:val="clear"/>
        <w:spacing w:before="400" w:after="160"/>
        <w:ind w:left="240" w:right="240"/>
      </w:pPr>
      <w:r>
        <w:rPr>
          <w:rFonts w:ascii="Arial" w:cs="Arial" w:eastAsia="Arial" w:hAnsi="Arial"/>
          <w:b/>
          <w:bCs/>
          <w:color w:val="FFFFFF"/>
          <w:sz w:val="32"/>
          <w:szCs w:val="32"/>
        </w:rPr>
        <w:t xml:space="preserve">16. Open Questions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13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Assumption Made</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OQ-1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Member cap per Family 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TBD in commercial planning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OQ-2</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Student cap per School plan?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TBD in commercial planning</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OQ-3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Shared auth with Bhapi social platform?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Separate login with optional SSO bridge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 confirm</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OQ-4</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Data Controller for school/club data?</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Bhapi as Processor, school/club as Controller</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Legal review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OQ-5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xAI (Grok) API spend data by MVP?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Partial — monitor API development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OQ-6</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Chrome Web Store review timeline?</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2–4 weeks; factor into launch plan</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To schedule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OQ-7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DPO appointed for this portal?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Must be confirmed prior to DPIA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OQ-8</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EU AI Act high-risk classification?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Yes — AI in education context with children</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Legal review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OQ-9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Backup/recovery RTO and RPO targets?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4 hours, RPO 1 hour assumed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 confirm</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OQ-10</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COPPA certified operator status?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PRIVO/KidSAFE evaluation in backlog</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Open</w:t>
            </w:r>
          </w:p>
        </w:tc>
      </w:tr>
    </w:tbl>
    <w:p>
      <w:pPr>
        <w:spacing w:before="120" w:after="0"/>
      </w:pPr>
      <w:r>
        <w:t xml:space="preserve"/>
      </w:r>
    </w:p>
    <w:p>
      <w:r>
        <w:br w:type="page"/>
      </w:r>
    </w:p>
    <w:p>
      <w:pPr>
        <w:pStyle w:val="Heading1"/>
        <w:shd w:fill="1B4F8A" w:val="clear"/>
        <w:spacing w:before="400" w:after="160"/>
        <w:ind w:left="240" w:right="240"/>
      </w:pPr>
      <w:r>
        <w:rPr>
          <w:rFonts w:ascii="Arial" w:cs="Arial" w:eastAsia="Arial" w:hAnsi="Arial"/>
          <w:b/>
          <w:bCs/>
          <w:color w:val="FFFFFF"/>
          <w:sz w:val="32"/>
          <w:szCs w:val="32"/>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Bhapi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parent brand and social safety platform for families, schools, and clubs</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bhapi.ai</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The domain under which both the core Bhapi platform and the AI Governance Portal are delivered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Capture Gateway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ingestion service that receives monitoring signals from all three capture channels</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COPPA</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Children's Online Privacy Protection Act (US, applies to under-13s)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CDIA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Children's Data Impact Assessment (UK ICO requirement)</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DPIA</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Data Protection Impact Assessment (GDPR Article 35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DNS Proxy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Network-layer monitoring via a managed DNS resolver that logs resolution of AI platform domains</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Group</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 named collection of members (family, class, club) managed by an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Hard Threshold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spend or usage limit that triggers a critical alert and admin action flag</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LLM</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Large Language Model (e.g. ChatGPT, Gemini, Copilot, Claude, Grok)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LGPD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Lei Geral de Proteção de Dados (Brazil's data protection law)</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PII</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Personally Identifiable Information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Risk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service responsible for classifying AI interactions against the risk taxonomy</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Risk Event</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 structured record produced when an interaction exceeds a risk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ROPA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Record of Processing Activities (GDPR compliance documentation)</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Soft Threshold</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A spend or usage limit that triggers an informational alert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SSO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Single Sign-On</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System Admin</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4A4A4A"/>
                <w:sz w:val="20"/>
                <w:szCs w:val="20"/>
              </w:rPr>
              <w:t xml:space="preserve">Internal Bhapi staff role with full platform access</w:t>
            </w:r>
          </w:p>
        </w:tc>
      </w:tr>
    </w:tbl>
    <w:p>
      <w:pPr>
        <w:spacing w:before="400" w:after="0"/>
      </w:pPr>
      <w:r>
        <w:t xml:space="preserve"/>
      </w:r>
    </w:p>
    <w:p>
      <w:pPr>
        <w:spacing w:before="400" w:after="0"/>
        <w:jc w:val="center"/>
      </w:pPr>
      <w:r>
        <w:rPr>
          <w:rFonts w:ascii="Arial" w:cs="Arial" w:eastAsia="Arial" w:hAnsi="Arial"/>
          <w:i/>
          <w:iCs/>
          <w:color w:val="999999"/>
          <w:sz w:val="18"/>
          <w:szCs w:val="18"/>
        </w:rPr>
        <w:t xml:space="preserve">End of Document — Version 1.0 Draft</w:t>
      </w:r>
    </w:p>
    <w:p>
      <w:pPr>
        <w:spacing w:before="60" w:after="0"/>
        <w:jc w:val="center"/>
      </w:pPr>
      <w:r>
        <w:rPr>
          <w:rFonts w:ascii="Arial" w:cs="Arial" w:eastAsia="Arial" w:hAnsi="Arial"/>
          <w:i/>
          <w:iCs/>
          <w:color w:val="999999"/>
          <w:sz w:val="18"/>
          <w:szCs w:val="18"/>
        </w:rPr>
        <w:t xml:space="preserve">Next review: following engineering scoping session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9026"/>
      </w:tabs>
      <w:spacing w:before="120" w:after="0"/>
    </w:pPr>
    <w:r>
      <w:rPr>
        <w:rFonts w:ascii="Arial" w:cs="Arial" w:eastAsia="Arial" w:hAnsi="Arial"/>
        <w:color w:val="999999"/>
        <w:sz w:val="18"/>
        <w:szCs w:val="18"/>
      </w:rPr>
      <w:t xml:space="preserve">	Confidential — For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before="0" w:after="120"/>
    </w:pPr>
    <w:r>
      <w:rPr>
        <w:rFonts w:ascii="Arial" w:cs="Arial" w:eastAsia="Arial" w:hAnsi="Arial"/>
        <w:b/>
        <w:bCs/>
        <w:color w:val="1B4F8A"/>
        <w:sz w:val="18"/>
        <w:szCs w:val="18"/>
      </w:rPr>
      <w:t xml:space="preserve">Bhapi.ai — Family AI Governance Portal</w:t>
    </w:r>
    <w:r>
      <w:rPr>
        <w:rFonts w:ascii="Arial" w:cs="Arial" w:eastAsia="Arial" w:hAnsi="Arial"/>
        <w:color w:val="999999"/>
        <w:sz w:val="18"/>
        <w:szCs w:val="18"/>
      </w:rPr>
      <w:t xml:space="preserve">   |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2026-02-21T19:16:16.571Z</dcterms:created>
  <dcterms:modified xsi:type="dcterms:W3CDTF">2026-02-21T19:16:16.572Z</dcterms:modified>
</cp:coreProperties>
</file>

<file path=docProps/custom.xml><?xml version="1.0" encoding="utf-8"?>
<Properties xmlns="http://schemas.openxmlformats.org/officeDocument/2006/custom-properties" xmlns:vt="http://schemas.openxmlformats.org/officeDocument/2006/docPropsVTypes"/>
</file>