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1B4F72"/>
          <w:sz w:val="52"/>
          <w:szCs w:val="52"/>
        </w:rPr>
        <w:t xml:space="preserve">BHAPI AI SAFETY PORTAL</w:t>
      </w:r>
    </w:p>
    <w:p>
      <w:pPr>
        <w:spacing w:after="100"/>
        <w:jc w:val="center"/>
      </w:pPr>
      <w:r>
        <w:rPr>
          <w:rFonts w:ascii="Arial" w:cs="Arial" w:eastAsia="Arial" w:hAnsi="Arial"/>
          <w:color w:val="2E86C1"/>
          <w:sz w:val="36"/>
          <w:szCs w:val="36"/>
        </w:rPr>
        <w:t xml:space="preserve">Post-MVP Feature Roadmap</w:t>
      </w:r>
    </w:p>
    <w:p>
      <w:pPr>
        <w:spacing w:after="40"/>
        <w:jc w:val="center"/>
      </w:pPr>
      <w:r>
        <w:rPr>
          <w:rFonts w:ascii="Arial" w:cs="Arial" w:eastAsia="Arial" w:hAnsi="Arial"/>
          <w:color w:val="7F8C8D"/>
          <w:sz w:val="28"/>
          <w:szCs w:val="28"/>
        </w:rPr>
        <w:t xml:space="preserve">Next Features &amp; Strategic Priorities</w:t>
      </w:r>
    </w:p>
    <w:p>
      <w:pPr>
        <w:spacing w:after="3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Document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Post-MVP Roadmap v1.0</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Product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Bhapi Family AI Governance Portal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Author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Mike (Head of Technology)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Date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February 2026</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Draft for Review</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Classification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Confidential</w:t>
            </w:r>
          </w:p>
        </w:tc>
      </w:tr>
    </w:tbl>
    <w:p>
      <w:pPr>
        <w:spacing w:after="300"/>
      </w:pPr>
    </w:p>
    <w:p>
      <w:pPr>
        <w:spacing w:after="80"/>
        <w:jc w:val="center"/>
      </w:pPr>
      <w:r>
        <w:rPr>
          <w:rFonts w:ascii="Arial" w:cs="Arial" w:eastAsia="Arial" w:hAnsi="Arial"/>
          <w:b/>
          <w:bCs/>
          <w:color w:val="2E86C1"/>
          <w:sz w:val="24"/>
          <w:szCs w:val="24"/>
        </w:rPr>
        <w:t xml:space="preserve">bhapi.ai</w:t>
      </w:r>
    </w:p>
    <w:p>
      <w:r>
        <w:br w:type="page"/>
      </w:r>
    </w:p>
    <w:p>
      <w:pPr>
        <w:pStyle w:val="Heading1"/>
        <w:spacing w:before="360" w:after="200"/>
      </w:pPr>
      <w:r>
        <w:rPr>
          <w:rFonts w:ascii="Arial" w:cs="Arial" w:eastAsia="Arial" w:hAnsi="Arial"/>
          <w:b/>
          <w:bCs/>
          <w:color w:val="1B4F72"/>
          <w:sz w:val="32"/>
          <w:szCs w:val="32"/>
        </w:rPr>
        <w:t xml:space="preserve">1. Executive Summary</w:t>
      </w:r>
    </w:p>
    <w:p>
      <w:pPr>
        <w:spacing w:after="120"/>
      </w:pPr>
      <w:r>
        <w:rPr>
          <w:rFonts w:ascii="Arial" w:cs="Arial" w:eastAsia="Arial" w:hAnsi="Arial"/>
          <w:color w:val="2C3E50"/>
          <w:sz w:val="22"/>
          <w:szCs w:val="22"/>
        </w:rPr>
        <w:t xml:space="preserve">The Bhapi AI Safety Portal MVP is complete, delivering the full specification across all three monitoring channels (browser extension, DNS proxy, LLM API integration), the risk and safety engine with PII detection and content classification, LLM spend management, group administration for families and schools/clubs, Stripe billing, and a responsive web portal. This document outlines the prioritised next features across four phases, informed by three factors: the current regulatory acceleration in child online safety, the competitive gap between traditional parental controls and AI-specific governance, and the Bhapi fundraising narrative.</w:t>
      </w:r>
    </w:p>
    <w:p>
      <w:pPr>
        <w:spacing w:after="120"/>
      </w:pPr>
    </w:p>
    <w:p>
      <w:pPr>
        <w:spacing w:after="120"/>
      </w:pPr>
      <w:r>
        <w:rPr>
          <w:rFonts w:ascii="Arial" w:cs="Arial" w:eastAsia="Arial" w:hAnsi="Arial"/>
          <w:color w:val="2C3E50"/>
          <w:sz w:val="22"/>
          <w:szCs w:val="22"/>
        </w:rPr>
        <w:t xml:space="preserve">Bhapi occupies a unique position in the market. Existing parental control platforms like Bark, Qustodio, and Norton Family focus on traditional digital risks: social media monitoring, web filtering, screen time, and location tracking. None of them specifically address AI tool governance, which is the fastest-growing category of child-technology interaction. Research published for Safer Internet Day 2026 shows that 97% of young people aged 8 to 17 have used AI in some form, and 41% of teens feel their peers are relying heavily on AI for emotional support. This is the gap Bhapi fills.</w:t>
      </w:r>
    </w:p>
    <w:p>
      <w:pPr>
        <w:spacing w:after="120"/>
      </w:pPr>
    </w:p>
    <w:p>
      <w:pPr>
        <w:pStyle w:val="Heading1"/>
        <w:spacing w:before="360" w:after="200"/>
      </w:pPr>
      <w:r>
        <w:rPr>
          <w:rFonts w:ascii="Arial" w:cs="Arial" w:eastAsia="Arial" w:hAnsi="Arial"/>
          <w:b/>
          <w:bCs/>
          <w:color w:val="1B4F72"/>
          <w:sz w:val="32"/>
          <w:szCs w:val="32"/>
        </w:rPr>
        <w:t xml:space="preserve">2. MVP Delivered — Baseline</w:t>
      </w:r>
    </w:p>
    <w:p>
      <w:pPr>
        <w:spacing w:after="120"/>
      </w:pPr>
      <w:r>
        <w:rPr>
          <w:rFonts w:ascii="Arial" w:cs="Arial" w:eastAsia="Arial" w:hAnsi="Arial"/>
          <w:color w:val="2C3E50"/>
          <w:sz w:val="22"/>
          <w:szCs w:val="22"/>
        </w:rPr>
        <w:t xml:space="preserve">The following capabilities are shipped and operational: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Shipped Capability</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Portal &amp; Auth</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Registration, login, family/school/club group management, member invitations, parental consent flows, role-based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Browser Extension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Chrome and Firefox extension with DOM monitoring across ChatGPT, Gemini, Copilot, Claude, Grok</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DNS Proxy</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Bhapi DNS resolver logging AI platform access, device attribution, guided router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 API Integration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Provider API/webhook connections for usage and spend data from supported platforms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Risk Engine</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Google Cloud DLP for PII detection, Vertex AI safety LLM for content classification, structured risk taxonomy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Alerting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Real-time admin notifications for flagged interactions with severity levels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Dashboard</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Activity feed, risk event log, flagged content review with approve/escalate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 Spend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Per-member and per-platform spend tracking, soft/hard thresholds, monthly budget caps</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Billing</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Stripe integration, single-tier monthly/annual, 14-day free trial, Stripe Customer Portal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GDPR, COPPA, UK Online Safety Act, Australia Online Safety Act, Brazil LGPD foundations</w:t>
            </w:r>
          </w:p>
        </w:tc>
      </w:tr>
    </w:tbl>
    <w:p>
      <w:r>
        <w:br w:type="page"/>
      </w:r>
    </w:p>
    <w:p>
      <w:pPr>
        <w:pStyle w:val="Heading1"/>
        <w:spacing w:before="360" w:after="200"/>
      </w:pPr>
      <w:r>
        <w:rPr>
          <w:rFonts w:ascii="Arial" w:cs="Arial" w:eastAsia="Arial" w:hAnsi="Arial"/>
          <w:b/>
          <w:bCs/>
          <w:color w:val="1B4F72"/>
          <w:sz w:val="32"/>
          <w:szCs w:val="32"/>
        </w:rPr>
        <w:t xml:space="preserve">3. Strategic Context — Why These Features, Why Now</w:t>
      </w:r>
    </w:p>
    <w:p>
      <w:pPr>
        <w:pStyle w:val="Heading2"/>
        <w:spacing w:before="280" w:after="160"/>
      </w:pPr>
      <w:r>
        <w:rPr>
          <w:rFonts w:ascii="Arial" w:cs="Arial" w:eastAsia="Arial" w:hAnsi="Arial"/>
          <w:b/>
          <w:bCs/>
          <w:color w:val="2E86C1"/>
          <w:sz w:val="26"/>
          <w:szCs w:val="26"/>
        </w:rPr>
        <w:t xml:space="preserve">3.1 Regulatory Tailwinds</w:t>
      </w:r>
    </w:p>
    <w:p>
      <w:pPr>
        <w:spacing w:after="120"/>
      </w:pPr>
      <w:r>
        <w:rPr>
          <w:rFonts w:ascii="Arial" w:cs="Arial" w:eastAsia="Arial" w:hAnsi="Arial"/>
          <w:color w:val="2C3E50"/>
          <w:sz w:val="22"/>
          <w:szCs w:val="22"/>
        </w:rPr>
        <w:t xml:space="preserve">The regulatory environment for child online safety is intensifying rapidly across every jurisdiction Bhapi targets. In the UK, duties under the Online Safety Act to assess and mitigate risks to minors became applicable in July 2025, with Ofcom’s supercomplaint regime coming into force at the end of 2025. The US passed the Take It Down Act in May 2025, targeting AI-generated deepfakes and non-consensual intimate imagery. California is advancing a Child AI Safety Audit Mandate that would require risk classification of AI products accessible to children. Australia’s under-16 social media ban creates immediate demand for age-appropriate AI governance tooling. Brazil’s ECA Digital Law now requires age verification technology rather than self-declared ages. The EU AI Act classifies AI systems used in education and safety of persons as high-risk under Annex III, directly applicable to Bhapi’s monitoring engine.</w:t>
      </w:r>
    </w:p>
    <w:p>
      <w:pPr>
        <w:spacing w:after="120"/>
      </w:pPr>
    </w:p>
    <w:p>
      <w:pPr>
        <w:spacing w:after="120"/>
      </w:pPr>
      <w:r>
        <w:rPr>
          <w:rFonts w:ascii="Arial" w:cs="Arial" w:eastAsia="Arial" w:hAnsi="Arial"/>
          <w:color w:val="2C3E50"/>
          <w:sz w:val="22"/>
          <w:szCs w:val="22"/>
        </w:rPr>
        <w:t xml:space="preserve">Every one of these regulatory developments creates a buying trigger for schools and families. The roadmap prioritises features that directly address compliance requirements, creating a clear regulatory-driven sales narrative.</w:t>
      </w:r>
    </w:p>
    <w:p>
      <w:pPr>
        <w:spacing w:after="120"/>
      </w:pPr>
    </w:p>
    <w:p>
      <w:pPr>
        <w:pStyle w:val="Heading2"/>
        <w:spacing w:before="280" w:after="160"/>
      </w:pPr>
      <w:r>
        <w:rPr>
          <w:rFonts w:ascii="Arial" w:cs="Arial" w:eastAsia="Arial" w:hAnsi="Arial"/>
          <w:b/>
          <w:bCs/>
          <w:color w:val="2E86C1"/>
          <w:sz w:val="26"/>
          <w:szCs w:val="26"/>
        </w:rPr>
        <w:t xml:space="preserve">3.2 Competitive Gap</w:t>
      </w:r>
    </w:p>
    <w:p>
      <w:pPr>
        <w:spacing w:after="120"/>
      </w:pPr>
      <w:r>
        <w:rPr>
          <w:rFonts w:ascii="Arial" w:cs="Arial" w:eastAsia="Arial" w:hAnsi="Arial"/>
          <w:color w:val="2C3E50"/>
          <w:sz w:val="22"/>
          <w:szCs w:val="22"/>
        </w:rPr>
        <w:t xml:space="preserve">The major parental control platforms (Bark, Qustodio, Norton Family, Canopy) remain focused on traditional digital risks: social media content scanning, web filtering, screen time management, app blocking, and location tracking. None offer AI-specific governance capabilities: monitoring which LLMs children use, what they ask, whether they share PII with AI systems, how much they spend on AI subscriptions, or whether AI responses contain harmful content. Bark monitors 30+ social platforms but does not monitor AI chatbot interactions. Qustodio provides detailed activity logs but cannot see inside encrypted AI conversations. This is Bhapi’s moat.</w:t>
      </w:r>
    </w:p>
    <w:p>
      <w:pPr>
        <w:spacing w:after="120"/>
      </w:pPr>
    </w:p>
    <w:p>
      <w:pPr>
        <w:pStyle w:val="Heading2"/>
        <w:spacing w:before="280" w:after="160"/>
      </w:pPr>
      <w:r>
        <w:rPr>
          <w:rFonts w:ascii="Arial" w:cs="Arial" w:eastAsia="Arial" w:hAnsi="Arial"/>
          <w:b/>
          <w:bCs/>
          <w:color w:val="2E86C1"/>
          <w:sz w:val="26"/>
          <w:szCs w:val="26"/>
        </w:rPr>
        <w:t xml:space="preserve">3.3 Fundraising Alignment</w:t>
      </w:r>
    </w:p>
    <w:p>
      <w:pPr>
        <w:spacing w:after="120"/>
      </w:pPr>
      <w:r>
        <w:rPr>
          <w:rFonts w:ascii="Arial" w:cs="Arial" w:eastAsia="Arial" w:hAnsi="Arial"/>
          <w:color w:val="2C3E50"/>
          <w:sz w:val="22"/>
          <w:szCs w:val="22"/>
        </w:rPr>
        <w:t xml:space="preserve">Bhapi is raising $2.2M at a $6.8M pre-money valuation. The roadmap features are sequenced to generate the metrics and narrative inflection points that strengthen the fundraising position: Phase 1 drives user acquisition and retention metrics; Phase 2 unlocks the institutional (school/education) revenue channel; Phase 3 builds defensible technology differentiation; Phase 4 scales internationally and towards platform status.</w:t>
      </w:r>
    </w:p>
    <w:p>
      <w:pPr>
        <w:spacing w:after="120"/>
      </w:pPr>
    </w:p>
    <w:p>
      <w:r>
        <w:br w:type="page"/>
      </w:r>
    </w:p>
    <w:p>
      <w:pPr>
        <w:pStyle w:val="Heading1"/>
        <w:spacing w:before="360" w:after="200"/>
      </w:pPr>
      <w:r>
        <w:rPr>
          <w:rFonts w:ascii="Arial" w:cs="Arial" w:eastAsia="Arial" w:hAnsi="Arial"/>
          <w:b/>
          <w:bCs/>
          <w:color w:val="1B4F72"/>
          <w:sz w:val="32"/>
          <w:szCs w:val="32"/>
        </w:rPr>
        <w:t xml:space="preserve">4. Phase 1 — Immediate Priority (0–3 Months)</w:t>
      </w:r>
    </w:p>
    <w:p>
      <w:pPr>
        <w:spacing w:after="120"/>
      </w:pPr>
      <w:r>
        <w:rPr>
          <w:rFonts w:ascii="Arial" w:cs="Arial" w:eastAsia="Arial" w:hAnsi="Arial"/>
          <w:color w:val="2C3E50"/>
          <w:sz w:val="22"/>
          <w:szCs w:val="22"/>
        </w:rPr>
        <w:t xml:space="preserve">Focus: User acquisition, retention, and engagement depth. These features address the most common first-week user friction points and build daily engagement habits.</w:t>
      </w:r>
    </w:p>
    <w:p>
      <w:pPr>
        <w:spacing w:after="120"/>
      </w:pPr>
    </w:p>
    <w:p>
      <w:pPr>
        <w:pStyle w:val="Heading2"/>
        <w:spacing w:before="280" w:after="160"/>
      </w:pPr>
      <w:r>
        <w:rPr>
          <w:rFonts w:ascii="Arial" w:cs="Arial" w:eastAsia="Arial" w:hAnsi="Arial"/>
          <w:b/>
          <w:bCs/>
          <w:color w:val="2E86C1"/>
          <w:sz w:val="26"/>
          <w:szCs w:val="26"/>
        </w:rPr>
        <w:t xml:space="preserve">4.1 AI Safety Score — Family &amp; Member Dashboard</w:t>
      </w:r>
    </w:p>
    <w:p>
      <w:pPr>
        <w:spacing w:after="120"/>
      </w:pPr>
      <w:r>
        <w:rPr>
          <w:rFonts w:ascii="Arial" w:cs="Arial" w:eastAsia="Arial" w:hAnsi="Arial"/>
          <w:color w:val="2C3E50"/>
          <w:sz w:val="22"/>
          <w:szCs w:val="22"/>
        </w:rPr>
        <w:t xml:space="preserve">A composite safety score (0–100) displayed prominently on the dashboard for each family/group and for each member. The score factors in: number of flagged interactions in the past 30 days, PII exposure incidents, engagement with high-risk content categories, proportion of AI usage on monitored vs. unmonitored devices, and LLM spend against budget. The score provides an instant, digestible answer to the question every parent asks: “are my kids safe?”</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Converts complex risk data into a single metric that parents can track daily. Creates a habit loop, drives daily dashboard visits, and provides a shareable number for word-of-mouth growth (“my family’s AI safety score is 87”).</w:t>
      </w:r>
    </w:p>
    <w:p>
      <w:pPr>
        <w:spacing w:after="120"/>
      </w:pPr>
    </w:p>
    <w:p>
      <w:pPr>
        <w:pStyle w:val="Heading2"/>
        <w:spacing w:before="280" w:after="160"/>
      </w:pPr>
      <w:r>
        <w:rPr>
          <w:rFonts w:ascii="Arial" w:cs="Arial" w:eastAsia="Arial" w:hAnsi="Arial"/>
          <w:b/>
          <w:bCs/>
          <w:color w:val="2E86C1"/>
          <w:sz w:val="26"/>
          <w:szCs w:val="26"/>
        </w:rPr>
        <w:t xml:space="preserve">4.2 Weekly AI Safety Digest — Email Report</w:t>
      </w:r>
    </w:p>
    <w:p>
      <w:pPr>
        <w:spacing w:after="120"/>
      </w:pPr>
      <w:r>
        <w:rPr>
          <w:rFonts w:ascii="Arial" w:cs="Arial" w:eastAsia="Arial" w:hAnsi="Arial"/>
          <w:color w:val="2C3E50"/>
          <w:sz w:val="22"/>
          <w:szCs w:val="22"/>
        </w:rPr>
        <w:t xml:space="preserve">An automated weekly email sent to admins summarising: AI usage trends (time, frequency, platforms), flagged interactions with severity breakdown, PII exposure events, spend summary vs. budget, and the AI Safety Score change. The email links directly back to the dashboard for drill-down.</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Keeps disengaged parents connected without requiring daily login. Reduces churn by ensuring value delivery even for passive users. Creates a regular touchpoint that reinforces the subscription value.</w:t>
      </w:r>
    </w:p>
    <w:p>
      <w:pPr>
        <w:spacing w:after="120"/>
      </w:pPr>
    </w:p>
    <w:p>
      <w:pPr>
        <w:pStyle w:val="Heading2"/>
        <w:spacing w:before="280" w:after="160"/>
      </w:pPr>
      <w:r>
        <w:rPr>
          <w:rFonts w:ascii="Arial" w:cs="Arial" w:eastAsia="Arial" w:hAnsi="Arial"/>
          <w:b/>
          <w:bCs/>
          <w:color w:val="2E86C1"/>
          <w:sz w:val="26"/>
          <w:szCs w:val="26"/>
        </w:rPr>
        <w:t xml:space="preserve">4.3 AI Usage Coaching — Contextual Tips</w:t>
      </w:r>
    </w:p>
    <w:p>
      <w:pPr>
        <w:spacing w:after="120"/>
      </w:pPr>
      <w:r>
        <w:rPr>
          <w:rFonts w:ascii="Arial" w:cs="Arial" w:eastAsia="Arial" w:hAnsi="Arial"/>
          <w:color w:val="2C3E50"/>
          <w:sz w:val="22"/>
          <w:szCs w:val="22"/>
        </w:rPr>
        <w:t xml:space="preserve">When a risk event is flagged, alongside the alert, the portal provides contextual educational content: what the risk category means, why it matters, how to have the conversation with their child, and age-appropriate guidance on that topic. Content sourced from child safety organisations (NSPCC, Internet Watch Foundation, Common Sense Media) with proper attribution.</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Transforms Bhapi from a monitoring tool into a parenting partner. Differentiates from Bark and Qustodio, which focus purely on detection. Aligns with research showing that 52% of kids already bypass parental controls, meaning the real solution is education, not restriction.</w:t>
      </w:r>
    </w:p>
    <w:p>
      <w:pPr>
        <w:spacing w:after="120"/>
      </w:pPr>
    </w:p>
    <w:p>
      <w:pPr>
        <w:pStyle w:val="Heading2"/>
        <w:spacing w:before="280" w:after="160"/>
      </w:pPr>
      <w:r>
        <w:rPr>
          <w:rFonts w:ascii="Arial" w:cs="Arial" w:eastAsia="Arial" w:hAnsi="Arial"/>
          <w:b/>
          <w:bCs/>
          <w:color w:val="2E86C1"/>
          <w:sz w:val="26"/>
          <w:szCs w:val="26"/>
        </w:rPr>
        <w:t xml:space="preserve">4.4 Deepfake &amp; AI-Generated Content Detection Alerts</w:t>
      </w:r>
    </w:p>
    <w:p>
      <w:pPr>
        <w:spacing w:after="120"/>
      </w:pPr>
      <w:r>
        <w:rPr>
          <w:rFonts w:ascii="Arial" w:cs="Arial" w:eastAsia="Arial" w:hAnsi="Arial"/>
          <w:color w:val="2C3E50"/>
          <w:sz w:val="22"/>
          <w:szCs w:val="22"/>
        </w:rPr>
        <w:t xml:space="preserve">Extend the risk engine to specifically flag when a child’s AI interactions involve generation of images of real people, requests for voice cloning, or creation of synthetic content that could be used for impersonation or abuse. This responds to the alarming growth in deepfake exploitation: estimates suggest deepfakes online grew from 500,000 in 2023 to 8 million by 2025, and UNICEF called for criminalisation of synthetic CSAM in February 2026.</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Positions Bhapi at the bleeding edge of child safety. No competitor offers this. Directly aligns with the Take It Down Act (US) and UK deepfake legislation that took effect February 2026.</w:t>
      </w:r>
    </w:p>
    <w:p>
      <w:pPr>
        <w:spacing w:after="120"/>
      </w:pPr>
    </w:p>
    <w:p>
      <w:pPr>
        <w:pStyle w:val="Heading2"/>
        <w:spacing w:before="280" w:after="160"/>
      </w:pPr>
      <w:r>
        <w:rPr>
          <w:rFonts w:ascii="Arial" w:cs="Arial" w:eastAsia="Arial" w:hAnsi="Arial"/>
          <w:b/>
          <w:bCs/>
          <w:color w:val="2E86C1"/>
          <w:sz w:val="26"/>
          <w:szCs w:val="26"/>
        </w:rPr>
        <w:t xml:space="preserve">4.5 Tiered Pricing</w:t>
      </w:r>
    </w:p>
    <w:p>
      <w:pPr>
        <w:spacing w:after="120"/>
      </w:pPr>
      <w:r>
        <w:rPr>
          <w:rFonts w:ascii="Arial" w:cs="Arial" w:eastAsia="Arial" w:hAnsi="Arial"/>
          <w:color w:val="2C3E50"/>
          <w:sz w:val="22"/>
          <w:szCs w:val="22"/>
        </w:rPr>
        <w:t xml:space="preserve">Introduce Free, Standard, and Premium tiers. Free tier: limited to 1 member, basic dashboard, weekly digest, 7-day data retention. Standard: up to 5 members, full risk engine, 90-day retention, email alerts. Premium: unlimited members, real-time alerts, 12-month retention, API access, priority support. School and club plans with volume pricing.</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Free tier drives top-of-funnel acquisition and word-of-mouth. Tiered pricing creates a clear upgrade path and increases ARPU. Essential for the fundraising metrics story (user growth rate + conversion rate + expansion revenue).</w:t>
      </w:r>
    </w:p>
    <w:p>
      <w:pPr>
        <w:spacing w:after="120"/>
      </w:pPr>
    </w:p>
    <w:p>
      <w:pPr>
        <w:pStyle w:val="Heading2"/>
        <w:spacing w:before="280" w:after="160"/>
      </w:pPr>
      <w:r>
        <w:rPr>
          <w:rFonts w:ascii="Arial" w:cs="Arial" w:eastAsia="Arial" w:hAnsi="Arial"/>
          <w:b/>
          <w:bCs/>
          <w:color w:val="2E86C1"/>
          <w:sz w:val="26"/>
          <w:szCs w:val="26"/>
        </w:rPr>
        <w:t xml:space="preserve">Phase 1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200"/>
        <w:gridCol w:w="2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Value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Safety Score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Retention + engagement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Weekly Email Digest</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 week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Churn reduction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Usage Coaching Tips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Differentiation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Deepfake Detection Alerts</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Regulatory + PR</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Tiered Pricing</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Revenue + acquisition</w:t>
            </w:r>
          </w:p>
        </w:tc>
      </w:tr>
    </w:tbl>
    <w:p>
      <w:r>
        <w:br w:type="page"/>
      </w:r>
    </w:p>
    <w:p>
      <w:pPr>
        <w:pStyle w:val="Heading1"/>
        <w:spacing w:before="360" w:after="200"/>
      </w:pPr>
      <w:r>
        <w:rPr>
          <w:rFonts w:ascii="Arial" w:cs="Arial" w:eastAsia="Arial" w:hAnsi="Arial"/>
          <w:b/>
          <w:bCs/>
          <w:color w:val="1B4F72"/>
          <w:sz w:val="32"/>
          <w:szCs w:val="32"/>
        </w:rPr>
        <w:t xml:space="preserve">5. Phase 2 — School &amp; Education Channel (3–6 Months)</w:t>
      </w:r>
    </w:p>
    <w:p>
      <w:pPr>
        <w:spacing w:after="120"/>
      </w:pPr>
      <w:r>
        <w:rPr>
          <w:rFonts w:ascii="Arial" w:cs="Arial" w:eastAsia="Arial" w:hAnsi="Arial"/>
          <w:color w:val="2C3E50"/>
          <w:sz w:val="22"/>
          <w:szCs w:val="22"/>
        </w:rPr>
        <w:t xml:space="preserve">Focus: Unlock institutional revenue, build the B2B2C channel, and create network effects through school distribution.</w:t>
      </w:r>
    </w:p>
    <w:p>
      <w:pPr>
        <w:spacing w:after="120"/>
      </w:pPr>
    </w:p>
    <w:p>
      <w:pPr>
        <w:pStyle w:val="Heading2"/>
        <w:spacing w:before="280" w:after="160"/>
      </w:pPr>
      <w:r>
        <w:rPr>
          <w:rFonts w:ascii="Arial" w:cs="Arial" w:eastAsia="Arial" w:hAnsi="Arial"/>
          <w:b/>
          <w:bCs/>
          <w:color w:val="2E86C1"/>
          <w:sz w:val="26"/>
          <w:szCs w:val="26"/>
        </w:rPr>
        <w:t xml:space="preserve">5.1 School Admin Dashboard &amp; Classroom View</w:t>
      </w:r>
    </w:p>
    <w:p>
      <w:pPr>
        <w:spacing w:after="120"/>
      </w:pPr>
      <w:r>
        <w:rPr>
          <w:rFonts w:ascii="Arial" w:cs="Arial" w:eastAsia="Arial" w:hAnsi="Arial"/>
          <w:color w:val="2C3E50"/>
          <w:sz w:val="22"/>
          <w:szCs w:val="22"/>
        </w:rPr>
        <w:t xml:space="preserve">A dedicated school administrator experience with: classroom-level AI usage views (not individual student content, respecting student privacy), aggregate risk analytics per class/year group/school, teacher alerts for concerning patterns, and exportable reports for safeguarding leads and governors. The dashboard aligns with the UK Keeping Children Safe in Education (KCSIE) framework and equivalent policies in other jurisdictions.</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Schools are the highest-leverage distribution channel. One school adoption brings 200–1,500 family accounts into the funnel. School plans carry higher ARPU than family plans and lower churn (annual contracts).</w:t>
      </w:r>
    </w:p>
    <w:p>
      <w:pPr>
        <w:spacing w:after="120"/>
      </w:pPr>
    </w:p>
    <w:p>
      <w:pPr>
        <w:pStyle w:val="Heading2"/>
        <w:spacing w:before="280" w:after="160"/>
      </w:pPr>
      <w:r>
        <w:rPr>
          <w:rFonts w:ascii="Arial" w:cs="Arial" w:eastAsia="Arial" w:hAnsi="Arial"/>
          <w:b/>
          <w:bCs/>
          <w:color w:val="2E86C1"/>
          <w:sz w:val="26"/>
          <w:szCs w:val="26"/>
        </w:rPr>
        <w:t xml:space="preserve">5.2 School SIS Integration (Clever &amp; ClassLink)</w:t>
      </w:r>
    </w:p>
    <w:p>
      <w:pPr>
        <w:spacing w:after="120"/>
      </w:pPr>
      <w:r>
        <w:rPr>
          <w:rFonts w:ascii="Arial" w:cs="Arial" w:eastAsia="Arial" w:hAnsi="Arial"/>
          <w:color w:val="2C3E50"/>
          <w:sz w:val="22"/>
          <w:szCs w:val="22"/>
        </w:rPr>
        <w:t xml:space="preserve">Rostering integration with Clever and ClassLink, the two dominant student information system connectors. This enables schools to automatically provision and deprovision student accounts, sync class rosters, and manage the extension deployment via their existing MDM (Mobile Device Management) workflows, eliminating manual admin overhead.</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Required for enterprise school sales. Without SIS integration, IT directors will not evaluate Bhapi. Clever alone connects to 100,000+ schools in the US.</w:t>
      </w:r>
    </w:p>
    <w:p>
      <w:pPr>
        <w:spacing w:after="120"/>
      </w:pPr>
    </w:p>
    <w:p>
      <w:pPr>
        <w:pStyle w:val="Heading2"/>
        <w:spacing w:before="280" w:after="160"/>
      </w:pPr>
      <w:r>
        <w:rPr>
          <w:rFonts w:ascii="Arial" w:cs="Arial" w:eastAsia="Arial" w:hAnsi="Arial"/>
          <w:b/>
          <w:bCs/>
          <w:color w:val="2E86C1"/>
          <w:sz w:val="26"/>
          <w:szCs w:val="26"/>
        </w:rPr>
        <w:t xml:space="preserve">5.3 Federated SSO for Schools</w:t>
      </w:r>
    </w:p>
    <w:p>
      <w:pPr>
        <w:spacing w:after="120"/>
      </w:pPr>
      <w:r>
        <w:rPr>
          <w:rFonts w:ascii="Arial" w:cs="Arial" w:eastAsia="Arial" w:hAnsi="Arial"/>
          <w:color w:val="2C3E50"/>
          <w:sz w:val="22"/>
          <w:szCs w:val="22"/>
        </w:rPr>
        <w:t xml:space="preserve">Support for Microsoft Entra ID (Azure AD) and Google Workspace for Education SSO. Teachers and students authenticate using their existing school credentials. Parents link via an invitation flow that connects to the school group.</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Reduces friction to zero for school deployment. Required for compliance with school IT security policies. Microsoft Entra alone covers the majority of K–12 districts.</w:t>
      </w:r>
    </w:p>
    <w:p>
      <w:pPr>
        <w:spacing w:after="120"/>
      </w:pPr>
    </w:p>
    <w:p>
      <w:pPr>
        <w:pStyle w:val="Heading2"/>
        <w:spacing w:before="280" w:after="160"/>
      </w:pPr>
      <w:r>
        <w:rPr>
          <w:rFonts w:ascii="Arial" w:cs="Arial" w:eastAsia="Arial" w:hAnsi="Arial"/>
          <w:b/>
          <w:bCs/>
          <w:color w:val="2E86C1"/>
          <w:sz w:val="26"/>
          <w:szCs w:val="26"/>
        </w:rPr>
        <w:t xml:space="preserve">5.4 AI Literacy Assessment Tool</w:t>
      </w:r>
    </w:p>
    <w:p>
      <w:pPr>
        <w:spacing w:after="120"/>
      </w:pPr>
      <w:r>
        <w:rPr>
          <w:rFonts w:ascii="Arial" w:cs="Arial" w:eastAsia="Arial" w:hAnsi="Arial"/>
          <w:color w:val="2C3E50"/>
          <w:sz w:val="22"/>
          <w:szCs w:val="22"/>
        </w:rPr>
        <w:t xml:space="preserve">A structured assessment that schools can administer to students to evaluate their AI literacy: understanding of how LLMs work, ability to identify AI-generated content, awareness of PII risks when interacting with AI, and understanding of copyright and plagiarism in AI-assisted work. Results feed into the school dashboard and contribute to the safety score.</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Creates a unique product category that no competitor offers. Directly addresses regulatory requirements, including the California ballot measure requiring AI literacy content in curriculum frameworks. Generates data that schools need for Ofsted/regulatory inspections.</w:t>
      </w:r>
    </w:p>
    <w:p>
      <w:pPr>
        <w:spacing w:after="120"/>
      </w:pPr>
    </w:p>
    <w:p>
      <w:pPr>
        <w:pStyle w:val="Heading2"/>
        <w:spacing w:before="280" w:after="160"/>
      </w:pPr>
      <w:r>
        <w:rPr>
          <w:rFonts w:ascii="Arial" w:cs="Arial" w:eastAsia="Arial" w:hAnsi="Arial"/>
          <w:b/>
          <w:bCs/>
          <w:color w:val="2E86C1"/>
          <w:sz w:val="26"/>
          <w:szCs w:val="26"/>
        </w:rPr>
        <w:t xml:space="preserve">5.5 Companion Chatbot Monitoring</w:t>
      </w:r>
    </w:p>
    <w:p>
      <w:pPr>
        <w:spacing w:after="120"/>
      </w:pPr>
      <w:r>
        <w:rPr>
          <w:rFonts w:ascii="Arial" w:cs="Arial" w:eastAsia="Arial" w:hAnsi="Arial"/>
          <w:color w:val="2C3E50"/>
          <w:sz w:val="22"/>
          <w:szCs w:val="22"/>
        </w:rPr>
        <w:t xml:space="preserve">Extend monitoring to cover AI companion chatbot platforms (Character.AI, Replika, Chai, Kindroid) that research shows children increasingly use for emotional support. The risk engine adds specific classifiers for: emotional dependency indicators, relationship boundary violations, age-inappropriate role-play, manipulation patterns, and excessive session length. California’s companion chatbot law, effective January 2026, defines companion chatbots and mandates operator requirements, creating a regulatory hook.</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Addresses one of the most alarming trends: 28% of US parents say their child has turned to AI for companionship or comfort. 14% of children use AI to discuss things they cannot talk to anyone else about. This is a safety and wellbeing issue that no parental control app currently monitors.</w:t>
      </w:r>
    </w:p>
    <w:p>
      <w:pPr>
        <w:spacing w:after="120"/>
      </w:pPr>
    </w:p>
    <w:p>
      <w:pPr>
        <w:pStyle w:val="Heading2"/>
        <w:spacing w:before="280" w:after="160"/>
      </w:pPr>
      <w:r>
        <w:rPr>
          <w:rFonts w:ascii="Arial" w:cs="Arial" w:eastAsia="Arial" w:hAnsi="Arial"/>
          <w:b/>
          <w:bCs/>
          <w:color w:val="2E86C1"/>
          <w:sz w:val="26"/>
          <w:szCs w:val="26"/>
        </w:rPr>
        <w:t xml:space="preserve">Phase 2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200"/>
        <w:gridCol w:w="2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Value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Admin Dashboard</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B2B revenue channel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Clever &amp; ClassLink SIS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distribution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Federated SSO</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Deployment friction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Literacy Assessment</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Unique category</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Companion Chatbot Monitoring</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Safety + regulatory</w:t>
            </w:r>
          </w:p>
        </w:tc>
      </w:tr>
    </w:tbl>
    <w:p>
      <w:r>
        <w:br w:type="page"/>
      </w:r>
    </w:p>
    <w:p>
      <w:pPr>
        <w:pStyle w:val="Heading1"/>
        <w:spacing w:before="360" w:after="200"/>
      </w:pPr>
      <w:r>
        <w:rPr>
          <w:rFonts w:ascii="Arial" w:cs="Arial" w:eastAsia="Arial" w:hAnsi="Arial"/>
          <w:b/>
          <w:bCs/>
          <w:color w:val="1B4F72"/>
          <w:sz w:val="32"/>
          <w:szCs w:val="32"/>
        </w:rPr>
        <w:t xml:space="preserve">6. Phase 3 — Defensible Technology (6–9 Months)</w:t>
      </w:r>
    </w:p>
    <w:p>
      <w:pPr>
        <w:spacing w:after="120"/>
      </w:pPr>
      <w:r>
        <w:rPr>
          <w:rFonts w:ascii="Arial" w:cs="Arial" w:eastAsia="Arial" w:hAnsi="Arial"/>
          <w:color w:val="2C3E50"/>
          <w:sz w:val="22"/>
          <w:szCs w:val="22"/>
        </w:rPr>
        <w:t xml:space="preserve">Focus: Build technology moat, deepen safety intelligence, and create platform capabilities that competitors cannot easily replicate.</w:t>
      </w:r>
    </w:p>
    <w:p>
      <w:pPr>
        <w:spacing w:after="120"/>
      </w:pPr>
    </w:p>
    <w:p>
      <w:pPr>
        <w:pStyle w:val="Heading2"/>
        <w:spacing w:before="280" w:after="160"/>
      </w:pPr>
      <w:r>
        <w:rPr>
          <w:rFonts w:ascii="Arial" w:cs="Arial" w:eastAsia="Arial" w:hAnsi="Arial"/>
          <w:b/>
          <w:bCs/>
          <w:color w:val="2E86C1"/>
          <w:sz w:val="26"/>
          <w:szCs w:val="26"/>
        </w:rPr>
        <w:t xml:space="preserve">6.1 AI Behaviour Analytics &amp; Pattern Detection</w:t>
      </w:r>
    </w:p>
    <w:p>
      <w:pPr>
        <w:spacing w:after="120"/>
      </w:pPr>
      <w:r>
        <w:rPr>
          <w:rFonts w:ascii="Arial" w:cs="Arial" w:eastAsia="Arial" w:hAnsi="Arial"/>
          <w:color w:val="2C3E50"/>
          <w:sz w:val="22"/>
          <w:szCs w:val="22"/>
        </w:rPr>
        <w:t xml:space="preserve">Move beyond per-interaction risk classification to longitudinal behavioural analysis. Track patterns over time: escalation trajectories (a child’s queries moving from curiosity to concerning topics over days/weeks), session frequency and duration trends, emotional dependency signals (increasing use during late-night hours, weekends, or after negative events), and cross-platform behavioural correlation (same child exploring similar themes across multiple AI platforms).</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Transforms Bhapi from reactive alerting to predictive safety. This is the technology moat. Individual interaction scanning is a commodity; longitudinal behavioural intelligence is defensible IP.</w:t>
      </w:r>
    </w:p>
    <w:p>
      <w:pPr>
        <w:spacing w:after="120"/>
      </w:pPr>
    </w:p>
    <w:p>
      <w:pPr>
        <w:pStyle w:val="Heading2"/>
        <w:spacing w:before="280" w:after="160"/>
      </w:pPr>
      <w:r>
        <w:rPr>
          <w:rFonts w:ascii="Arial" w:cs="Arial" w:eastAsia="Arial" w:hAnsi="Arial"/>
          <w:b/>
          <w:bCs/>
          <w:color w:val="2E86C1"/>
          <w:sz w:val="26"/>
          <w:szCs w:val="26"/>
        </w:rPr>
        <w:t xml:space="preserve">6.2 Real-Time Content Blocking (Admin-Controlled)</w:t>
      </w:r>
    </w:p>
    <w:p>
      <w:pPr>
        <w:spacing w:after="120"/>
      </w:pPr>
      <w:r>
        <w:rPr>
          <w:rFonts w:ascii="Arial" w:cs="Arial" w:eastAsia="Arial" w:hAnsi="Arial"/>
          <w:color w:val="2C3E50"/>
          <w:sz w:val="22"/>
          <w:szCs w:val="22"/>
        </w:rPr>
        <w:t xml:space="preserve">Allow admins to configure active intervention policies: block specific query categories at the browser extension level (e.g., prevent children from submitting queries containing PII to AI platforms), enforce safe search on AI tools, and inject warning interstitials when a child’s query triggers a risk threshold before it is submitted. This moves Bhapi from monitoring-only to active prevention.</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Schools consistently request active prevention, not just monitoring. Aligns with the UK Online Safety Act’s requirement for services to take proactive steps to protect children, not just detect harm. Competes directly with Qustodio’s core web filtering proposition but for the AI domain.</w:t>
      </w:r>
    </w:p>
    <w:p>
      <w:pPr>
        <w:spacing w:after="120"/>
      </w:pPr>
    </w:p>
    <w:p>
      <w:pPr>
        <w:pStyle w:val="Heading2"/>
        <w:spacing w:before="280" w:after="160"/>
      </w:pPr>
      <w:r>
        <w:rPr>
          <w:rFonts w:ascii="Arial" w:cs="Arial" w:eastAsia="Arial" w:hAnsi="Arial"/>
          <w:b/>
          <w:bCs/>
          <w:color w:val="2E86C1"/>
          <w:sz w:val="26"/>
          <w:szCs w:val="26"/>
        </w:rPr>
        <w:t xml:space="preserve">6.3 Age Verification Integration</w:t>
      </w:r>
    </w:p>
    <w:p>
      <w:pPr>
        <w:spacing w:after="120"/>
      </w:pPr>
      <w:r>
        <w:rPr>
          <w:rFonts w:ascii="Arial" w:cs="Arial" w:eastAsia="Arial" w:hAnsi="Arial"/>
          <w:color w:val="2C3E50"/>
          <w:sz w:val="22"/>
          <w:szCs w:val="22"/>
        </w:rPr>
        <w:t xml:space="preserve">Integration with age assurance providers (Yoti, Age ID, or equivalent) for verified age gating. This enables: verified child accounts with age-appropriate monitoring levels, compliance with Brazil’s ECA Digital Law (which mandates age verification technology rather than self-declared ages), and readiness for UK OSA and EU DSA age assurance requirements.</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Regulatory compliance is becoming a hard requirement, not optional. Brazil already mandates it. The UK and EU are heading the same direction. First-mover advantage in age-verified AI governance.</w:t>
      </w:r>
    </w:p>
    <w:p>
      <w:pPr>
        <w:spacing w:after="120"/>
      </w:pPr>
    </w:p>
    <w:p>
      <w:pPr>
        <w:pStyle w:val="Heading2"/>
        <w:spacing w:before="280" w:after="160"/>
      </w:pPr>
      <w:r>
        <w:rPr>
          <w:rFonts w:ascii="Arial" w:cs="Arial" w:eastAsia="Arial" w:hAnsi="Arial"/>
          <w:b/>
          <w:bCs/>
          <w:color w:val="2E86C1"/>
          <w:sz w:val="26"/>
          <w:szCs w:val="26"/>
        </w:rPr>
        <w:t xml:space="preserve">6.4 Mobile Device Agent</w:t>
      </w:r>
    </w:p>
    <w:p>
      <w:pPr>
        <w:spacing w:after="120"/>
      </w:pPr>
      <w:r>
        <w:rPr>
          <w:rFonts w:ascii="Arial" w:cs="Arial" w:eastAsia="Arial" w:hAnsi="Arial"/>
          <w:color w:val="2C3E50"/>
          <w:sz w:val="22"/>
          <w:szCs w:val="22"/>
        </w:rPr>
        <w:t xml:space="preserve">A lightweight mobile application (iOS and Android) that extends monitoring capabilities to mobile data connections, bypassing the DNS proxy limitation of only covering Wi-Fi networks. The agent routes AI platform traffic through the Bhapi capture layer on mobile, ensuring full coverage regardless of connection type.</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Closes the biggest coverage gap in the current architecture. Children primarily access AI on mobile devices. Without mobile coverage on cellular data, the DNS proxy provides partial protection at best.</w:t>
      </w:r>
    </w:p>
    <w:p>
      <w:pPr>
        <w:spacing w:after="120"/>
      </w:pPr>
    </w:p>
    <w:p>
      <w:pPr>
        <w:pStyle w:val="Heading2"/>
        <w:spacing w:before="280" w:after="160"/>
      </w:pPr>
      <w:r>
        <w:rPr>
          <w:rFonts w:ascii="Arial" w:cs="Arial" w:eastAsia="Arial" w:hAnsi="Arial"/>
          <w:b/>
          <w:bCs/>
          <w:color w:val="2E86C1"/>
          <w:sz w:val="26"/>
          <w:szCs w:val="26"/>
        </w:rPr>
        <w:t xml:space="preserve">6.5 Vendor Risk Scoring for AI Platforms</w:t>
      </w:r>
    </w:p>
    <w:p>
      <w:pPr>
        <w:spacing w:after="120"/>
      </w:pPr>
      <w:r>
        <w:rPr>
          <w:rFonts w:ascii="Arial" w:cs="Arial" w:eastAsia="Arial" w:hAnsi="Arial"/>
          <w:color w:val="2C3E50"/>
          <w:sz w:val="22"/>
          <w:szCs w:val="22"/>
        </w:rPr>
        <w:t xml:space="preserve">Automated risk assessments of each monitored LLM provider against safety, privacy, and compliance criteria: their data retention policies, content moderation effectiveness, child safety features, terms of service for minors, GDPR/COPPA compliance status, and incident history. Display a clear risk rating per platform on the dashboard so families and schools can make informed decisions about which AI tools to permit.</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Leverages the Littledata AI risk methodology in a consumer-friendly format. Creates unique editorial-style content that drives organic search traffic and positions Bhapi as the authority on AI platform safety for families.</w:t>
      </w:r>
    </w:p>
    <w:p>
      <w:pPr>
        <w:spacing w:after="120"/>
      </w:pPr>
    </w:p>
    <w:p>
      <w:pPr>
        <w:pStyle w:val="Heading2"/>
        <w:spacing w:before="280" w:after="160"/>
      </w:pPr>
      <w:r>
        <w:rPr>
          <w:rFonts w:ascii="Arial" w:cs="Arial" w:eastAsia="Arial" w:hAnsi="Arial"/>
          <w:b/>
          <w:bCs/>
          <w:color w:val="2E86C1"/>
          <w:sz w:val="26"/>
          <w:szCs w:val="26"/>
        </w:rPr>
        <w:t xml:space="preserve">Phase 3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200"/>
        <w:gridCol w:w="2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Value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Behaviour Analytics &amp; Patterns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Technology moat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Real-Time Content Blocking</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demand</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Age Verification Integration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Regulatory compliance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 Device Agent</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Coverage completeness</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Vendor Risk Scoring</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Content + authority</w:t>
            </w:r>
          </w:p>
        </w:tc>
      </w:tr>
    </w:tbl>
    <w:p>
      <w:r>
        <w:br w:type="page"/>
      </w:r>
    </w:p>
    <w:p>
      <w:pPr>
        <w:pStyle w:val="Heading1"/>
        <w:spacing w:before="360" w:after="200"/>
      </w:pPr>
      <w:r>
        <w:rPr>
          <w:rFonts w:ascii="Arial" w:cs="Arial" w:eastAsia="Arial" w:hAnsi="Arial"/>
          <w:b/>
          <w:bCs/>
          <w:color w:val="1B4F72"/>
          <w:sz w:val="32"/>
          <w:szCs w:val="32"/>
        </w:rPr>
        <w:t xml:space="preserve">7. Phase 4 — Scale &amp; Platform (9–12 Months)</w:t>
      </w:r>
    </w:p>
    <w:p>
      <w:pPr>
        <w:spacing w:after="120"/>
      </w:pPr>
      <w:r>
        <w:rPr>
          <w:rFonts w:ascii="Arial" w:cs="Arial" w:eastAsia="Arial" w:hAnsi="Arial"/>
          <w:color w:val="2C3E50"/>
          <w:sz w:val="22"/>
          <w:szCs w:val="22"/>
        </w:rPr>
        <w:t xml:space="preserve">Focus: International expansion, platform ecosystem, and positioning for Series A.</w:t>
      </w:r>
    </w:p>
    <w:p>
      <w:pPr>
        <w:spacing w:after="120"/>
      </w:pPr>
    </w:p>
    <w:p>
      <w:pPr>
        <w:pStyle w:val="Heading2"/>
        <w:spacing w:before="280" w:after="160"/>
      </w:pPr>
      <w:r>
        <w:rPr>
          <w:rFonts w:ascii="Arial" w:cs="Arial" w:eastAsia="Arial" w:hAnsi="Arial"/>
          <w:b/>
          <w:bCs/>
          <w:color w:val="2E86C1"/>
          <w:sz w:val="26"/>
          <w:szCs w:val="26"/>
        </w:rPr>
        <w:t xml:space="preserve">7.1 Multi-Language Launch</w:t>
      </w:r>
    </w:p>
    <w:p>
      <w:pPr>
        <w:spacing w:after="120"/>
      </w:pPr>
      <w:r>
        <w:rPr>
          <w:rFonts w:ascii="Arial" w:cs="Arial" w:eastAsia="Arial" w:hAnsi="Arial"/>
          <w:color w:val="2C3E50"/>
          <w:sz w:val="22"/>
          <w:szCs w:val="22"/>
        </w:rPr>
        <w:t xml:space="preserve">Full localisation across the Phase 2 language set: French, Spanish, German, Portuguese (PT-PT and PT-BR), and Italian. This covers: all UI strings, email templates and reports, educational coaching content, risk engine multilingual classification (verified accuracy per language before enabling), and legal documents (privacy policy, terms of service, DPA) professionally translated and legally reviewed for each locale.</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Opens the EU, Latin America, and DACH markets. Qustodio already supports 8 languages. Bhapi needs parity for international school sales. Note that Bark is only available in English and Spanish, creating a competitive opening in French, German, Italian, and Portuguese markets.</w:t>
      </w:r>
    </w:p>
    <w:p>
      <w:pPr>
        <w:spacing w:after="120"/>
      </w:pPr>
    </w:p>
    <w:p>
      <w:pPr>
        <w:pStyle w:val="Heading2"/>
        <w:spacing w:before="280" w:after="160"/>
      </w:pPr>
      <w:r>
        <w:rPr>
          <w:rFonts w:ascii="Arial" w:cs="Arial" w:eastAsia="Arial" w:hAnsi="Arial"/>
          <w:b/>
          <w:bCs/>
          <w:color w:val="2E86C1"/>
          <w:sz w:val="26"/>
          <w:szCs w:val="26"/>
        </w:rPr>
        <w:t xml:space="preserve">7.2 API for Third-Party Integration</w:t>
      </w:r>
    </w:p>
    <w:p>
      <w:pPr>
        <w:spacing w:after="120"/>
      </w:pPr>
      <w:r>
        <w:rPr>
          <w:rFonts w:ascii="Arial" w:cs="Arial" w:eastAsia="Arial" w:hAnsi="Arial"/>
          <w:color w:val="2C3E50"/>
          <w:sz w:val="22"/>
          <w:szCs w:val="22"/>
        </w:rPr>
        <w:t xml:space="preserve">A public API that allows EdTech platforms, school management systems, and other child safety tools to consume Bhapi’s risk signals. This includes: webhooks for risk event notifications, REST endpoints for usage and safety data, embeddable safety score widgets, and an SDK for third-party platforms to integrate AI monitoring.</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Transforms Bhapi from a product to a platform. Creates an ecosystem of integrations that increases switching costs and builds network effects. Opens a B2B revenue stream (API usage fees) alongside the subscription model.</w:t>
      </w:r>
    </w:p>
    <w:p>
      <w:pPr>
        <w:spacing w:after="120"/>
      </w:pPr>
    </w:p>
    <w:p>
      <w:pPr>
        <w:pStyle w:val="Heading2"/>
        <w:spacing w:before="280" w:after="160"/>
      </w:pPr>
      <w:r>
        <w:rPr>
          <w:rFonts w:ascii="Arial" w:cs="Arial" w:eastAsia="Arial" w:hAnsi="Arial"/>
          <w:b/>
          <w:bCs/>
          <w:color w:val="2E86C1"/>
          <w:sz w:val="26"/>
          <w:szCs w:val="26"/>
        </w:rPr>
        <w:t xml:space="preserve">7.3 Safari Browser Extension</w:t>
      </w:r>
    </w:p>
    <w:p>
      <w:pPr>
        <w:spacing w:after="120"/>
      </w:pPr>
      <w:r>
        <w:rPr>
          <w:rFonts w:ascii="Arial" w:cs="Arial" w:eastAsia="Arial" w:hAnsi="Arial"/>
          <w:color w:val="2C3E50"/>
          <w:sz w:val="22"/>
          <w:szCs w:val="22"/>
        </w:rPr>
        <w:t xml:space="preserve">Extension support for Safari on macOS and iOS, addressing the Apple ecosystem gap. This requires Apple Developer entitlements and WebExtension API compliance, plus submission through the Apple App Store review process.</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Apple devices are dominant in schools (iPads) and families. Safari is the default browser on all Apple devices. Without Safari support, a significant portion of AI usage goes unmonitored on the most widely deployed education hardware.</w:t>
      </w:r>
    </w:p>
    <w:p>
      <w:pPr>
        <w:spacing w:after="120"/>
      </w:pPr>
    </w:p>
    <w:p>
      <w:pPr>
        <w:pStyle w:val="Heading2"/>
        <w:spacing w:before="280" w:after="160"/>
      </w:pPr>
      <w:r>
        <w:rPr>
          <w:rFonts w:ascii="Arial" w:cs="Arial" w:eastAsia="Arial" w:hAnsi="Arial"/>
          <w:b/>
          <w:bCs/>
          <w:color w:val="2E86C1"/>
          <w:sz w:val="26"/>
          <w:szCs w:val="26"/>
        </w:rPr>
        <w:t xml:space="preserve">7.4 Report Scheduling &amp; Compliance Export</w:t>
      </w:r>
    </w:p>
    <w:p>
      <w:pPr>
        <w:spacing w:after="120"/>
      </w:pPr>
      <w:r>
        <w:rPr>
          <w:rFonts w:ascii="Arial" w:cs="Arial" w:eastAsia="Arial" w:hAnsi="Arial"/>
          <w:color w:val="2C3E50"/>
          <w:sz w:val="22"/>
          <w:szCs w:val="22"/>
        </w:rPr>
        <w:t xml:space="preserve">Automated scheduled reports for: school safeguarding leads (weekly/monthly summaries in formats aligned with KCSIE), school governors and trust boards (termly overview reports), and regulatory compliance (DPIA evidence packs, ROPA extracts, incident logs for ICO/DPA submissions). Export formats include PDF, CSV, and structured JSON for regulatory submission systems.</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Compliance reporting is a hard requirement for school renewals. Automated reports reduce admin overhead and make Bhapi indispensable. Creates lock-in through data dependency.</w:t>
      </w:r>
    </w:p>
    <w:p>
      <w:pPr>
        <w:spacing w:after="120"/>
      </w:pPr>
    </w:p>
    <w:p>
      <w:pPr>
        <w:pStyle w:val="Heading2"/>
        <w:spacing w:before="280" w:after="160"/>
      </w:pPr>
      <w:r>
        <w:rPr>
          <w:rFonts w:ascii="Arial" w:cs="Arial" w:eastAsia="Arial" w:hAnsi="Arial"/>
          <w:b/>
          <w:bCs/>
          <w:color w:val="2E86C1"/>
          <w:sz w:val="26"/>
          <w:szCs w:val="26"/>
        </w:rPr>
        <w:t xml:space="preserve">7.5 Community Safety Intelligence Network</w:t>
      </w:r>
    </w:p>
    <w:p>
      <w:pPr>
        <w:spacing w:after="120"/>
      </w:pPr>
      <w:r>
        <w:rPr>
          <w:rFonts w:ascii="Arial" w:cs="Arial" w:eastAsia="Arial" w:hAnsi="Arial"/>
          <w:color w:val="2C3E50"/>
          <w:sz w:val="22"/>
          <w:szCs w:val="22"/>
        </w:rPr>
        <w:t xml:space="preserve">An opt-in, anonymised threat intelligence network where Bhapi aggregates risk signals across its user base to identify emerging threats: new AI platforms being adopted by children, new jailbreak techniques being shared in school communities, trending dangerous prompt patterns, and cross-platform exploitation campaigns. This intelligence feeds back to all users as proactive warnings and risk engine updates.</w:t>
      </w:r>
    </w:p>
    <w:p>
      <w:pPr>
        <w:spacing w:after="120"/>
      </w:pPr>
    </w:p>
    <w:p>
      <w:pPr>
        <w:spacing w:after="80"/>
      </w:pPr>
      <w:r>
        <w:rPr>
          <w:rFonts w:ascii="Arial" w:cs="Arial" w:eastAsia="Arial" w:hAnsi="Arial"/>
          <w:b/>
          <w:bCs/>
          <w:color w:val="2C3E50"/>
          <w:sz w:val="22"/>
          <w:szCs w:val="22"/>
        </w:rPr>
        <w:t xml:space="preserve">Strategic value: </w:t>
      </w:r>
      <w:r>
        <w:rPr>
          <w:rFonts w:ascii="Arial" w:cs="Arial" w:eastAsia="Arial" w:hAnsi="Arial"/>
          <w:color w:val="2C3E50"/>
          <w:sz w:val="22"/>
          <w:szCs w:val="22"/>
        </w:rPr>
        <w:t xml:space="preserve">Creates a powerful network effect. Each new user makes the product better for all users. This is the ultimate competitive moat: a crowd-sourced safety intelligence network that improves with scale. Analogous to how antivirus platforms share threat signatures across their user base.</w:t>
      </w:r>
    </w:p>
    <w:p>
      <w:pPr>
        <w:spacing w:after="120"/>
      </w:pPr>
    </w:p>
    <w:p>
      <w:pPr>
        <w:pStyle w:val="Heading2"/>
        <w:spacing w:before="280" w:after="160"/>
      </w:pPr>
      <w:r>
        <w:rPr>
          <w:rFonts w:ascii="Arial" w:cs="Arial" w:eastAsia="Arial" w:hAnsi="Arial"/>
          <w:b/>
          <w:bCs/>
          <w:color w:val="2E86C1"/>
          <w:sz w:val="26"/>
          <w:szCs w:val="26"/>
        </w:rPr>
        <w:t xml:space="preserve">Phase 4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400"/>
        <w:gridCol w:w="1200"/>
        <w:gridCol w:w="23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Effort</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2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Value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Multi-Language Launch (6 langs)</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Market expansion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Third-Party API</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Platform ecosystem</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Safari Extension</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P0</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Apple coverage gap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Report Scheduling &amp; Export</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Medium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retention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Community Safety Network</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vAlign w:val="center"/>
          </w:tcPr>
          <w:p>
            <w:pPr>
              <w:jc w:val="left"/>
            </w:pPr>
            <w:r>
              <w:rPr>
                <w:rFonts w:ascii="Arial" w:cs="Arial" w:eastAsia="Arial" w:hAnsi="Arial"/>
                <w:b/>
                <w:bCs/>
                <w:color w:val="2C3E50"/>
                <w:sz w:val="20"/>
                <w:szCs w:val="20"/>
              </w:rPr>
              <w:t xml:space="preserve">P2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weeks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High</w:t>
            </w:r>
          </w:p>
        </w:tc>
        <w:tc>
          <w:tcPr>
            <w:tcW w:type="dxa" w:w="2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Network effect moat</w:t>
            </w:r>
          </w:p>
        </w:tc>
      </w:tr>
    </w:tbl>
    <w:p>
      <w:r>
        <w:br w:type="page"/>
      </w:r>
    </w:p>
    <w:p>
      <w:pPr>
        <w:pStyle w:val="Heading1"/>
        <w:spacing w:before="360" w:after="200"/>
      </w:pPr>
      <w:r>
        <w:rPr>
          <w:rFonts w:ascii="Arial" w:cs="Arial" w:eastAsia="Arial" w:hAnsi="Arial"/>
          <w:b/>
          <w:bCs/>
          <w:color w:val="1B4F72"/>
          <w:sz w:val="32"/>
          <w:szCs w:val="32"/>
        </w:rPr>
        <w:t xml:space="preserve">8. Competitive Feature Matrix — Post-Roadmap</w:t>
      </w:r>
    </w:p>
    <w:p>
      <w:pPr>
        <w:spacing w:after="120"/>
      </w:pPr>
      <w:r>
        <w:rPr>
          <w:rFonts w:ascii="Arial" w:cs="Arial" w:eastAsia="Arial" w:hAnsi="Arial"/>
          <w:color w:val="2C3E50"/>
          <w:sz w:val="22"/>
          <w:szCs w:val="22"/>
        </w:rPr>
        <w:t xml:space="preserve">This matrix shows Bhapi’s positioning after completing the full roadmap against the leading parental control platforms.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400"/>
        <w:gridCol w:w="1400"/>
        <w:gridCol w:w="19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Bhapi (Post-Roadmap)</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Bark</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Qustodio</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Norton Family</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AI/LLM usage monitoring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Core focus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content risk classification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Safety LLM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spend management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Per-member</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PII detection in AI chats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Cloud DLP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Deepfake detection alerts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Phase 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Companion chatbot monitoring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literacy assessment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Phase 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Behavioural analytics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App usage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Social media monitoring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Future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30+ platforms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Limited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Web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Web content filtering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AI-focused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Basic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Strong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Strong</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Screen time management</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Future</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Basic</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Granular</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Location / geofencing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planned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Yes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Yes</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SIS integration</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Phase 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Multi-language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Phase 4 (6 langs)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English + Spanish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languages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Multiple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Vendor risk scoring</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Phase 3</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Safety intelligence network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 Not offered</w:t>
            </w:r>
          </w:p>
        </w:tc>
      </w:tr>
    </w:tbl>
    <w:p>
      <w:pPr>
        <w:spacing w:after="120"/>
      </w:pPr>
    </w:p>
    <w:p>
      <w:pPr>
        <w:spacing w:after="120"/>
      </w:pPr>
      <w:r>
        <w:rPr>
          <w:rFonts w:ascii="Arial" w:cs="Arial" w:eastAsia="Arial" w:hAnsi="Arial"/>
          <w:color w:val="2C3E50"/>
          <w:sz w:val="22"/>
          <w:szCs w:val="22"/>
        </w:rPr>
        <w:t xml:space="preserve">Bhapi’s strategy is to own the AI safety governance category rather than compete on traditional parental control features like location tracking and screen time. The competitors would need to build AI monitoring from scratch to match Bhapi, while Bhapi can selectively add traditional features where they complement the AI governance core.</w:t>
      </w:r>
    </w:p>
    <w:p>
      <w:r>
        <w:br w:type="page"/>
      </w:r>
    </w:p>
    <w:p>
      <w:pPr>
        <w:pStyle w:val="Heading1"/>
        <w:spacing w:before="360" w:after="200"/>
      </w:pPr>
      <w:r>
        <w:rPr>
          <w:rFonts w:ascii="Arial" w:cs="Arial" w:eastAsia="Arial" w:hAnsi="Arial"/>
          <w:b/>
          <w:bCs/>
          <w:color w:val="1B4F72"/>
          <w:sz w:val="32"/>
          <w:szCs w:val="32"/>
        </w:rPr>
        <w:t xml:space="preserve">9. Recommended Build Sequence — Quick Reference</w:t>
      </w:r>
    </w:p>
    <w:p>
      <w:pPr>
        <w:spacing w:after="120"/>
      </w:pPr>
      <w:r>
        <w:rPr>
          <w:rFonts w:ascii="Arial" w:cs="Arial" w:eastAsia="Arial" w:hAnsi="Arial"/>
          <w:color w:val="2C3E50"/>
          <w:sz w:val="22"/>
          <w:szCs w:val="22"/>
        </w:rPr>
        <w:t xml:space="preserve">The following table shows the recommended order of delivery, accounting for dependencies and strategic sequencing.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400"/>
        <w:gridCol w:w="1400"/>
        <w:gridCol w:w="276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Effort</w:t>
            </w:r>
          </w:p>
        </w:tc>
        <w:tc>
          <w:tcPr>
            <w:tcW w:type="dxa" w:w="2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Depends On</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Tiered Pricing (Free/Std/Premium)</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Safety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Weekly Email Digest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 week</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Safety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Deepfake Detection Alerts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Usage Coaching Tips</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Companion Chatbot Monitoring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7</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Admin Dashboard</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Clever &amp; ClassLink SIS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Dashboard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9</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Federated SSO</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2</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AI Literacy Assessment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Dashboard</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11</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 Device Agent</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3</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Behaviour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 months data</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13</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Real-Time Content Blocking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3</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Age Verification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15</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Vendor Risk Scoring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3</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Multi-Language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17</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Safari Extension</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4</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4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Third-Party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w:t>
            </w:r>
          </w:p>
        </w:tc>
      </w:tr>
      <w:tr>
        <w:tc>
          <w:tcPr>
            <w:tcW w:type="dxa" w:w="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19</w:t>
            </w:r>
          </w:p>
        </w:tc>
        <w:tc>
          <w:tcPr>
            <w:tcW w:type="dxa" w:w="3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Report Scheduling</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4</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 weeks</w:t>
            </w:r>
          </w:p>
        </w:tc>
        <w:tc>
          <w:tcPr>
            <w:tcW w:type="dxa" w:w="27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Dashboard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Community Safety Network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8 weeks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Behaviour Analytics</w:t>
            </w:r>
          </w:p>
        </w:tc>
      </w:tr>
    </w:tbl>
    <w:p>
      <w:r>
        <w:br w:type="page"/>
      </w:r>
    </w:p>
    <w:p>
      <w:pPr>
        <w:pStyle w:val="Heading1"/>
        <w:spacing w:before="360" w:after="200"/>
      </w:pPr>
      <w:r>
        <w:rPr>
          <w:rFonts w:ascii="Arial" w:cs="Arial" w:eastAsia="Arial" w:hAnsi="Arial"/>
          <w:b/>
          <w:bCs/>
          <w:color w:val="1B4F72"/>
          <w:sz w:val="32"/>
          <w:szCs w:val="32"/>
        </w:rPr>
        <w:t xml:space="preserve">10. Success Metrics by Phase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960"/>
        <w:gridCol w:w="280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Metrics to Track</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1</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0–3 months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DAU/MAU ratio, free-to-paid conversion, weekly digest open rate, AI Safety Score adoption</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DAU/MAU &gt; 25%, conversion &gt;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3–6 months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Schools onboarded, students per school, school plan ARPU, companion chatbot detection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50+ schools, avg 300 students</w:t>
            </w:r>
          </w:p>
        </w:tc>
      </w:tr>
      <w:tr>
        <w:tc>
          <w:tcPr>
            <w:tcW w:type="dxa" w:w="1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3</w:t>
            </w:r>
          </w:p>
        </w:tc>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6–9 months</w:t>
            </w:r>
          </w:p>
        </w:tc>
        <w:tc>
          <w:tcPr>
            <w:tcW w:type="dxa" w:w="3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 coverage %, prediction accuracy, blocking policy adoption, age verification rate</w:t>
            </w:r>
          </w:p>
        </w:tc>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Mobile coverage &gt; 60%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9–12 months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Non-English users %, API partners, threat intel contributions, NPS by market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Non-English &gt; 30% of users</w:t>
            </w:r>
          </w:p>
        </w:tc>
      </w:tr>
    </w:tbl>
    <w:p>
      <w:pPr>
        <w:spacing w:after="200"/>
      </w:pPr>
    </w:p>
    <w:p>
      <w:pPr>
        <w:pStyle w:val="Heading1"/>
        <w:spacing w:before="360" w:after="200"/>
      </w:pPr>
      <w:r>
        <w:rPr>
          <w:rFonts w:ascii="Arial" w:cs="Arial" w:eastAsia="Arial" w:hAnsi="Arial"/>
          <w:b/>
          <w:bCs/>
          <w:color w:val="1B4F72"/>
          <w:sz w:val="32"/>
          <w:szCs w:val="32"/>
        </w:rPr>
        <w:t xml:space="preserve">11. Risks &amp; Mitigations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Browser extension store rejection delays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Delays Phase 1 deepfake detection and Phase 4 Safari launch</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Submit early, maintain minimal permissions, build relationship with Chrome/Apple review teams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LLM platforms change DOM 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Breaks browser extension monitoring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Automated DOM change detection, rapid hotfix pipeline, abstract monitoring layer to isolate provider-specific code</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School procurement cycles (6–12 months)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Slow Phase 2 revenue recognition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Target pilot programmes, start with free tier for teachers, build case studies during trial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Age verification provider costs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Increases per-user cost and onboarding friction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Negotiate volume pricing, make verification optional (with reduced features) until regulation mandates it</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Regulatory fragmentation across jurisdictions</w:t>
            </w:r>
          </w:p>
        </w:tc>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Increases compliance engineering burden</w:t>
            </w:r>
          </w:p>
        </w:tc>
        <w:tc>
          <w:tcPr>
            <w:tcW w:type="dxa" w:w="43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Build modular compliance engine with per-jurisdiction rule sets; automate documentation generation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Competitor entry into AI monitoring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Bark or Qustodio add basic AI monitoring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20"/>
                <w:szCs w:val="20"/>
              </w:rPr>
              <w:t xml:space="preserve">First-mover depth advantage: longitudinal analytics and safety intelligence network cannot be replicated quickly</w:t>
            </w:r>
          </w:p>
        </w:tc>
      </w:tr>
    </w:tbl>
    <w:p>
      <w:pPr>
        <w:spacing w:after="200"/>
      </w:pPr>
    </w:p>
    <w:p>
      <w:r>
        <w:br w:type="page"/>
      </w:r>
    </w:p>
    <w:p>
      <w:pPr>
        <w:pStyle w:val="Heading1"/>
        <w:spacing w:before="360" w:after="200"/>
      </w:pPr>
      <w:r>
        <w:rPr>
          <w:rFonts w:ascii="Arial" w:cs="Arial" w:eastAsia="Arial" w:hAnsi="Arial"/>
          <w:b/>
          <w:bCs/>
          <w:color w:val="1B4F72"/>
          <w:sz w:val="32"/>
          <w:szCs w:val="32"/>
        </w:rPr>
        <w:t xml:space="preserve">12. Conclusion &amp; Recommendation</w:t>
      </w:r>
    </w:p>
    <w:p>
      <w:pPr>
        <w:spacing w:after="120"/>
      </w:pPr>
      <w:r>
        <w:rPr>
          <w:rFonts w:ascii="Arial" w:cs="Arial" w:eastAsia="Arial" w:hAnsi="Arial"/>
          <w:color w:val="2C3E50"/>
          <w:sz w:val="22"/>
          <w:szCs w:val="22"/>
        </w:rPr>
        <w:t xml:space="preserve">The Bhapi AI Safety Portal MVP has established a strong technical foundation across monitoring, risk classification, and governance. The immediate priority is Phase 1, which should begin within the first week post-MVP: ship tiered pricing and the AI Safety Score to drive acquisition and retention, followed quickly by the weekly email digest and deepfake detection alerts to create PR momentum aligned with the current regulatory attention on AI-generated child exploitation content.</w:t>
      </w:r>
    </w:p>
    <w:p>
      <w:pPr>
        <w:spacing w:after="120"/>
      </w:pPr>
    </w:p>
    <w:p>
      <w:pPr>
        <w:spacing w:after="120"/>
      </w:pPr>
      <w:r>
        <w:rPr>
          <w:rFonts w:ascii="Arial" w:cs="Arial" w:eastAsia="Arial" w:hAnsi="Arial"/>
          <w:color w:val="2C3E50"/>
          <w:sz w:val="22"/>
          <w:szCs w:val="22"/>
        </w:rPr>
        <w:t xml:space="preserve">Phase 2 is the revenue unlocking phase. Schools represent the highest-leverage distribution channel and the strongest ARPU. SIS integration and the school admin dashboard are prerequisites for any enterprise education sales motion. Companion chatbot monitoring is the feature that will generate the most press coverage and regulatory attention, given the growing alarm around children forming emotional dependencies on AI systems.</w:t>
      </w:r>
    </w:p>
    <w:p>
      <w:pPr>
        <w:spacing w:after="120"/>
      </w:pPr>
    </w:p>
    <w:p>
      <w:pPr>
        <w:spacing w:after="120"/>
      </w:pPr>
      <w:r>
        <w:rPr>
          <w:rFonts w:ascii="Arial" w:cs="Arial" w:eastAsia="Arial" w:hAnsi="Arial"/>
          <w:color w:val="2C3E50"/>
          <w:sz w:val="22"/>
          <w:szCs w:val="22"/>
        </w:rPr>
        <w:t xml:space="preserve">Phases 3 and 4 build the technology moat and international scale that position Bhapi for a Series A conversation from a position of strength: defensible IP in behavioural analytics, a network-effect-driven safety intelligence layer, and proven multi-market traction.</w:t>
      </w:r>
    </w:p>
    <w:p>
      <w:pPr>
        <w:spacing w:after="120"/>
      </w:pPr>
    </w:p>
    <w:p>
      <w:pPr>
        <w:spacing w:after="120"/>
      </w:pPr>
      <w:r>
        <w:rPr>
          <w:rFonts w:ascii="Arial" w:cs="Arial" w:eastAsia="Arial" w:hAnsi="Arial"/>
          <w:color w:val="2C3E50"/>
          <w:sz w:val="22"/>
          <w:szCs w:val="22"/>
        </w:rPr>
        <w:t xml:space="preserve">The competitive window is now. No major parental control platform has moved into AI governance. Every month of delay is a month that Bark, Qustodio, or a new entrant could announce an AI monitoring feature. First-mover advantage in this category is substantial because the data flywheel (more users, more threat intelligence, better detection) compounds over time.</w:t>
      </w:r>
    </w:p>
    <w:p>
      <w:pPr>
        <w:spacing w:after="200"/>
      </w:pPr>
    </w:p>
    <w:p>
      <w:pPr>
        <w:pBdr>
          <w:top w:val="single" w:color="1B4F72" w:sz="4" w:space="8"/>
        </w:pBdr>
        <w:spacing w:before="200"/>
        <w:jc w:val="center"/>
      </w:pPr>
      <w:r>
        <w:rPr>
          <w:rFonts w:ascii="Arial" w:cs="Arial" w:eastAsia="Arial" w:hAnsi="Arial"/>
          <w:i/>
          <w:iCs/>
          <w:color w:val="7F8C8D"/>
          <w:sz w:val="20"/>
          <w:szCs w:val="20"/>
        </w:rPr>
        <w:t xml:space="preserve">End of Document — v1.0 Draft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1"/>
      </w:pBdr>
      <w:tabs>
        <w:tab w:val="right" w:pos="9360"/>
      </w:tabs>
    </w:pPr>
    <w:r>
      <w:rPr>
        <w:rFonts w:ascii="Arial" w:cs="Arial" w:eastAsia="Arial" w:hAnsi="Arial"/>
        <w:color w:val="7F8C8D"/>
        <w:sz w:val="16"/>
        <w:szCs w:val="16"/>
      </w:rPr>
      <w:t xml:space="preserve">Confidential — For Internal Review</w:t>
    </w:r>
    <w:r>
      <w:rPr>
        <w:rFonts w:ascii="Arial" w:cs="Arial" w:eastAsia="Arial" w:hAnsi="Arial"/>
        <w:color w:val="7F8C8D"/>
        <w:sz w:val="16"/>
        <w:szCs w:val="16"/>
      </w:rPr>
      <w:t xml:space="preserve">	v1.0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pPr>
    <w:r>
      <w:rPr>
        <w:rFonts w:ascii="Arial" w:cs="Arial" w:eastAsia="Arial" w:hAnsi="Arial"/>
        <w:color w:val="7F8C8D"/>
        <w:sz w:val="18"/>
        <w:szCs w:val="18"/>
      </w:rPr>
      <w:t xml:space="preserve">Bhapi AI Safety Portal — Post-MVP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2026-02-28T19:07:00.149Z</dcterms:created>
  <dcterms:modified xsi:type="dcterms:W3CDTF">2026-02-28T19:07:00.150Z</dcterms:modified>
</cp:coreProperties>
</file>

<file path=docProps/custom.xml><?xml version="1.0" encoding="utf-8"?>
<Properties xmlns="http://schemas.openxmlformats.org/officeDocument/2006/custom-properties" xmlns:vt="http://schemas.openxmlformats.org/officeDocument/2006/docPropsVTypes"/>
</file>