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Betriebsvereinbarung über die Betriebsdatenerfassung (BDE)</w:t>
      </w:r>
    </w:p>
    <w:p>
      <w:pPr>
        <w:pStyle w:val="Normal"/>
        <w:bidi w:val="0"/>
        <w:jc w:val="left"/>
        <w:rPr/>
      </w:pPr>
      <w:r>
        <w:rPr/>
        <w:t>E N T W U R F — Stand 12.02.2026 — noch nicht unterzeichnet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zwischen der Selkinghaus Federn- und Stanztechnik GmbH &amp; Co. KG, vertreten durch die Geschäftsführung,</w:t>
      </w:r>
    </w:p>
    <w:p>
      <w:pPr>
        <w:pStyle w:val="Normal"/>
        <w:bidi w:val="0"/>
        <w:jc w:val="left"/>
        <w:rPr/>
      </w:pPr>
      <w:r>
        <w:rPr/>
        <w:t>und dem Betriebsrat, vertreten durch den Vorsitzenden.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§ 1 Gegenstand</w:t>
      </w:r>
    </w:p>
    <w:p>
      <w:pPr>
        <w:pStyle w:val="Normal"/>
        <w:bidi w:val="0"/>
        <w:jc w:val="left"/>
        <w:rPr/>
      </w:pPr>
      <w:r>
        <w:rPr/>
        <w:t>Diese Vereinbarung regelt die Erfassung und Auswertung von Maschinen- und Auftragsdaten aus dem BDE-System.</w:t>
      </w:r>
    </w:p>
    <w:p>
      <w:pPr>
        <w:pStyle w:val="Heading2"/>
        <w:bidi w:val="0"/>
        <w:ind w:hanging="0" w:left="0"/>
        <w:jc w:val="left"/>
        <w:rPr/>
      </w:pPr>
      <w:r>
        <w:rPr/>
        <w:t>§ 2 Erfasste Daten</w:t>
      </w:r>
    </w:p>
    <w:p>
      <w:pPr>
        <w:pStyle w:val="Normal"/>
        <w:bidi w:val="0"/>
        <w:jc w:val="left"/>
        <w:rPr/>
      </w:pPr>
      <w:r>
        <w:rPr/>
        <w:t>Erfasst werden Maschinennummer, Auftragsnummer, Stückzahl, Gut-/Schlechtteile, Stillstandsgründe sowie die Personalnummer des anmeldenden Mitarbeiters.</w:t>
      </w:r>
    </w:p>
    <w:p>
      <w:pPr>
        <w:pStyle w:val="Heading2"/>
        <w:bidi w:val="0"/>
        <w:ind w:hanging="0" w:left="0"/>
        <w:jc w:val="left"/>
        <w:rPr/>
      </w:pPr>
      <w:r>
        <w:rPr/>
        <w:t>§ 3 Zweckbindung</w:t>
      </w:r>
    </w:p>
    <w:p>
      <w:pPr>
        <w:pStyle w:val="Normal"/>
        <w:bidi w:val="0"/>
        <w:jc w:val="left"/>
        <w:rPr/>
      </w:pPr>
      <w:r>
        <w:rPr/>
        <w:t>Eine personenbezogene Leistungs- oder Verhaltenskontrolle findet nicht statt. Auswertungen erfolgen ausschließlich maschinen- und auftragsbezogen.</w:t>
      </w:r>
    </w:p>
    <w:p>
      <w:pPr>
        <w:pStyle w:val="Heading2"/>
        <w:bidi w:val="0"/>
        <w:ind w:hanging="0" w:left="0"/>
        <w:jc w:val="left"/>
        <w:rPr/>
      </w:pPr>
      <w:r>
        <w:rPr/>
        <w:t>§ 4 Zugriff</w:t>
      </w:r>
    </w:p>
    <w:p>
      <w:pPr>
        <w:pStyle w:val="Normal"/>
        <w:bidi w:val="0"/>
        <w:jc w:val="left"/>
        <w:rPr/>
      </w:pPr>
      <w:r>
        <w:rPr/>
        <w:t>Zugriff auf personenbezogene Rohdaten haben ausschließlich die Geschäftsführung und die Personalabteilung. Der Betriebsrat erhält auf Verlangen Einsicht.</w:t>
      </w:r>
    </w:p>
    <w:p>
      <w:pPr>
        <w:pStyle w:val="Heading2"/>
        <w:bidi w:val="0"/>
        <w:ind w:hanging="0" w:left="0"/>
        <w:jc w:val="left"/>
        <w:rPr/>
      </w:pPr>
      <w:r>
        <w:rPr/>
        <w:t>§ 5 Inkrafttreten</w:t>
      </w:r>
    </w:p>
    <w:p>
      <w:pPr>
        <w:pStyle w:val="Normal"/>
        <w:bidi w:val="0"/>
        <w:jc w:val="left"/>
        <w:rPr/>
      </w:pPr>
      <w:r>
        <w:rPr/>
        <w:t>Diese Vereinbarung tritt mit Unterzeichnung durch beide Seiten in Kraft.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______________________ ______________________</w:t>
      </w:r>
    </w:p>
    <w:p>
      <w:pPr>
        <w:pStyle w:val="Normal"/>
        <w:bidi w:val="0"/>
        <w:jc w:val="left"/>
        <w:rPr/>
      </w:pPr>
      <w:r>
        <w:rPr/>
        <w:t>Geschäftsführung Betriebsrat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Anmerkung Personal (A. Kersting, 12.02.2026): Die QS wertet bereits nach § 2 aus. Bitte Unterschrift priorisieren.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