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Lastenheft Kontaktfeder</w:t>
      </w:r>
    </w:p>
    <w:p>
      <w:pPr>
        <w:pStyle w:val="Normal"/>
        <w:bidi w:val="0"/>
        <w:jc w:val="left"/>
        <w:rPr/>
      </w:pPr>
      <w:r>
        <w:rPr/>
        <w:t>Auftraggeber: Wittenbrink Antriebstechnik GmbH</w:t>
      </w:r>
    </w:p>
    <w:p>
      <w:pPr>
        <w:pStyle w:val="Normal"/>
        <w:bidi w:val="0"/>
        <w:jc w:val="left"/>
        <w:rPr/>
      </w:pPr>
      <w:r>
        <w:rPr/>
        <w:t>Revision 2 — 04.09.2025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1 Zweck</w:t>
      </w:r>
    </w:p>
    <w:p>
      <w:pPr>
        <w:pStyle w:val="Normal"/>
        <w:bidi w:val="0"/>
        <w:jc w:val="left"/>
        <w:rPr/>
      </w:pPr>
      <w:r>
        <w:rPr/>
        <w:t>Die Kontaktfeder stellt die elektrische Verbindung im Schaltgehäuse her. Sie muss über die gesamte Lebensdauer des Antriebs eine definierte Kontaktkraft aufbringen.</w:t>
      </w:r>
    </w:p>
    <w:p>
      <w:pPr>
        <w:pStyle w:val="Heading2"/>
        <w:bidi w:val="0"/>
        <w:ind w:hanging="0" w:left="0"/>
        <w:jc w:val="left"/>
        <w:rPr/>
      </w:pPr>
      <w:r>
        <w:rPr/>
        <w:t>2 Anforderungen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1807"/>
        <w:gridCol w:w="1355"/>
        <w:gridCol w:w="4067"/>
      </w:tblGrid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Nr.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Anforderung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Wert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Prüfung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2.1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Kontaktkraft bei Nennhub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2,4 N ± 0,3 N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Federprüfmaschine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2.2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Werkstoff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CuSn6 (2.1020)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Werkszeugnis 2.2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2.3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Oberfläche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elektrolytisch verzinnt, 3 µm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Schichtdickenmessung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2.4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Dauerfestigkeit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 Mio. Lastwechsel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Dauerlaufprüfung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2.5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Betriebstemperatur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-40 °C bis +105 °C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Klimawechseltest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>3 Mitgeltende Unterlagen</w:t>
      </w:r>
    </w:p>
    <w:p>
      <w:pPr>
        <w:pStyle w:val="Normal"/>
        <w:bidi w:val="0"/>
        <w:jc w:val="left"/>
        <w:rPr/>
      </w:pPr>
      <w:r>
        <w:rPr/>
        <w:t>DIN EN 13906-1, DIN EN ISO 2768-m.</w:t>
      </w:r>
    </w:p>
    <w:p>
      <w:pPr>
        <w:pStyle w:val="Heading2"/>
        <w:bidi w:val="0"/>
        <w:ind w:hanging="0" w:left="0"/>
        <w:jc w:val="left"/>
        <w:rPr/>
      </w:pPr>
      <w:r>
        <w:rPr/>
        <w:t>4 Offene Punkte</w:t>
      </w:r>
    </w:p>
    <w:p>
      <w:pPr>
        <w:pStyle w:val="Normal"/>
        <w:bidi w:val="0"/>
        <w:jc w:val="left"/>
        <w:rPr/>
      </w:pPr>
      <w:r>
        <w:rPr/>
        <w:t>Die Dauerlaufprüfung nach 2.4 kann Selkinghaus nicht im Haus durchführen. Vergabe an ein externes Labor ist noch nicht beauftragt. (Anmerkung J. Eickhoff, 04.09.2025)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