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Protokoll Managementbewertung 2025</w:t>
      </w:r>
    </w:p>
    <w:p>
      <w:pPr>
        <w:pStyle w:val="Normal"/>
        <w:bidi w:val="0"/>
        <w:jc w:val="left"/>
        <w:rPr/>
      </w:pPr>
      <w:r>
        <w:rPr/>
        <w:t>nach DIN EN ISO 9001:2015, Abschnitt 9.3</w:t>
      </w:r>
    </w:p>
    <w:p>
      <w:pPr>
        <w:pStyle w:val="Normal"/>
        <w:bidi w:val="0"/>
        <w:jc w:val="left"/>
        <w:rPr/>
      </w:pPr>
      <w:r>
        <w:rPr/>
        <w:t>Datum: 12.12.2025, Teilnehmer: Geschäftsführung, QMB, Fertigungsleitung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1 Kennzahlen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1807"/>
        <w:gridCol w:w="1355"/>
        <w:gridCol w:w="4067"/>
      </w:tblGrid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Kennzahl</w:t>
            </w:r>
          </w:p>
        </w:tc>
        <w:tc>
          <w:tcPr>
            <w:tcW w:w="180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2024</w:t>
            </w:r>
          </w:p>
        </w:tc>
        <w:tc>
          <w:tcPr>
            <w:tcW w:w="135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2025</w:t>
            </w:r>
          </w:p>
        </w:tc>
        <w:tc>
          <w:tcPr>
            <w:tcW w:w="406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Ziel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Liefertreue</w:t>
            </w:r>
          </w:p>
        </w:tc>
        <w:tc>
          <w:tcPr>
            <w:tcW w:w="180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93,1 %</w:t>
            </w:r>
          </w:p>
        </w:tc>
        <w:tc>
          <w:tcPr>
            <w:tcW w:w="135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91,4 %</w:t>
            </w:r>
          </w:p>
        </w:tc>
        <w:tc>
          <w:tcPr>
            <w:tcW w:w="406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≥ </w:t>
            </w:r>
            <w:r>
              <w:rPr/>
              <w:t>95 %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Ausschussquote</w:t>
            </w:r>
          </w:p>
        </w:tc>
        <w:tc>
          <w:tcPr>
            <w:tcW w:w="180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1,8 %</w:t>
            </w:r>
          </w:p>
        </w:tc>
        <w:tc>
          <w:tcPr>
            <w:tcW w:w="135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2,1 %</w:t>
            </w:r>
          </w:p>
        </w:tc>
        <w:tc>
          <w:tcPr>
            <w:tcW w:w="406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≤ </w:t>
            </w:r>
            <w:r>
              <w:rPr/>
              <w:t>1,5 %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Reklamationen (Stück)</w:t>
            </w:r>
          </w:p>
        </w:tc>
        <w:tc>
          <w:tcPr>
            <w:tcW w:w="180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17</w:t>
            </w:r>
          </w:p>
        </w:tc>
        <w:tc>
          <w:tcPr>
            <w:tcW w:w="135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19</w:t>
            </w:r>
          </w:p>
        </w:tc>
        <w:tc>
          <w:tcPr>
            <w:tcW w:w="406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≤ </w:t>
            </w:r>
            <w:r>
              <w:rPr/>
              <w:t>12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Kundenzufriedenheit</w:t>
            </w:r>
          </w:p>
        </w:tc>
        <w:tc>
          <w:tcPr>
            <w:tcW w:w="180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2,1</w:t>
            </w:r>
          </w:p>
        </w:tc>
        <w:tc>
          <w:tcPr>
            <w:tcW w:w="1355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2,3</w:t>
            </w:r>
          </w:p>
        </w:tc>
        <w:tc>
          <w:tcPr>
            <w:tcW w:w="406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≤ </w:t>
            </w:r>
            <w:r>
              <w:rPr/>
              <w:t>2,0</w:t>
            </w:r>
          </w:p>
        </w:tc>
      </w:tr>
    </w:tbl>
    <w:p>
      <w:pPr>
        <w:pStyle w:val="Heading2"/>
        <w:bidi w:val="0"/>
        <w:ind w:hanging="0" w:left="0"/>
        <w:jc w:val="left"/>
        <w:rPr/>
      </w:pPr>
      <w:r>
        <w:rPr/>
        <w:t>2 Bewertung</w:t>
      </w:r>
    </w:p>
    <w:p>
      <w:pPr>
        <w:pStyle w:val="Normal"/>
        <w:bidi w:val="0"/>
        <w:jc w:val="left"/>
        <w:rPr/>
      </w:pPr>
      <w:r>
        <w:rPr/>
        <w:t>Die Liefertreue hat sich verschlechtert. Ursache ist überwiegend der Engpass beim externen Verzinker. Eine zweite Bezugsquelle wurde 2024 beschlossen, aber nicht umgesetzt.</w:t>
      </w:r>
    </w:p>
    <w:p>
      <w:pPr>
        <w:pStyle w:val="Heading2"/>
        <w:bidi w:val="0"/>
        <w:ind w:hanging="0" w:left="0"/>
        <w:jc w:val="left"/>
        <w:rPr/>
      </w:pPr>
      <w:r>
        <w:rPr/>
        <w:t>3 Zertifizierung</w:t>
      </w:r>
    </w:p>
    <w:p>
      <w:pPr>
        <w:pStyle w:val="Normal"/>
        <w:bidi w:val="0"/>
        <w:jc w:val="left"/>
        <w:rPr/>
      </w:pPr>
      <w:r>
        <w:rPr/>
        <w:t>Der 2019 begonnene Anlauf zur IATF 16949 wurde aus Kostengründen abgebrochen. Die Automobilkunden decken ihre Forderungen über Kundenaudits ab. Eine Wiederaufnahme wird derzeit nicht verfolgt.</w:t>
      </w:r>
    </w:p>
    <w:p>
      <w:pPr>
        <w:pStyle w:val="Heading2"/>
        <w:bidi w:val="0"/>
        <w:ind w:hanging="0" w:left="0"/>
        <w:jc w:val="left"/>
        <w:rPr/>
      </w:pPr>
      <w:r>
        <w:rPr/>
        <w:t>4 Maßnahmen</w:t>
      </w:r>
    </w:p>
    <w:p>
      <w:pPr>
        <w:pStyle w:val="Normal"/>
        <w:bidi w:val="0"/>
        <w:jc w:val="left"/>
        <w:rPr/>
      </w:pPr>
      <w:r>
        <w:rPr/>
        <w:t>M1: Zweitlieferant Galvanik bis 30.06.2026 qualifizieren. Verantwortlich: Einkauf.</w:t>
      </w:r>
    </w:p>
    <w:p>
      <w:pPr>
        <w:pStyle w:val="Normal"/>
        <w:bidi w:val="0"/>
        <w:jc w:val="left"/>
        <w:rPr/>
      </w:pPr>
      <w:r>
        <w:rPr/>
        <w:t>M2: Prüfintervall AA-032 überprüfen; die Fertigung meldet Abweichungen zur freigegebenen Revision. Verantwortlich: QMB.</w:t>
      </w:r>
    </w:p>
    <w:p>
      <w:pPr>
        <w:pStyle w:val="Normal"/>
        <w:bidi w:val="0"/>
        <w:jc w:val="left"/>
        <w:rPr/>
      </w:pPr>
      <w:r>
        <w:rPr/>
        <w:t>M3: Nachfolge Kalkulation regeln. Verantwortlich: Geschäftsführung.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