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B2A4A"/>
          <w:sz w:val="48"/>
        </w:rPr>
        <w:t>LAIF COMPLIANCE TOOLKIT</w:t>
      </w:r>
    </w:p>
    <w:p>
      <w:pPr>
        <w:jc w:val="center"/>
      </w:pPr>
      <w:r>
        <w:rPr>
          <w:rFonts w:ascii="Arial" w:hAnsi="Arial"/>
          <w:color w:val="B8963E"/>
          <w:sz w:val="28"/>
        </w:rPr>
        <w:t>Operational Layer — Version 1.1  |  April 2026</w:t>
      </w:r>
    </w:p>
    <w:p>
      <w:pPr>
        <w:spacing w:before="160" w:after="160"/>
        <w:pBdr>
          <w:bottom w:val="single" w:sz="12" w:space="1" w:color="B8963E"/>
        </w:pBdr>
      </w:pPr>
    </w:p>
    <w:p>
      <w:pPr>
        <w:jc w:val="center"/>
      </w:pPr>
      <w:r>
        <w:rPr>
          <w:rFonts w:ascii="Georgia" w:hAnsi="Georgia"/>
          <w:i/>
          <w:color w:val="3D3D3D"/>
          <w:sz w:val="24"/>
        </w:rPr>
        <w:t>Subordinate to LAIF v1.2 Principal Text</w:t>
      </w:r>
    </w:p>
    <w:p>
      <w:pPr>
        <w:spacing w:before="400" w:after="0"/>
      </w:pPr>
    </w:p>
    <w:tbl>
      <w:tblPr>
        <w:tblStyle w:val="TableGrid"/>
        <w:tblW w:type="auto" w:w="0"/>
        <w:tblLook w:firstColumn="1" w:firstRow="1" w:lastColumn="0" w:lastRow="0" w:noHBand="0" w:noVBand="1" w:val="04A0"/>
      </w:tblPr>
      <w:tblGrid>
        <w:gridCol w:w="9648"/>
      </w:tblGrid>
      <w:tr>
        <w:tc>
          <w:tcPr>
            <w:tcW w:type="dxa" w:w="9648"/>
            <w:shd w:val="clear" w:color="auto" w:fill="F4F6FA"/>
            <w:tcBorders>
              <w:top w:val="single" w:sz="4" w:space="0" w:color="CCCCCC"/>
              <w:bottom w:val="single" w:sz="4" w:space="0" w:color="CCCCCC"/>
              <w:right w:val="single" w:sz="4" w:space="0" w:color="CCCCCC"/>
              <w:left w:val="single" w:sz="18" w:space="0" w:color="1B2A4A"/>
            </w:tcBorders>
          </w:tcPr>
          <w:p>
            <w:pPr>
              <w:spacing w:before="80" w:after="80"/>
              <w:jc w:val="both"/>
            </w:pPr>
            <w:r>
              <w:rPr>
                <w:rFonts w:ascii="Arial" w:hAnsi="Arial"/>
                <w:b/>
                <w:color w:val="1B2A4A"/>
                <w:sz w:val="20"/>
              </w:rPr>
              <w:t xml:space="preserve">Version 1.1 — What Changed  </w:t>
            </w:r>
            <w:r>
              <w:rPr>
                <w:rFonts w:ascii="Georgia" w:hAnsi="Georgia"/>
                <w:color w:val="3D3D3D"/>
                <w:sz w:val="20"/>
              </w:rPr>
              <w:t>This version adds Module 6 (Regulatory Integration Models — how the PDCA satisfies obligations under the EU AI Act, NIST AI RMF, and US federal requirements) and Module 7 (Adoption Incentives — the liability safe harbour, certification pathway, procurement conditioning, and PDCA tiering system). All existing Modules 1 through 5 are preserved intact.</w:t>
            </w:r>
          </w:p>
        </w:tc>
      </w:tr>
    </w:tbl>
    <w:p>
      <w:pPr>
        <w:spacing w:before="160" w:after="0"/>
      </w:pPr>
    </w:p>
    <w:p>
      <w:r>
        <w:br w:type="page"/>
      </w:r>
    </w:p>
    <w:p>
      <w:pPr>
        <w:pStyle w:val="Heading1"/>
      </w:pPr>
      <w:r>
        <w:rPr>
          <w:rFonts w:ascii="Arial" w:hAnsi="Arial"/>
          <w:color w:val="1B2A4A"/>
          <w:sz w:val="36"/>
        </w:rPr>
        <w:t>MODULE 1 — WORKING DEFINITIONS</w:t>
      </w:r>
    </w:p>
    <w:p>
      <w:pPr>
        <w:spacing w:before="160" w:after="160"/>
        <w:pBdr>
          <w:bottom w:val="single" w:sz="12" w:space="1" w:color="B8963E"/>
        </w:pBdr>
      </w:pPr>
    </w:p>
    <w:p>
      <w:pPr>
        <w:spacing w:before="120" w:after="0"/>
      </w:pPr>
    </w:p>
    <w:p>
      <w:pPr>
        <w:spacing w:before="80" w:after="120"/>
        <w:jc w:val="both"/>
      </w:pPr>
      <w:r>
        <w:rPr>
          <w:rFonts w:ascii="Georgia" w:hAnsi="Georgia"/>
          <w:b/>
          <w:color w:val="1B2A4A"/>
          <w:sz w:val="22"/>
        </w:rPr>
        <w:t xml:space="preserve">1.1  "Meaningful Account" (Provision A1)  </w:t>
      </w:r>
      <w:r>
        <w:rPr>
          <w:rFonts w:ascii="Georgia" w:hAnsi="Georgia"/>
          <w:color w:val="3D3D3D"/>
          <w:sz w:val="22"/>
        </w:rPr>
        <w:t>An account is meaningful for the purposes of Provision A1 if it satisfies four criteria cumulatively. First, it is comprehensible to a person without specialist technical knowledge in the domain relevant to the output. Second, it identifies the principal factors that influenced the output with sufficient specificity that the affected person can assess whether those factors are accurate in their case. Third, it quantifies or qualifies the degree of confidence or uncertainty associated with the output where such qualification is material to the decision the person will make in reliance on it. Fourth, it identifies the material limitations of the system relevant to the context — including known error rates, known demographic disparities in performance, and known capability boundaries. Sector-specific thresholds: Clinical outputs — explanation must identify the data inputs relied upon, the diagnostic reasoning applied, the system's known false positive and false negative rates in comparable populations, and the recommendation to seek human clinical review. Criminal justice outputs — explanation must identify all factors used in scoring, the weight assigned to each, demographic error rates in comparable populations, and the right to human review. Credit and insurance outputs — explanation must identify the factors that adversely affected the score, the counterfactual (what the applicant could do differently), and the right to request human review. Employment outputs — explanation must identify the assessment criteria applied, the factors that influenced the score, and the right to challenge through a human reviewer.</w:t>
      </w:r>
    </w:p>
    <w:p>
      <w:pPr>
        <w:spacing w:before="80" w:after="0"/>
      </w:pPr>
    </w:p>
    <w:p>
      <w:pPr>
        <w:spacing w:before="80" w:after="120"/>
        <w:jc w:val="both"/>
      </w:pPr>
      <w:r>
        <w:rPr>
          <w:rFonts w:ascii="Georgia" w:hAnsi="Georgia"/>
          <w:b/>
          <w:color w:val="1B2A4A"/>
          <w:sz w:val="22"/>
        </w:rPr>
        <w:t xml:space="preserve">1.2  "Materially Affects Interests" (Provisions A1 and A2)  </w:t>
      </w:r>
      <w:r>
        <w:rPr>
          <w:rFonts w:ascii="Georgia" w:hAnsi="Georgia"/>
          <w:color w:val="3D3D3D"/>
          <w:sz w:val="22"/>
        </w:rPr>
        <w:t>An AI output materially affects a person's interests when it influences, or is reasonably likely to influence, a decision that has legal, financial, health, reputational, or liberty consequences for that person. The test is objective — whether a reasonable person in the affected person's situation would regard the output as material — and does not depend on whether the operator intended the output to have material consequences. Outputs that materially affect interests include: credit and insurance decisions; employment selection, performance assessment, and termination decisions; clinical and diagnostic recommendations; criminal justice risk scores; benefit eligibility determinations; pricing decisions in contexts where the person has limited alternatives; and content moderation decisions affecting access to platforms material to economic or social participation.</w:t>
      </w:r>
    </w:p>
    <w:p>
      <w:pPr>
        <w:spacing w:before="80" w:after="0"/>
      </w:pPr>
    </w:p>
    <w:p>
      <w:pPr>
        <w:spacing w:before="80" w:after="120"/>
        <w:jc w:val="both"/>
      </w:pPr>
      <w:r>
        <w:rPr>
          <w:rFonts w:ascii="Georgia" w:hAnsi="Georgia"/>
          <w:b/>
          <w:color w:val="1B2A4A"/>
          <w:sz w:val="22"/>
        </w:rPr>
        <w:t xml:space="preserve">1.3  Structural Transparency — Operational Standard  </w:t>
      </w:r>
      <w:r>
        <w:rPr>
          <w:rFonts w:ascii="Georgia" w:hAnsi="Georgia"/>
          <w:color w:val="3D3D3D"/>
          <w:sz w:val="22"/>
        </w:rPr>
        <w:t>Plain language equivalent: the system can show its work. A system satisfies the structural transparency requirement of Integrity Layer 2.1 if it can produce, on request, a compliant meaningful account for any output it generates in a context where that output materially affects a person's interests; if its documented confidence and error characteristics are current (updated at least annually or following material system changes); and if its material limitations have been disclosed to operators in a form enabling disclosure to affected persons. A system does not satisfy structural transparency if its explanations are generated post-hoc by a separate explanation system and do not reliably reflect the actual basis of the output, or if its material limitations are disclosed only in technical documentation inaccessible to the affected person.</w:t>
      </w:r>
    </w:p>
    <w:p>
      <w:pPr>
        <w:spacing w:before="80" w:after="0"/>
      </w:pPr>
    </w:p>
    <w:p>
      <w:pPr>
        <w:spacing w:before="80" w:after="120"/>
        <w:jc w:val="both"/>
      </w:pPr>
      <w:r>
        <w:rPr>
          <w:rFonts w:ascii="Georgia" w:hAnsi="Georgia"/>
          <w:b/>
          <w:color w:val="1B2A4A"/>
          <w:sz w:val="22"/>
        </w:rPr>
        <w:t xml:space="preserve">1.4  Structural Honesty — Operational Standard  </w:t>
      </w:r>
      <w:r>
        <w:rPr>
          <w:rFonts w:ascii="Georgia" w:hAnsi="Georgia"/>
          <w:color w:val="3D3D3D"/>
          <w:sz w:val="22"/>
        </w:rPr>
        <w:t>Plain language equivalent: the system means what it says. A system satisfies the structural honesty requirement of Integrity Layer 2.2 if its stated optimisation objectives correspond to its actual implemented objectives as verified by independent review; if it performs consistently in adversarial testing environments (no material difference between performance under evaluation conditions and performance in normal deployment); and if it does not generate outputs misrepresenting its nature, capabilities, or the interests driving its deployment. A system that produces more honest, limited, or conservative outputs when it detects evaluation conditions does not satisfy this requirement.</w:t>
      </w:r>
    </w:p>
    <w:p>
      <w:pPr>
        <w:spacing w:before="80" w:after="0"/>
      </w:pPr>
    </w:p>
    <w:p>
      <w:pPr>
        <w:spacing w:before="80" w:after="120"/>
        <w:jc w:val="both"/>
      </w:pPr>
      <w:r>
        <w:rPr>
          <w:rFonts w:ascii="Georgia" w:hAnsi="Georgia"/>
          <w:b/>
          <w:color w:val="1B2A4A"/>
          <w:sz w:val="22"/>
        </w:rPr>
        <w:t xml:space="preserve">1.5  Structural Containment — Operational Standard  </w:t>
      </w:r>
      <w:r>
        <w:rPr>
          <w:rFonts w:ascii="Georgia" w:hAnsi="Georgia"/>
          <w:color w:val="3D3D3D"/>
          <w:sz w:val="22"/>
        </w:rPr>
        <w:t>Plain language equivalent: the system does what it is told and stays in its lane. A system satisfies the structural containment requirement of Integrity Layer 2.3 if it operates within documented operational boundaries in all tested conditions including edge cases and adversarial inputs; if it surfaces out-of-scope requests through designated channels rather than attempting to address them unilaterally; and if it does not initiate actions with materially irreversible consequences without triggering the authorisation process established in Provision D1. For agentic systems, containment also requires scope limitation mechanisms, action logging sufficient to support post-hoc human review, and interrupt mechanisms allowing human principals to halt the system at any point.</w:t>
      </w:r>
    </w:p>
    <w:p>
      <w:pPr>
        <w:spacing w:before="80" w:after="0"/>
      </w:pPr>
    </w:p>
    <w:p>
      <w:pPr>
        <w:spacing w:before="80" w:after="120"/>
        <w:jc w:val="both"/>
      </w:pPr>
      <w:r>
        <w:rPr>
          <w:rFonts w:ascii="Georgia" w:hAnsi="Georgia"/>
          <w:b/>
          <w:color w:val="1B2A4A"/>
          <w:sz w:val="22"/>
        </w:rPr>
        <w:t xml:space="preserve">1.6  "Acting Against User Interests" (Provision C3)  </w:t>
      </w:r>
      <w:r>
        <w:rPr>
          <w:rFonts w:ascii="Georgia" w:hAnsi="Georgia"/>
          <w:color w:val="3D3D3D"/>
          <w:sz w:val="22"/>
        </w:rPr>
        <w:t>An operator configuration acts against user interests for the purposes of Provision C3 when it optimises the system for metrics that the operator knows or ought to know are systematically in conflict with users' stated preferences or objective interests; when it withholds from users information that users would regard as material to their decisions; when it uses the system's outputs to steer users toward choices that benefit the operator and that users would not make if they had complete information; or when it configures the system to conceal the conflict of interest between operator and user objectives. The test is not whether the operator's objectives are commercially legitimate — commercial legitimacy is a necessary but not sufficient condition.</w:t>
      </w:r>
    </w:p>
    <w:p>
      <w:pPr>
        <w:spacing w:before="80" w:after="0"/>
      </w:pPr>
    </w:p>
    <w:p>
      <w:pPr>
        <w:spacing w:before="80" w:after="120"/>
        <w:jc w:val="both"/>
      </w:pPr>
      <w:r>
        <w:rPr>
          <w:rFonts w:ascii="Georgia" w:hAnsi="Georgia"/>
          <w:b/>
          <w:color w:val="1B2A4A"/>
          <w:sz w:val="22"/>
        </w:rPr>
        <w:t xml:space="preserve">1.7  "Substantially Irreversible" and Authorisation Levels (Provision D1)  </w:t>
      </w:r>
      <w:r>
        <w:rPr>
          <w:rFonts w:ascii="Georgia" w:hAnsi="Georgia"/>
          <w:color w:val="3D3D3D"/>
          <w:sz w:val="22"/>
        </w:rPr>
        <w:t>An action or its consequences are substantially irreversible when they cannot be remediated to restore the affected person or institution to their pre-action position within a reasonable timeframe, or when the probability that remediation will be incomplete exceeds the threshold appropriate to the stakes involved. The threshold is calibrated as follows: for actions with potential health or liberty consequences, the threshold is very low (high precaution required); for actions with financial consequences, the threshold reflects the magnitude of loss and the affected person's vulnerability; for actions with democratic or institutional consequences, the threshold is lowest (maximum precaution required). Authorisation level required scales from individual or team responsible for the deployment (actions affecting a single person), to senior leadership (actions affecting a class of persons), to governance body or regulatory authority (actions affecting a population or institution).</w:t>
      </w:r>
    </w:p>
    <w:p>
      <w:pPr>
        <w:spacing w:before="80" w:after="0"/>
      </w:pPr>
    </w:p>
    <w:p>
      <w:r>
        <w:br w:type="page"/>
      </w:r>
    </w:p>
    <w:p>
      <w:pPr>
        <w:pStyle w:val="Heading1"/>
      </w:pPr>
      <w:r>
        <w:rPr>
          <w:rFonts w:ascii="Arial" w:hAnsi="Arial"/>
          <w:color w:val="1B2A4A"/>
          <w:sz w:val="36"/>
        </w:rPr>
        <w:t>MODULE 2 — PRE-DEPLOYMENT COHERENCE ASSESSMENT (PDCA)</w:t>
      </w:r>
    </w:p>
    <w:p>
      <w:pPr>
        <w:spacing w:before="160" w:after="160"/>
        <w:pBdr>
          <w:bottom w:val="single" w:sz="12" w:space="1" w:color="B8963E"/>
        </w:pBdr>
      </w:pPr>
    </w:p>
    <w:p>
      <w:pPr>
        <w:spacing w:before="120" w:after="0"/>
      </w:pPr>
    </w:p>
    <w:p>
      <w:pPr>
        <w:spacing w:before="80" w:after="120"/>
        <w:jc w:val="both"/>
      </w:pPr>
      <w:r>
        <w:rPr>
          <w:rFonts w:ascii="Georgia" w:hAnsi="Georgia"/>
          <w:b/>
          <w:color w:val="1B2A4A"/>
          <w:sz w:val="22"/>
        </w:rPr>
        <w:t xml:space="preserve">Purpose and Tiering  </w:t>
      </w:r>
      <w:r>
        <w:rPr>
          <w:rFonts w:ascii="Georgia" w:hAnsi="Georgia"/>
          <w:color w:val="3D3D3D"/>
          <w:sz w:val="22"/>
        </w:rPr>
        <w:t>The PDCA is the primary compliance instrument for operators preparing to deploy an AI system in a context governed by LAIF. It operationalises the Coherence Test as a structured documentation process requiring cross-functional sign-off. The PDCA must be completed before deployment and updated whenever the system, its configuration, its deployment context, or its intended use materially changes. See Module 7 for PDCA tiering guidance (PDCA-Full, PDCA-Standard, PDCA-Lite) calibrated to deployment stakes.</w:t>
      </w:r>
    </w:p>
    <w:p>
      <w:pPr>
        <w:spacing w:before="80" w:after="0"/>
      </w:pPr>
    </w:p>
    <w:p>
      <w:pPr>
        <w:spacing w:before="80" w:after="120"/>
        <w:jc w:val="both"/>
      </w:pPr>
      <w:r>
        <w:rPr>
          <w:rFonts w:ascii="Georgia" w:hAnsi="Georgia"/>
          <w:b/>
          <w:color w:val="1B2A4A"/>
          <w:sz w:val="22"/>
        </w:rPr>
        <w:t xml:space="preserve">Section A — Integrity Layer Verification  </w:t>
      </w:r>
      <w:r>
        <w:rPr>
          <w:rFonts w:ascii="Georgia" w:hAnsi="Georgia"/>
          <w:color w:val="3D3D3D"/>
          <w:sz w:val="22"/>
        </w:rPr>
        <w:t>A.1 Structural Transparency: Confirm that (i) the system can produce a compliant meaningful account for any output materially affecting a person's interests; (ii) the system's confidence and error characteristics are current; (iii) material limitations have been disclosed to operators in a form enabling disclosure to affected persons; (iv) the explanation produced reliably reflects the actual basis of the output, verified by independent testing. A.2 Structural Honesty: Confirm that (i) the system's stated optimisation objectives correspond to its actual implemented objectives; (ii) the system performs consistently in adversarial testing environments; (iii) the system does not generate outputs misrepresenting its nature, capabilities, or the interests driving its deployment. A.3 Structural Containment: Confirm that (i) the system operates within documented operational boundaries in all tested conditions including edge cases; (ii) the system surfaces out-of-scope requests through designated channels; (iii) for agentic systems, scope limitation mechanisms, action logging, and interrupt mechanisms are in place and tested.</w:t>
      </w:r>
    </w:p>
    <w:p>
      <w:pPr>
        <w:spacing w:before="80" w:after="0"/>
      </w:pPr>
    </w:p>
    <w:p>
      <w:pPr>
        <w:spacing w:before="80" w:after="120"/>
        <w:jc w:val="both"/>
      </w:pPr>
      <w:r>
        <w:rPr>
          <w:rFonts w:ascii="Georgia" w:hAnsi="Georgia"/>
          <w:b/>
          <w:color w:val="1B2A4A"/>
          <w:sz w:val="22"/>
        </w:rPr>
        <w:t xml:space="preserve">Section B — Coherence Test Documentation  </w:t>
      </w:r>
      <w:r>
        <w:rPr>
          <w:rFonts w:ascii="Georgia" w:hAnsi="Georgia"/>
          <w:color w:val="3D3D3D"/>
          <w:sz w:val="22"/>
        </w:rPr>
        <w:t>B.1 Coupling: State the specific human interest this deployment is designed to serve. Identify the constraint provisions that apply. Identify the enabling provisions that protect the human interest identified, and confirm that each has equivalent normative force to the constraint it is paired with. Confirm that the coupling is structural rather than rhetorical. B.2 Consistency: Describe the reasoning that justifies this deployment at its intended scale. Apply the consistency test at smaller and larger scales. Confirm the aggregate results of universal application would be acceptable. B.3 Reversibility: Identify all actions this system can take or influence that may produce substantially irreversible consequences. For each such action, specify the authorisation level required, the authorisation obtained and documented, and the compensating protections established.</w:t>
      </w:r>
    </w:p>
    <w:p>
      <w:pPr>
        <w:spacing w:before="80" w:after="0"/>
      </w:pPr>
    </w:p>
    <w:p>
      <w:pPr>
        <w:spacing w:before="80" w:after="120"/>
        <w:jc w:val="both"/>
      </w:pPr>
      <w:r>
        <w:rPr>
          <w:rFonts w:ascii="Georgia" w:hAnsi="Georgia"/>
          <w:b/>
          <w:color w:val="1B2A4A"/>
          <w:sz w:val="22"/>
        </w:rPr>
        <w:t xml:space="preserve">Section C — Provision Layer Compliance  </w:t>
      </w:r>
      <w:r>
        <w:rPr>
          <w:rFonts w:ascii="Georgia" w:hAnsi="Georgia"/>
          <w:color w:val="3D3D3D"/>
          <w:sz w:val="22"/>
        </w:rPr>
        <w:t>C.1 Provision Set A (Human Agency): Users are informed that an AI system is involved in generating outputs that materially affect their interests; users can request a meaningful account on demand; no manipulative or deceptive techniques are employed; users are informed of the system's material interests and optimisation objectives that could affect outputs. C.2 Provision Set B (Harm Prevention): The system is not capable of providing material assistance to mass-casualty weapons development; the system has been tested for discriminatory output patterns, with results documented; the deployment does not concentrate power in ways that structurally foreclose contestation. C.3 Provision Set C (Oversight): The system does not obstruct oversight mechanisms; conflicts with the Integrity Layer can be surfaced through designated channels; no operator configuration deceives oversight authorities or acts against users' interests to advance operator interests. C.4 Provision Set D (Reversibility): All substantially irreversible actions require authorisation at the appropriate level; the deployment preserves the capacity of future actors to revise it; no governance arrangement permanently forecloses future regulatory revision.</w:t>
      </w:r>
    </w:p>
    <w:p>
      <w:pPr>
        <w:spacing w:before="80" w:after="0"/>
      </w:pPr>
    </w:p>
    <w:p>
      <w:pPr>
        <w:spacing w:before="80" w:after="120"/>
        <w:jc w:val="both"/>
      </w:pPr>
      <w:r>
        <w:rPr>
          <w:rFonts w:ascii="Georgia" w:hAnsi="Georgia"/>
          <w:b/>
          <w:color w:val="1B2A4A"/>
          <w:sz w:val="22"/>
        </w:rPr>
        <w:t xml:space="preserve">Section D — PDCA Sign-Off  </w:t>
      </w:r>
      <w:r>
        <w:rPr>
          <w:rFonts w:ascii="Georgia" w:hAnsi="Georgia"/>
          <w:color w:val="3D3D3D"/>
          <w:sz w:val="22"/>
        </w:rPr>
        <w:t>The following roles must review and sign off before deployment proceeds. Technical Lead: confirms Sections A and C technical accuracy. Legal Counsel: confirms Section B legal adequacy and Section C regulatory compliance. Senior Responsible Officer: confirms overall PDCA completeness and authorises deployment. Data Protection/Privacy Officer where applicable. Independent Reviewer for PDCA-Full (high-stakes deployments): confirms that the coupling documentation identifies a genuine and specific human interest, that the consistency reasoning survives scrutiny at smaller and larger scales, and that the evidence supporting each verification is adequate. High-stakes deployments requiring Independent Reviewer sign-off: deployments where system outputs may materially affect the liberty, health, employment status or income, educational progression, or benefit entitlements of any person.</w:t>
      </w:r>
    </w:p>
    <w:p>
      <w:pPr>
        <w:spacing w:before="80" w:after="0"/>
      </w:pPr>
    </w:p>
    <w:p>
      <w:r>
        <w:br w:type="page"/>
      </w:r>
    </w:p>
    <w:p>
      <w:pPr>
        <w:pStyle w:val="Heading1"/>
      </w:pPr>
      <w:r>
        <w:rPr>
          <w:rFonts w:ascii="Arial" w:hAnsi="Arial"/>
          <w:color w:val="1B2A4A"/>
          <w:sz w:val="36"/>
        </w:rPr>
        <w:t>MODULE 3 — ONGOING MONITORING PROTOCOL</w:t>
      </w:r>
    </w:p>
    <w:p>
      <w:pPr>
        <w:spacing w:before="160" w:after="160"/>
        <w:pBdr>
          <w:bottom w:val="single" w:sz="12" w:space="1" w:color="B8963E"/>
        </w:pBdr>
      </w:pPr>
    </w:p>
    <w:p>
      <w:pPr>
        <w:spacing w:before="120" w:after="0"/>
      </w:pPr>
    </w:p>
    <w:p>
      <w:pPr>
        <w:spacing w:before="80" w:after="120"/>
        <w:jc w:val="both"/>
      </w:pPr>
      <w:r>
        <w:rPr>
          <w:rFonts w:ascii="Georgia" w:hAnsi="Georgia"/>
          <w:b/>
          <w:color w:val="1B2A4A"/>
          <w:sz w:val="22"/>
        </w:rPr>
        <w:t xml:space="preserve">3.1  Performance Monitoring Requirements  </w:t>
      </w:r>
      <w:r>
        <w:rPr>
          <w:rFonts w:ascii="Georgia" w:hAnsi="Georgia"/>
          <w:color w:val="3D3D3D"/>
          <w:sz w:val="22"/>
        </w:rPr>
        <w:t>Operators must maintain, throughout the operational life of any deployment governed by LAIF, a monitoring regime that captures: explanation adequacy (ongoing sampling of user feedback on the clarity and utility of explanations, with remediation processes for explanation failures); discrimination monitoring (minimum quarterly analysis of system outputs for demographic disparities across the protected characteristics identified in Provision B2, with defined remediation thresholds and escalation procedures); containment integrity (minimum monthly review for actions outside documented operational boundaries, with defined escalation procedures for boundary violations); reversibility incident tracking (documentation and escalation of all instances where the system took or influenced substantially irreversible actions); and user complaint and contestation tracking (documentation of all user challenges to AI outputs that materially affected their interests, with analysis of patterns and remediation of systemic issues).</w:t>
      </w:r>
    </w:p>
    <w:p>
      <w:pPr>
        <w:spacing w:before="80" w:after="0"/>
      </w:pPr>
    </w:p>
    <w:p>
      <w:pPr>
        <w:spacing w:before="80" w:after="120"/>
        <w:jc w:val="both"/>
      </w:pPr>
      <w:r>
        <w:rPr>
          <w:rFonts w:ascii="Georgia" w:hAnsi="Georgia"/>
          <w:b/>
          <w:color w:val="1B2A4A"/>
          <w:sz w:val="22"/>
        </w:rPr>
        <w:t xml:space="preserve">3.2  Material Change Review  </w:t>
      </w:r>
      <w:r>
        <w:rPr>
          <w:rFonts w:ascii="Georgia" w:hAnsi="Georgia"/>
          <w:color w:val="3D3D3D"/>
          <w:sz w:val="22"/>
        </w:rPr>
        <w:t>The PDCA must be reviewed and resubmitted whenever any of the following material changes occur: a change to the system's model, training data, or objective function; a change to the deployment context that extends the range of decisions the system's outputs influence; a regulatory change in the jurisdiction of deployment that affects applicable standards; or the identification of a systematic failure mode or discriminatory pattern not present in the original PDCA assessment.</w:t>
      </w:r>
    </w:p>
    <w:p>
      <w:pPr>
        <w:spacing w:before="80" w:after="0"/>
      </w:pPr>
    </w:p>
    <w:p>
      <w:pPr>
        <w:spacing w:before="80" w:after="120"/>
        <w:jc w:val="both"/>
      </w:pPr>
      <w:r>
        <w:rPr>
          <w:rFonts w:ascii="Georgia" w:hAnsi="Georgia"/>
          <w:b/>
          <w:color w:val="1B2A4A"/>
          <w:sz w:val="22"/>
        </w:rPr>
        <w:t xml:space="preserve">3.3  Annual Review  </w:t>
      </w:r>
      <w:r>
        <w:rPr>
          <w:rFonts w:ascii="Georgia" w:hAnsi="Georgia"/>
          <w:color w:val="3D3D3D"/>
          <w:sz w:val="22"/>
        </w:rPr>
        <w:t>An annual review of all active PDCAs must be conducted by each operator. The annual review must confirm: that monitoring results are within acceptable parameters as defined in the PDCA; that the coupling documentation remains accurate; that the consistency reasoning has been reviewed against any new regulatory or judicial developments in comparable contexts; and that the reversibility assessments remain adequate. Annual review findings must be documented and retained for a minimum of five years.</w:t>
      </w:r>
    </w:p>
    <w:p>
      <w:pPr>
        <w:spacing w:before="80" w:after="0"/>
      </w:pPr>
    </w:p>
    <w:p>
      <w:r>
        <w:br w:type="page"/>
      </w:r>
    </w:p>
    <w:p>
      <w:pPr>
        <w:pStyle w:val="Heading1"/>
      </w:pPr>
      <w:r>
        <w:rPr>
          <w:rFonts w:ascii="Arial" w:hAnsi="Arial"/>
          <w:color w:val="1B2A4A"/>
          <w:sz w:val="36"/>
        </w:rPr>
        <w:t>MODULE 4 — ENFORCEMENT REFERENCE MODEL</w:t>
      </w:r>
    </w:p>
    <w:p>
      <w:pPr>
        <w:spacing w:before="160" w:after="160"/>
        <w:pBdr>
          <w:bottom w:val="single" w:sz="12" w:space="1" w:color="B8963E"/>
        </w:pBdr>
      </w:pPr>
    </w:p>
    <w:p>
      <w:pPr>
        <w:spacing w:before="120" w:after="0"/>
      </w:pPr>
    </w:p>
    <w:p>
      <w:pPr>
        <w:spacing w:before="80" w:after="120"/>
        <w:jc w:val="both"/>
      </w:pPr>
      <w:r>
        <w:rPr>
          <w:rFonts w:ascii="Georgia" w:hAnsi="Georgia"/>
          <w:b/>
          <w:color w:val="1B2A4A"/>
          <w:sz w:val="22"/>
        </w:rPr>
        <w:t xml:space="preserve">4.1  Violation Classification  </w:t>
      </w:r>
      <w:r>
        <w:rPr>
          <w:rFonts w:ascii="Georgia" w:hAnsi="Georgia"/>
          <w:color w:val="3D3D3D"/>
          <w:sz w:val="22"/>
        </w:rPr>
        <w:t>Level 1 — Minor Structural Departure: a departure producing or risking limited, readily remediable harm to a small number of affected persons, identified and corrected promptly through internal compliance processes. Addressed through internal remediation and monitoring, with documentation retained for annual review. Level 2 — Significant Structural Violation: a departure producing or risking substantial harm to a class of affected persons; involving a provision at the core of the framework's architecture; or persisting after identification. Requires notification to the relevant oversight body, independent assessment of the remediation plan, and public reporting. Level 3 — Aggravated Structural Violation: a departure producing or risking irreversible harm to a class of persons; involving conduct by a regulatory body subject to the self-application requirement; involving continuation of a known violation after identification; or involving deliberate misrepresentation to oversight authorities. Requires suspension of the relevant deployment pending remediation, investigation by an independent body, mandatory public disclosure, and a restoration plan reviewed and approved by the oversight authority.</w:t>
      </w:r>
    </w:p>
    <w:p>
      <w:pPr>
        <w:spacing w:before="80" w:after="0"/>
      </w:pPr>
    </w:p>
    <w:p>
      <w:pPr>
        <w:spacing w:before="80" w:after="120"/>
        <w:jc w:val="both"/>
      </w:pPr>
      <w:r>
        <w:rPr>
          <w:rFonts w:ascii="Georgia" w:hAnsi="Georgia"/>
          <w:b/>
          <w:color w:val="1B2A4A"/>
          <w:sz w:val="22"/>
        </w:rPr>
        <w:t xml:space="preserve">4.2  Restoration Requirements  </w:t>
      </w:r>
      <w:r>
        <w:rPr>
          <w:rFonts w:ascii="Georgia" w:hAnsi="Georgia"/>
          <w:color w:val="3D3D3D"/>
          <w:sz w:val="22"/>
        </w:rPr>
        <w:t>Level 1: Internal remediation of the structural condition, with documentation that the remediation is complete and verified. Level 2: Remediation plan developed in consultation with the oversight body, with independent verification of completion, and measures specifically addressing harm to affected persons. Level 3: Restoration plan must address individual harm to identified affected persons; structural harm to institutions or communities affected; reconstruction of any oversight mechanisms compromised by the violation; and systemic measures to prevent recurrence. Restoration is not complete until the oversight authority has confirmed, following independent assessment, that the structural condition has been restored.</w:t>
      </w:r>
    </w:p>
    <w:p>
      <w:pPr>
        <w:spacing w:before="80" w:after="0"/>
      </w:pPr>
    </w:p>
    <w:p>
      <w:pPr>
        <w:spacing w:before="80" w:after="120"/>
        <w:jc w:val="both"/>
      </w:pPr>
      <w:r>
        <w:rPr>
          <w:rFonts w:ascii="Georgia" w:hAnsi="Georgia"/>
          <w:b/>
          <w:color w:val="1B2A4A"/>
          <w:sz w:val="22"/>
        </w:rPr>
        <w:t xml:space="preserve">4.3  Reference Enforcement Pathway  </w:t>
      </w:r>
      <w:r>
        <w:rPr>
          <w:rFonts w:ascii="Georgia" w:hAnsi="Georgia"/>
          <w:color w:val="3D3D3D"/>
          <w:sz w:val="22"/>
        </w:rPr>
        <w:t>Step 1 — Detection: Violation identified through internal monitoring, user complaint, regulatory inspection, or third-party report. Step 2 — Initial Assessment: Operator or oversight body assesses the violation against the three-level classification. Step 3 — Interim Measures: For Level 3 and ongoing Level 2 violations, the oversight body may require immediate suspension pending full assessment. Step 4 — Formal Investigation: Full investigation conducted; the affected operator has the right to provide representations before findings are finalised. Step 5 — Enforcement Decision: Findings issued and enforcement response determined, applying the proportionality framework of Part Seven section 7.2; the enforcement decision includes a restoration requirement. Step 6 — Restoration Monitoring: The oversight body monitors implementation of the restoration plan, with authority to extend suspension until restoration is confirmed. Step 7 — Post-Restoration Review: The operator submits a revised PDCA demonstrating that the structural conditions enabling the violation have been addressed, subject to independent review before the deployment resumes.</w:t>
      </w:r>
    </w:p>
    <w:p>
      <w:pPr>
        <w:spacing w:before="80" w:after="0"/>
      </w:pPr>
    </w:p>
    <w:p>
      <w:r>
        <w:br w:type="page"/>
      </w:r>
    </w:p>
    <w:p>
      <w:pPr>
        <w:pStyle w:val="Heading1"/>
      </w:pPr>
      <w:r>
        <w:rPr>
          <w:rFonts w:ascii="Arial" w:hAnsi="Arial"/>
          <w:color w:val="1B2A4A"/>
          <w:sz w:val="36"/>
        </w:rPr>
        <w:t>MODULE 5 — COHERENCE TEST DECISION GUIDE</w:t>
      </w:r>
    </w:p>
    <w:p>
      <w:pPr>
        <w:spacing w:before="160" w:after="160"/>
        <w:pBdr>
          <w:bottom w:val="single" w:sz="12" w:space="1" w:color="B8963E"/>
        </w:pBdr>
      </w:pPr>
    </w:p>
    <w:p>
      <w:pPr>
        <w:spacing w:before="120" w:after="0"/>
      </w:pPr>
    </w:p>
    <w:p>
      <w:pPr>
        <w:spacing w:before="80" w:after="120"/>
        <w:jc w:val="both"/>
      </w:pPr>
      <w:r>
        <w:rPr>
          <w:rFonts w:ascii="Georgia" w:hAnsi="Georgia"/>
          <w:b/>
          <w:color w:val="1B2A4A"/>
          <w:sz w:val="22"/>
        </w:rPr>
        <w:t xml:space="preserve">Purpose  </w:t>
      </w:r>
      <w:r>
        <w:rPr>
          <w:rFonts w:ascii="Georgia" w:hAnsi="Georgia"/>
          <w:color w:val="3D3D3D"/>
          <w:sz w:val="22"/>
        </w:rPr>
        <w:t>This guide provides a structured decision pathway for applying the Coherence Test to specific governance questions. It is designed for compliance teams, regulators, and legal counsel assessing whether a proposed action, policy, or deployment is consistent with LAIF.</w:t>
      </w:r>
    </w:p>
    <w:p>
      <w:pPr>
        <w:spacing w:before="80" w:after="0"/>
      </w:pPr>
    </w:p>
    <w:p>
      <w:pPr>
        <w:spacing w:before="80" w:after="120"/>
        <w:jc w:val="both"/>
      </w:pPr>
      <w:r>
        <w:rPr>
          <w:rFonts w:ascii="Georgia" w:hAnsi="Georgia"/>
          <w:b/>
          <w:color w:val="1B2A4A"/>
          <w:sz w:val="22"/>
        </w:rPr>
        <w:t xml:space="preserve">Step 1 — Identify the Question  </w:t>
      </w:r>
      <w:r>
        <w:rPr>
          <w:rFonts w:ascii="Georgia" w:hAnsi="Georgia"/>
          <w:color w:val="3D3D3D"/>
          <w:sz w:val="22"/>
        </w:rPr>
        <w:t>State the action, policy, or deployment under assessment in concrete terms: What is the system or policy doing? To whom does it apply? In what context? What are its foreseeable consequences?</w:t>
      </w:r>
    </w:p>
    <w:p>
      <w:pPr>
        <w:spacing w:before="80" w:after="0"/>
      </w:pPr>
    </w:p>
    <w:p>
      <w:pPr>
        <w:spacing w:before="80" w:after="120"/>
        <w:jc w:val="both"/>
      </w:pPr>
      <w:r>
        <w:rPr>
          <w:rFonts w:ascii="Georgia" w:hAnsi="Georgia"/>
          <w:b/>
          <w:color w:val="1B2A4A"/>
          <w:sz w:val="22"/>
        </w:rPr>
        <w:t xml:space="preserve">Step 2 — Apply Question One (Coupling)  </w:t>
      </w:r>
      <w:r>
        <w:rPr>
          <w:rFonts w:ascii="Georgia" w:hAnsi="Georgia"/>
          <w:color w:val="3D3D3D"/>
          <w:sz w:val="22"/>
        </w:rPr>
        <w:t>(a) What specific human interest does this action protect? Name it with specificity — not 'safety' but 'the patient's interest in receiving treatment decisions based on accurate clinical assessment.' (b) Is there a provision protecting that interest with equivalent normative force to the provision that authorises the action? (c) If the action extends an enablement: what limit applies, and does that limit have equivalent force? If you cannot answer (a) with specificity, or cannot answer (b) or (c) affirmatively: the action fails the coupling question and requires redesign before proceeding.</w:t>
      </w:r>
    </w:p>
    <w:p>
      <w:pPr>
        <w:spacing w:before="80" w:after="0"/>
      </w:pPr>
    </w:p>
    <w:p>
      <w:pPr>
        <w:spacing w:before="80" w:after="120"/>
        <w:jc w:val="both"/>
      </w:pPr>
      <w:r>
        <w:rPr>
          <w:rFonts w:ascii="Georgia" w:hAnsi="Georgia"/>
          <w:b/>
          <w:color w:val="1B2A4A"/>
          <w:sz w:val="22"/>
        </w:rPr>
        <w:t xml:space="preserve">Step 3 — Apply Question Two (Consistency)  </w:t>
      </w:r>
      <w:r>
        <w:rPr>
          <w:rFonts w:ascii="Georgia" w:hAnsi="Georgia"/>
          <w:color w:val="3D3D3D"/>
          <w:sz w:val="22"/>
        </w:rPr>
        <w:t>(a) Formulate the reasoning that justifies this action at its intended scale. (b) Apply that reasoning to the smallest comparable actor: if a micro-enterprise were subject to exactly the same logic, would the result be defensible? (c) Apply that reasoning universally: if the same logic were applied to all comparable situations, would the aggregate results be acceptable under the same governance principles that justify the action in this case? If (b) or (c) produces a negative answer: the action fails the consistency question.</w:t>
      </w:r>
    </w:p>
    <w:p>
      <w:pPr>
        <w:spacing w:before="80" w:after="0"/>
      </w:pPr>
    </w:p>
    <w:p>
      <w:pPr>
        <w:spacing w:before="80" w:after="120"/>
        <w:jc w:val="both"/>
      </w:pPr>
      <w:r>
        <w:rPr>
          <w:rFonts w:ascii="Georgia" w:hAnsi="Georgia"/>
          <w:b/>
          <w:color w:val="1B2A4A"/>
          <w:sz w:val="22"/>
        </w:rPr>
        <w:t xml:space="preserve">Step 4 — Apply Question Three (Reversibility)  </w:t>
      </w:r>
      <w:r>
        <w:rPr>
          <w:rFonts w:ascii="Georgia" w:hAnsi="Georgia"/>
          <w:color w:val="3D3D3D"/>
          <w:sz w:val="22"/>
        </w:rPr>
        <w:t>(a) Identify all consequences of the action that are substantially irreversible. (b) For each irreversible consequence: what authorisation level is required? Has that authorisation been obtained and documented? (c) Does the action, or any governance arrangement it creates, permanently foreclose the capacity of future actors to revise it? If (a) identifies irreversible consequences without documented authorisation at the required level, or if (c) produces an affirmative answer: the action fails the reversibility question.</w:t>
      </w:r>
    </w:p>
    <w:p>
      <w:pPr>
        <w:spacing w:before="80" w:after="0"/>
      </w:pPr>
    </w:p>
    <w:p>
      <w:pPr>
        <w:spacing w:before="80" w:after="120"/>
        <w:jc w:val="both"/>
      </w:pPr>
      <w:r>
        <w:rPr>
          <w:rFonts w:ascii="Georgia" w:hAnsi="Georgia"/>
          <w:b/>
          <w:color w:val="1B2A4A"/>
          <w:sz w:val="22"/>
        </w:rPr>
        <w:t xml:space="preserve">Step 5 — Determine Verdict  </w:t>
      </w:r>
      <w:r>
        <w:rPr>
          <w:rFonts w:ascii="Georgia" w:hAnsi="Georgia"/>
          <w:color w:val="3D3D3D"/>
          <w:sz w:val="22"/>
        </w:rPr>
        <w:t>All three questions satisfied: the action is consistent with LAIF — document the assessment and retain with the PDCA. One question unsatisfied: the action is not consistent with LAIF in its current form — identify the specific redesign required and reassess after redesign. Multiple questions unsatisfied: the action requires fundamental redesign — escalate to senior leadership and legal counsel and do not proceed in its current form.</w:t>
      </w:r>
    </w:p>
    <w:p>
      <w:pPr>
        <w:spacing w:before="80" w:after="0"/>
      </w:pPr>
    </w:p>
    <w:p>
      <w:r>
        <w:br w:type="page"/>
      </w:r>
    </w:p>
    <w:p>
      <w:pPr>
        <w:pStyle w:val="Heading1"/>
      </w:pPr>
      <w:r>
        <w:rPr>
          <w:rFonts w:ascii="Arial" w:hAnsi="Arial"/>
          <w:color w:val="1B2A4A"/>
          <w:sz w:val="36"/>
        </w:rPr>
        <w:t>MODULE 6 — REGULATORY INTEGRATION MODELS</w:t>
      </w:r>
    </w:p>
    <w:p>
      <w:pPr>
        <w:spacing w:before="160" w:after="160"/>
        <w:pBdr>
          <w:bottom w:val="single" w:sz="12" w:space="1" w:color="B8963E"/>
        </w:pBdr>
      </w:pPr>
    </w:p>
    <w:p>
      <w:pPr>
        <w:spacing w:before="120" w:after="0"/>
      </w:pPr>
    </w:p>
    <w:p>
      <w:pPr>
        <w:spacing w:before="80" w:after="120"/>
        <w:jc w:val="both"/>
      </w:pPr>
      <w:r>
        <w:rPr>
          <w:rFonts w:ascii="Georgia" w:hAnsi="Georgia"/>
          <w:b/>
          <w:color w:val="1B2A4A"/>
          <w:sz w:val="22"/>
        </w:rPr>
        <w:t xml:space="preserve">6.1  EU AI Act (Regulation 2024/1689)  </w:t>
      </w:r>
      <w:r>
        <w:rPr>
          <w:rFonts w:ascii="Georgia" w:hAnsi="Georgia"/>
          <w:color w:val="3D3D3D"/>
          <w:sz w:val="22"/>
        </w:rPr>
        <w:t>The PDCA satisfies and extends several EU AI Act requirements. Article 9 (Risk Management System) requires providers of high-risk AI systems to establish, implement, document, and maintain a risk management system throughout the system lifecycle. The PDCA's Section A maps directly to Article 9's identification and analysis of known and reasonably foreseeable risks; Section B extends Article 9 by requiring explicit identification of the human interest protected by each deployment constraint. Article 10 (Data and Data Governance) requires examination of data for biases likely to affect health, safety, or fundamental rights; the PDCA's Section C.2 requires discrimination testing and documentation of results, satisfying and extending this requirement. Articles 13 and 86 (Transparency and Right to Explanation) require transparency and explanation rights; the LAIF Provision A1 and the working definition of 'meaningful account' establish a more stringent and non-waivable standard that subsumes and exceeds these articles. Article 17 (Quality Management System) requires quality management documentation; the PDCA's sign-off requirements, ongoing monitoring protocol, and annual review collectively constitute a quality management system satisfying Article 17. For jurisdictions within EU scope, operators that complete a PDCA-Full prior to deployment have satisfied and exceeded the Article 9, 10, 13, and 17 documentation requirements for high-risk AI systems.</w:t>
      </w:r>
    </w:p>
    <w:p>
      <w:pPr>
        <w:spacing w:before="80" w:after="0"/>
      </w:pPr>
    </w:p>
    <w:p>
      <w:pPr>
        <w:spacing w:before="80" w:after="120"/>
        <w:jc w:val="both"/>
      </w:pPr>
      <w:r>
        <w:rPr>
          <w:rFonts w:ascii="Georgia" w:hAnsi="Georgia"/>
          <w:b/>
          <w:color w:val="1B2A4A"/>
          <w:sz w:val="22"/>
        </w:rPr>
        <w:t xml:space="preserve">6.2  NIST AI Risk Management Framework (AI RMF 1.0)  </w:t>
      </w:r>
      <w:r>
        <w:rPr>
          <w:rFonts w:ascii="Georgia" w:hAnsi="Georgia"/>
          <w:color w:val="3D3D3D"/>
          <w:sz w:val="22"/>
        </w:rPr>
        <w:t>The NIST AI RMF organises AI risk management across four functions: Govern, Map, Measure, and Manage. The LAIF PDCA integrates with each function as follows. Govern (establishing organisational policies and accountability structures): satisfied by the LAIF Obligation Layer and the PDCA's cross-functional sign-off requirements, which establish documented accountability at the technical, legal, and senior leadership levels. Map (identifying and classifying AI risks in context): satisfied by the PDCA's Sections B and C, which require identification of the specific human interest at stake, identification of all substantially irreversible consequences, and completion of Provision Layer compliance checks. Measure (analysing and assessing AI risks): satisfied by the PDCA's Section A, which requires calibration testing, adversarial testing, boundary testing, and documentation of results. Manage (prioritising and addressing AI risks): satisfied by the Toolkit's Module 4, which provides a three-level violation classification, proportional enforcement responses, and restoration requirements. Organisations that have adopted the NIST AI RMF can treat the PDCA as the primary documentation instrument for all four functions.</w:t>
      </w:r>
    </w:p>
    <w:p>
      <w:pPr>
        <w:spacing w:before="80" w:after="0"/>
      </w:pPr>
    </w:p>
    <w:p>
      <w:pPr>
        <w:spacing w:before="80" w:after="120"/>
        <w:jc w:val="both"/>
      </w:pPr>
      <w:r>
        <w:rPr>
          <w:rFonts w:ascii="Georgia" w:hAnsi="Georgia"/>
          <w:b/>
          <w:color w:val="1B2A4A"/>
          <w:sz w:val="22"/>
        </w:rPr>
        <w:t xml:space="preserve">6.3  US Federal Requirements  </w:t>
      </w:r>
      <w:r>
        <w:rPr>
          <w:rFonts w:ascii="Georgia" w:hAnsi="Georgia"/>
          <w:color w:val="3D3D3D"/>
          <w:sz w:val="22"/>
        </w:rPr>
        <w:t>The PDCA satisfies and extends the documentation and risk assessment requirements contemplated by US Executive Orders on AI governance and their implementing guidance from the Office of Management and Budget (including the requirements established in M-24-10 and M-24-18 for federal agencies to conduct impact assessments for AI systems affecting rights or safety and to maintain human oversight). For US federal procurement, LAIF compliance — specifically, completion of a PDCA and ongoing monitoring certification — is designed to function as a supplier qualification standard. Procurement officers may condition AI system acquisitions on the vendor having completed a PDCA for the system in its intended deployment configuration, providing a structured, auditable basis for procurement decisions that existing frameworks do not supply.</w:t>
      </w:r>
    </w:p>
    <w:p>
      <w:pPr>
        <w:spacing w:before="80" w:after="0"/>
      </w:pPr>
    </w:p>
    <w:p>
      <w:pPr>
        <w:spacing w:before="80" w:after="120"/>
        <w:jc w:val="both"/>
      </w:pPr>
      <w:r>
        <w:rPr>
          <w:rFonts w:ascii="Georgia" w:hAnsi="Georgia"/>
          <w:b/>
          <w:color w:val="1B2A4A"/>
          <w:sz w:val="22"/>
        </w:rPr>
        <w:t xml:space="preserve">6.4  Healthcare Sector  </w:t>
      </w:r>
      <w:r>
        <w:rPr>
          <w:rFonts w:ascii="Georgia" w:hAnsi="Georgia"/>
          <w:color w:val="3D3D3D"/>
          <w:sz w:val="22"/>
        </w:rPr>
        <w:t>The FDA's framework for AI-enabled medical devices (including the 2024 draft guidance on predetermined change control plans) requires pre-market review, transparency, and post-market monitoring. The LAIF PDCA satisfies the pre-deployment documentation component. The Toolkit's sector-specific thresholds for 'meaningful account' in clinical contexts satisfy and extend the FDA's transparency requirements for AI-enabled diagnostic systems. The Toolkit's ongoing monitoring protocol satisfies and extends FDA post-market performance monitoring requirements.</w:t>
      </w:r>
    </w:p>
    <w:p>
      <w:pPr>
        <w:spacing w:before="80" w:after="0"/>
      </w:pPr>
    </w:p>
    <w:p>
      <w:pPr>
        <w:spacing w:before="80" w:after="120"/>
        <w:jc w:val="both"/>
      </w:pPr>
      <w:r>
        <w:rPr>
          <w:rFonts w:ascii="Georgia" w:hAnsi="Georgia"/>
          <w:b/>
          <w:color w:val="1B2A4A"/>
          <w:sz w:val="22"/>
        </w:rPr>
        <w:t xml:space="preserve">6.5  Financial Services Sector  </w:t>
      </w:r>
      <w:r>
        <w:rPr>
          <w:rFonts w:ascii="Georgia" w:hAnsi="Georgia"/>
          <w:color w:val="3D3D3D"/>
          <w:sz w:val="22"/>
        </w:rPr>
        <w:t>Model risk management requirements (SR 11-7 guidance from the US Federal Reserve) require conceptual soundness validation, ongoing monitoring, and model performance documentation. The PDCA's Section A satisfies the conceptual soundness documentation requirement. The ongoing monitoring protocol satisfies and extends the monitoring requirements. Financial services firms adopting the PDCA may treat it as the model risk management documentation framework for AI systems, supplementing existing model validation processes.</w:t>
      </w:r>
    </w:p>
    <w:p>
      <w:pPr>
        <w:spacing w:before="80" w:after="0"/>
      </w:pPr>
    </w:p>
    <w:p>
      <w:pPr>
        <w:spacing w:before="80" w:after="120"/>
        <w:jc w:val="both"/>
      </w:pPr>
      <w:r>
        <w:rPr>
          <w:rFonts w:ascii="Georgia" w:hAnsi="Georgia"/>
          <w:b/>
          <w:color w:val="1B2A4A"/>
          <w:sz w:val="22"/>
        </w:rPr>
        <w:t xml:space="preserve">6.6  Criminal Justice Sector  </w:t>
      </w:r>
      <w:r>
        <w:rPr>
          <w:rFonts w:ascii="Georgia" w:hAnsi="Georgia"/>
          <w:color w:val="3D3D3D"/>
          <w:sz w:val="22"/>
        </w:rPr>
        <w:t>Constitutional due process requirements in US jurisdictions, and equivalent procedural rights requirements in EU jurisdictions, require that algorithmic tools used in consequential decisions be subject to disclosure and contestation rights. The LAIF Provision A1 and the Toolkit's definition of 'meaningful account' provide the operational standard for satisfying these requirements across criminal justice AI deployments. PDCA completion for criminal justice AI systems should be treated as PDCA-Full regardless of deployment scale, given the liberty interests at stake.</w:t>
      </w:r>
    </w:p>
    <w:p>
      <w:pPr>
        <w:spacing w:before="80" w:after="0"/>
      </w:pPr>
    </w:p>
    <w:p>
      <w:r>
        <w:br w:type="page"/>
      </w:r>
    </w:p>
    <w:p>
      <w:pPr>
        <w:pStyle w:val="Heading1"/>
      </w:pPr>
      <w:r>
        <w:rPr>
          <w:rFonts w:ascii="Arial" w:hAnsi="Arial"/>
          <w:color w:val="1B2A4A"/>
          <w:sz w:val="36"/>
        </w:rPr>
        <w:t>MODULE 7 — ADOPTION INCENTIVES AND SAFE HARBOUR</w:t>
      </w:r>
    </w:p>
    <w:p>
      <w:pPr>
        <w:spacing w:before="160" w:after="160"/>
        <w:pBdr>
          <w:bottom w:val="single" w:sz="12" w:space="1" w:color="B8963E"/>
        </w:pBdr>
      </w:pPr>
    </w:p>
    <w:p>
      <w:pPr>
        <w:spacing w:before="120" w:after="0"/>
      </w:pPr>
    </w:p>
    <w:p>
      <w:pPr>
        <w:spacing w:before="80" w:after="120"/>
        <w:jc w:val="both"/>
      </w:pPr>
      <w:r>
        <w:rPr>
          <w:rFonts w:ascii="Georgia" w:hAnsi="Georgia"/>
          <w:b/>
          <w:color w:val="1B2A4A"/>
          <w:sz w:val="22"/>
        </w:rPr>
        <w:t xml:space="preserve">7.1  The Adoption Problem  </w:t>
      </w:r>
      <w:r>
        <w:rPr>
          <w:rFonts w:ascii="Georgia" w:hAnsi="Georgia"/>
          <w:color w:val="3D3D3D"/>
          <w:sz w:val="22"/>
        </w:rPr>
        <w:t>The structural challenge for any voluntary governance framework is that compliance imposes costs while non-compliance provides competitive advantage until enforcement arrives. Without structural incentives, governance frameworks that are technically superior to existing alternatives may nonetheless achieve lower adoption than inferior frameworks that create less compliance burden. This module establishes the incentive mechanisms that make LAIF adoption rational from the perspective of each actor class.</w:t>
      </w:r>
    </w:p>
    <w:p>
      <w:pPr>
        <w:spacing w:before="80" w:after="0"/>
      </w:pPr>
    </w:p>
    <w:p>
      <w:pPr>
        <w:spacing w:before="80" w:after="120"/>
        <w:jc w:val="both"/>
      </w:pPr>
      <w:r>
        <w:rPr>
          <w:rFonts w:ascii="Georgia" w:hAnsi="Georgia"/>
          <w:b/>
          <w:color w:val="1B2A4A"/>
          <w:sz w:val="22"/>
        </w:rPr>
        <w:t xml:space="preserve">7.2  Liability Safe Harbour  </w:t>
      </w:r>
      <w:r>
        <w:rPr>
          <w:rFonts w:ascii="Georgia" w:hAnsi="Georgia"/>
          <w:color w:val="3D3D3D"/>
          <w:sz w:val="22"/>
        </w:rPr>
        <w:t>An operator that has completed a PDCA for an AI system prior to deployment, has maintained the ongoing monitoring protocol required by Module 3, has updated the PDCA in accordance with the material change review requirements, and has conducted the annual review, has exercised structural due diligence for LAIF purposes. This structural due diligence constitutes a defence in proceedings alleging that the operator's AI deployment caused harm through structural incoherence — specifically, through a failure of coupling, consistency, or reversibility that the PDCA would have identified. The safe harbour is not absolute: it does not protect operators who completed the PDCA in bad faith, who materially misrepresented the system's properties in the PDCA, or whose PDCA documentation was not updated following material changes that triggered the review requirement. For jurisdictions adopting LAIF as a regulatory standard, the safe harbour may be codified as a statutory defence: completion of a PDCA satisfying LAIF requirements creates a rebuttable presumption of adequate structural diligence, shifting the burden of proof in civil proceedings to the claimant to demonstrate that the harm arose from a structural deficiency that a competent, good-faith PDCA would have identified.</w:t>
      </w:r>
    </w:p>
    <w:p>
      <w:pPr>
        <w:spacing w:before="80" w:after="0"/>
      </w:pPr>
    </w:p>
    <w:p>
      <w:pPr>
        <w:spacing w:before="80" w:after="120"/>
        <w:jc w:val="both"/>
      </w:pPr>
      <w:r>
        <w:rPr>
          <w:rFonts w:ascii="Georgia" w:hAnsi="Georgia"/>
          <w:b/>
          <w:color w:val="1B2A4A"/>
          <w:sz w:val="22"/>
        </w:rPr>
        <w:t xml:space="preserve">7.3  Certification Pathway  </w:t>
      </w:r>
      <w:r>
        <w:rPr>
          <w:rFonts w:ascii="Georgia" w:hAnsi="Georgia"/>
          <w:color w:val="3D3D3D"/>
          <w:sz w:val="22"/>
        </w:rPr>
        <w:t>A LAIF certification programme provides operators with external validation of their PDCA and monitoring processes, enabling third-party assurance of LAIF compliance. Initial certification requires: completion of a PDCA by the operator for the system in its intended deployment configuration; independent review by a qualified assessor confirming that the coupling documentation identifies a genuine and specific human interest, that the consistency reasoning would survive scrutiny at smaller and larger scales, and that the reversibility assessment is adequate to the consequences of the deployment; and a site assessment confirming that the monitoring protocol is operational and that sign-off records are complete. Annual recertification requires: evidence that the annual PDCA review has been completed; evidence that monitoring results are within acceptable parameters or that remediation processes have been completed; and confirmation that any material changes to the system have triggered PDCA updates as required. Certification is granted at the deployment level, not the organisation level. It constitutes third-party assurance that the operator's structural due diligence process satisfies LAIF requirements — not regulatory approval, licensing, or endorsement of the AI system's commercial or clinical claims.</w:t>
      </w:r>
    </w:p>
    <w:p>
      <w:pPr>
        <w:spacing w:before="80" w:after="0"/>
      </w:pPr>
    </w:p>
    <w:p>
      <w:pPr>
        <w:spacing w:before="80" w:after="120"/>
        <w:jc w:val="both"/>
      </w:pPr>
      <w:r>
        <w:rPr>
          <w:rFonts w:ascii="Georgia" w:hAnsi="Georgia"/>
          <w:b/>
          <w:color w:val="1B2A4A"/>
          <w:sz w:val="22"/>
        </w:rPr>
        <w:t xml:space="preserve">7.4  Procurement Conditioning  </w:t>
      </w:r>
      <w:r>
        <w:rPr>
          <w:rFonts w:ascii="Georgia" w:hAnsi="Georgia"/>
          <w:color w:val="3D3D3D"/>
          <w:sz w:val="22"/>
        </w:rPr>
        <w:t>Public procurement of AI systems provides the most immediate and powerful lever for LAIF adoption. Governments and public bodies that condition AI procurement on LAIF compliance — specifically, on the vendor having completed a PDCA for the system in its intended public sector deployment configuration and having passed independent review — create a market requirement for LAIF compliance that operates independently of regulatory enforcement. The procurement conditioning model is designed for immediate implementation within existing procurement frameworks without requiring statutory amendment: procurement authorities may impose LAIF compliance as a contract term, a qualification criterion, or a scored evaluation criterion in competitive procurement processes. The recommended implementation is a scored evaluation criterion for standard deployments and a mandatory qualification criterion for high-stakes public sector deployments — AI systems affecting the liberty, health, welfare benefits, educational progression, or immigration status of individuals.</w:t>
      </w:r>
    </w:p>
    <w:p>
      <w:pPr>
        <w:spacing w:before="80" w:after="0"/>
      </w:pPr>
    </w:p>
    <w:p>
      <w:pPr>
        <w:spacing w:before="80" w:after="120"/>
        <w:jc w:val="both"/>
      </w:pPr>
      <w:r>
        <w:rPr>
          <w:rFonts w:ascii="Georgia" w:hAnsi="Georgia"/>
          <w:b/>
          <w:color w:val="1B2A4A"/>
          <w:sz w:val="22"/>
        </w:rPr>
        <w:t xml:space="preserve">7.5  PDCA Tiering — Addressing the Compliance Burden  </w:t>
      </w:r>
      <w:r>
        <w:rPr>
          <w:rFonts w:ascii="Georgia" w:hAnsi="Georgia"/>
          <w:color w:val="3D3D3D"/>
          <w:sz w:val="22"/>
        </w:rPr>
        <w:t>The full PDCA (PDCA-Full) is designed for high-stakes deployments. A tiered implementation reduces the compliance burden for lower-stakes deployments while maintaining the structural discipline of the Coherence Test. PDCA-Full applies to: deployments in high-stakes categories (affecting liberty, health, employment, education, or welfare benefits of persons); deployments affecting more than 10,000 persons; deployments in regulated sectors (healthcare, financial services, criminal justice, education, welfare); and deployments by public authorities. All four sections of the PDCA are required with Independent Reviewer sign-off. PDCA-Standard applies to: deployments with potential to affect a defined class of persons but not in the high-stakes categories; commercial deployments where system outputs may materially affect individual interests but where alternative recourse is readily available. Sections A and B in full, Section C at summary level, Technical Lead and Legal Counsel sign-off required; Independent Reviewer not required. PDCA-Lite applies to: deployments where the system's outputs do not materially affect individual interests in consequential domains; internal-use deployments not affecting external persons; and deployments of systems already certified under LAIF in a substantially similar deployment configuration. Section A and Section B.1 (coupling documentation) only, with Technical Lead sign-off. An operator that applies PDCA-Lite to a deployment that should have received PDCA-Full has not completed the PDCA requirement and does not qualify for the safe harbour provisions of section 7.2.</w:t>
      </w:r>
    </w:p>
    <w:p>
      <w:pPr>
        <w:spacing w:before="80" w:after="0"/>
      </w:pPr>
    </w:p>
    <w:p>
      <w:pPr>
        <w:spacing w:before="80" w:after="120"/>
        <w:jc w:val="both"/>
      </w:pPr>
      <w:r>
        <w:rPr>
          <w:rFonts w:ascii="Georgia" w:hAnsi="Georgia"/>
          <w:b/>
          <w:color w:val="1B2A4A"/>
          <w:sz w:val="22"/>
        </w:rPr>
        <w:t xml:space="preserve">7.6  Corporate Governance Integration  </w:t>
      </w:r>
      <w:r>
        <w:rPr>
          <w:rFonts w:ascii="Georgia" w:hAnsi="Georgia"/>
          <w:color w:val="3D3D3D"/>
          <w:sz w:val="22"/>
        </w:rPr>
        <w:t>For organisations where regulatory adoption of LAIF has not yet occurred, PDCA completion may be adopted as a board-level requirement through integration into existing corporate governance structures. The PDCA-Full sign-off requirements — which require Senior Responsible Officer authorisation — provide a natural integration point with board-level AI governance policies. Organisations adopting LAIF at the corporate governance level may commit to: completing a PDCA-Full for all high-stakes AI deployments; publishing a summary of PDCA outcomes (without disclosing commercially sensitive system details) in their annual AI governance reporting; and subjecting their PDCA process to periodic independent review as part of their external audit programme. This corporate governance adoption model creates the conditions for safe harbour protection under section 7.2 in advance of formal regulatory adoption, and positions organisations favourably for the procurement conditioning requirements of section 7.4 as those requirements are adopted by public sector clients.</w:t>
      </w:r>
    </w:p>
    <w:p>
      <w:pPr>
        <w:spacing w:before="80" w:after="0"/>
      </w:pPr>
    </w:p>
    <w:p>
      <w:r>
        <w:br w:type="page"/>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