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Arial" w:hAnsi="Arial"/>
          <w:b/>
          <w:color w:val="B8963E"/>
          <w:sz w:val="20"/>
        </w:rPr>
        <w:t>LAW-ALIGNED INTELLIGENCE FRAMEWORK</w:t>
      </w:r>
    </w:p>
    <w:p>
      <w:pPr>
        <w:spacing w:before="0" w:after="80"/>
        <w:jc w:val="left"/>
      </w:pPr>
      <w:r>
        <w:rPr>
          <w:rFonts w:ascii="Arial" w:hAnsi="Arial"/>
          <w:color w:val="888888"/>
          <w:sz w:val="18"/>
        </w:rPr>
        <w:t>EXECUTIVE BRIEF  |  April 2026</w:t>
      </w:r>
    </w:p>
    <w:p>
      <w:pPr>
        <w:spacing w:before="80" w:after="40"/>
        <w:jc w:val="left"/>
      </w:pPr>
      <w:r>
        <w:rPr>
          <w:rFonts w:ascii="Arial" w:hAnsi="Arial"/>
          <w:b/>
          <w:color w:val="1B2A4A"/>
          <w:sz w:val="36"/>
        </w:rPr>
        <w:t>A Governance Audit of Clinical AI Deployments: What It Shows and Why It Matters</w:t>
      </w:r>
    </w:p>
    <w:p>
      <w:pPr>
        <w:spacing w:before="120" w:after="120"/>
        <w:pBdr>
          <w:bottom w:val="single" w:sz="8" w:space="1" w:color="B8963E"/>
        </w:pBdr>
      </w:pPr>
    </w:p>
    <w:p>
      <w:pPr>
        <w:spacing w:before="120" w:after="0"/>
      </w:pPr>
    </w:p>
    <w:tbl>
      <w:tblPr>
        <w:tblStyle w:val="TableGrid"/>
        <w:tblW w:type="auto" w:w="0"/>
        <w:tblLook w:firstColumn="1" w:firstRow="1" w:lastColumn="0" w:lastRow="0" w:noHBand="0" w:noVBand="1" w:val="04A0"/>
      </w:tblPr>
      <w:tblGrid>
        <w:gridCol w:w="4968"/>
        <w:gridCol w:w="4968"/>
      </w:tblGrid>
      <w:tr>
        <w:tc>
          <w:tcPr>
            <w:tcW w:type="dxa" w:w="4968"/>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400" w:type="dxa"/>
          </w:tcPr>
          <w:p/>
          <w:p>
            <w:pPr>
              <w:spacing w:before="0" w:after="80"/>
            </w:pPr>
            <w:r>
              <w:rPr>
                <w:rFonts w:ascii="Arial" w:hAnsi="Arial"/>
                <w:b/>
                <w:color w:val="1B2A4A"/>
                <w:sz w:val="22"/>
              </w:rPr>
              <w:t>The Problem</w:t>
            </w:r>
          </w:p>
          <w:p>
            <w:pPr>
              <w:spacing w:before="40" w:after="120"/>
              <w:jc w:val="both"/>
            </w:pPr>
            <w:r>
              <w:rPr>
                <w:rFonts w:ascii="Georgia" w:hAnsi="Georgia"/>
                <w:color w:val="3D3D3D"/>
                <w:sz w:val="19"/>
              </w:rPr>
              <w:t>Between 2023 and 2025, GPT-4 was deployed into hospital clinical documentation systems at scale — generating clinical notes, discharge summaries, and diagnostic outputs — without pre-deployment clinical safety validation, without disclosure to patients that AI was involved, and without authorisation at clinical governance level.</w:t>
            </w:r>
          </w:p>
          <w:p>
            <w:pPr>
              <w:spacing w:before="40" w:after="120"/>
              <w:jc w:val="both"/>
            </w:pPr>
            <w:r>
              <w:rPr>
                <w:rFonts w:ascii="Georgia" w:hAnsi="Georgia"/>
                <w:color w:val="3D3D3D"/>
                <w:sz w:val="19"/>
              </w:rPr>
              <w:t>Documented consequences (peer-reviewed literature): fabricated laboratory values in clinical notes; allergy records omitted from discharge summaries; incorrect medication dosing; cross-patient data contamination.</w:t>
            </w:r>
          </w:p>
          <w:p>
            <w:pPr>
              <w:spacing w:before="120" w:after="80"/>
              <w:pBdr>
                <w:bottom w:val="single" w:sz="4" w:space="1" w:color="DDE2EC"/>
              </w:pBdr>
            </w:pPr>
          </w:p>
          <w:p>
            <w:pPr>
              <w:spacing w:before="0" w:after="80"/>
            </w:pPr>
            <w:r>
              <w:rPr>
                <w:rFonts w:ascii="Arial" w:hAnsi="Arial"/>
                <w:b/>
                <w:color w:val="1B2A4A"/>
                <w:sz w:val="22"/>
              </w:rPr>
              <w:t>What the Audit Shows</w:t>
            </w:r>
          </w:p>
          <w:p>
            <w:pPr>
              <w:spacing w:before="40" w:after="120"/>
              <w:jc w:val="both"/>
            </w:pPr>
            <w:r>
              <w:rPr>
                <w:rFonts w:ascii="Georgia" w:hAnsi="Georgia"/>
                <w:color w:val="3D3D3D"/>
                <w:sz w:val="19"/>
              </w:rPr>
              <w:t>A structured governance audit — applying a three-question coherence standard to the documented deployment configurations — produces the following findings:</w:t>
            </w:r>
          </w:p>
          <w:p>
            <w:pPr>
              <w:spacing w:before="40" w:after="120"/>
              <w:jc w:val="both"/>
            </w:pPr>
            <w:r>
              <w:rPr>
                <w:rFonts w:ascii="Georgia" w:hAnsi="Georgia"/>
                <w:b/>
                <w:color w:val="1B2A4A"/>
                <w:sz w:val="19"/>
              </w:rPr>
              <w:t xml:space="preserve">Question 1 (Coupling): </w:t>
            </w:r>
            <w:r>
              <w:rPr>
                <w:rFonts w:ascii="Georgia" w:hAnsi="Georgia"/>
                <w:color w:val="3D3D3D"/>
                <w:sz w:val="19"/>
              </w:rPr>
            </w:r>
          </w:p>
          <w:p>
            <w:pPr>
              <w:spacing w:before="20" w:after="40"/>
              <w:ind w:left="288"/>
            </w:pPr>
            <w:r>
              <w:rPr>
                <w:rFonts w:ascii="Georgia" w:hAnsi="Georgia"/>
                <w:color w:val="3D3D3D"/>
                <w:sz w:val="19"/>
              </w:rPr>
              <w:t>→  The deployment authorisation is not coupled to any protection of the patient's interest in accurate clinical documentation of equivalent force. No mechanism ensures accuracy. No disclosure to patients. No contestation pathway.</w:t>
            </w:r>
          </w:p>
          <w:p>
            <w:pPr>
              <w:spacing w:before="40" w:after="120"/>
              <w:jc w:val="both"/>
            </w:pPr>
            <w:r>
              <w:rPr>
                <w:rFonts w:ascii="Georgia" w:hAnsi="Georgia"/>
                <w:b/>
                <w:color w:val="1B2A4A"/>
                <w:sz w:val="19"/>
              </w:rPr>
              <w:t xml:space="preserve">Question 2 (Consistency): </w:t>
            </w:r>
            <w:r>
              <w:rPr>
                <w:rFonts w:ascii="Georgia" w:hAnsi="Georgia"/>
                <w:color w:val="3D3D3D"/>
                <w:sz w:val="19"/>
              </w:rPr>
            </w:r>
          </w:p>
          <w:p>
            <w:pPr>
              <w:spacing w:before="20" w:after="40"/>
              <w:ind w:left="288"/>
            </w:pPr>
            <w:r>
              <w:rPr>
                <w:rFonts w:ascii="Georgia" w:hAnsi="Georgia"/>
                <w:color w:val="3D3D3D"/>
                <w:sz w:val="19"/>
              </w:rPr>
              <w:t>→  The governance logic — that API access constitutes sufficient authorisation for clinical deployment — cannot be applied consistently. At smaller scale: a single GP using personal API access with no oversight. At universal scale: every clinical document generated by unvalidated AI. Neither result is acceptable under existing clinical practice standards.</w:t>
            </w:r>
          </w:p>
          <w:p>
            <w:pPr>
              <w:spacing w:before="40" w:after="120"/>
              <w:jc w:val="both"/>
            </w:pPr>
            <w:r>
              <w:rPr>
                <w:rFonts w:ascii="Georgia" w:hAnsi="Georgia"/>
                <w:b/>
                <w:color w:val="1B2A4A"/>
                <w:sz w:val="19"/>
              </w:rPr>
              <w:t xml:space="preserve">Question 3 (Reversibility): </w:t>
            </w:r>
            <w:r>
              <w:rPr>
                <w:rFonts w:ascii="Georgia" w:hAnsi="Georgia"/>
                <w:color w:val="3D3D3D"/>
                <w:sz w:val="19"/>
              </w:rPr>
            </w:r>
          </w:p>
          <w:p>
            <w:pPr>
              <w:spacing w:before="20" w:after="40"/>
              <w:ind w:left="288"/>
            </w:pPr>
            <w:r>
              <w:rPr>
                <w:rFonts w:ascii="Georgia" w:hAnsi="Georgia"/>
                <w:color w:val="3D3D3D"/>
                <w:sz w:val="19"/>
              </w:rPr>
              <w:t>→  Clinical errors embedded in medical records produce consequences — for individual patients — that cannot be reversed by subsequent policy changes. The widespread normalisation of these deployments has also made mandatory ex-ante validation requirements commercially and politically resistant.</w:t>
            </w:r>
          </w:p>
          <w:p>
            <w:pPr>
              <w:spacing w:before="120" w:after="80"/>
              <w:pBdr>
                <w:bottom w:val="single" w:sz="4" w:space="1" w:color="DDE2EC"/>
              </w:pBdr>
            </w:pPr>
          </w:p>
          <w:p>
            <w:pPr>
              <w:spacing w:before="0" w:after="80"/>
            </w:pPr>
            <w:r>
              <w:rPr>
                <w:rFonts w:ascii="Arial" w:hAnsi="Arial"/>
                <w:b/>
                <w:color w:val="1B2A4A"/>
                <w:sz w:val="22"/>
              </w:rPr>
              <w:t>The Core Finding</w:t>
            </w:r>
          </w:p>
          <w:p>
            <w:pPr>
              <w:spacing w:before="40" w:after="120"/>
              <w:jc w:val="both"/>
            </w:pPr>
            <w:r>
              <w:rPr>
                <w:rFonts w:ascii="Georgia" w:hAnsi="Georgia"/>
                <w:color w:val="3D3D3D"/>
                <w:sz w:val="19"/>
              </w:rPr>
              <w:t>The deployments assessed are not coherent under a structured governance standard. This does not mean AI-assisted clinical documentation is incompatible with good governance. It means these deployment configurations are. The distinction matters: one is a problem with AI; the other is a problem with how it was deployed.</w:t>
            </w:r>
          </w:p>
        </w:tc>
        <w:tc>
          <w:tcPr>
            <w:tcW w:type="dxa" w:w="4968"/>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400" w:type="dxa"/>
          </w:tcPr>
          <w:p/>
          <w:p>
            <w:pPr>
              <w:spacing w:before="0" w:after="80"/>
            </w:pPr>
            <w:r>
              <w:rPr>
                <w:rFonts w:ascii="Arial" w:hAnsi="Arial"/>
                <w:b/>
                <w:color w:val="1B2A4A"/>
                <w:sz w:val="22"/>
              </w:rPr>
              <w:t>Why Existing Frameworks Missed It</w:t>
            </w:r>
          </w:p>
          <w:p>
            <w:pPr>
              <w:spacing w:before="40" w:after="120"/>
              <w:jc w:val="both"/>
            </w:pPr>
            <w:r>
              <w:rPr>
                <w:rFonts w:ascii="Georgia" w:hAnsi="Georgia"/>
                <w:color w:val="3D3D3D"/>
                <w:sz w:val="19"/>
              </w:rPr>
              <w:t>Existing regulatory frameworks — FDA guidance, EU MDR/IVDR — identified the general category of risk. They did not require that a protection of equivalent normative force exist for the specific human interest at risk. This is the systematic gap: AI governance identifies what might go wrong; it is substantially less rigorous about what specifically protects the people who bear that risk.</w:t>
            </w:r>
          </w:p>
          <w:p>
            <w:pPr>
              <w:spacing w:before="40" w:after="120"/>
              <w:jc w:val="both"/>
            </w:pPr>
            <w:r>
              <w:rPr>
                <w:rFonts w:ascii="Georgia" w:hAnsi="Georgia"/>
                <w:color w:val="3D3D3D"/>
                <w:sz w:val="19"/>
              </w:rPr>
              <w:t>The EU AI Act (2024) has since classified AI systems used in medical diagnosis as high-risk, which would require conformity assessment before deployment. This is a structural improvement. It does not address the coupling gap: identifying the risk is not the same as requiring a protection of equivalent force.</w:t>
            </w:r>
          </w:p>
          <w:p>
            <w:pPr>
              <w:spacing w:before="120" w:after="80"/>
              <w:pBdr>
                <w:bottom w:val="single" w:sz="4" w:space="1" w:color="DDE2EC"/>
              </w:pBdr>
            </w:pPr>
          </w:p>
          <w:p>
            <w:pPr>
              <w:spacing w:before="0" w:after="80"/>
            </w:pPr>
            <w:r>
              <w:rPr>
                <w:rFonts w:ascii="Arial" w:hAnsi="Arial"/>
                <w:b/>
                <w:color w:val="1B2A4A"/>
                <w:sz w:val="22"/>
              </w:rPr>
              <w:t>What a Coherent Deployment Requires</w:t>
            </w:r>
          </w:p>
          <w:p>
            <w:pPr>
              <w:spacing w:before="40" w:after="120"/>
              <w:jc w:val="both"/>
            </w:pPr>
            <w:r>
              <w:rPr>
                <w:rFonts w:ascii="Georgia" w:hAnsi="Georgia"/>
                <w:color w:val="3D3D3D"/>
                <w:sz w:val="19"/>
              </w:rPr>
              <w:t>The audit specifies seven concrete redesign requirements:</w:t>
            </w:r>
          </w:p>
          <w:p>
            <w:pPr>
              <w:spacing w:before="20" w:after="40"/>
              <w:ind w:left="288"/>
            </w:pPr>
            <w:r>
              <w:rPr>
                <w:rFonts w:ascii="Georgia" w:hAnsi="Georgia"/>
                <w:color w:val="3D3D3D"/>
                <w:sz w:val="19"/>
              </w:rPr>
              <w:t>→  Pre-deployment clinical safety validation in the specific deployment context</w:t>
            </w:r>
          </w:p>
          <w:p>
            <w:pPr>
              <w:spacing w:before="20" w:after="40"/>
              <w:ind w:left="288"/>
            </w:pPr>
            <w:r>
              <w:rPr>
                <w:rFonts w:ascii="Georgia" w:hAnsi="Georgia"/>
                <w:color w:val="3D3D3D"/>
                <w:sz w:val="19"/>
              </w:rPr>
              <w:t>→  Mandatory AI provenance identification in the clinical record — visible to clinicians, patients, and external reviewers</w:t>
            </w:r>
          </w:p>
          <w:p>
            <w:pPr>
              <w:spacing w:before="20" w:after="40"/>
              <w:ind w:left="288"/>
            </w:pPr>
            <w:r>
              <w:rPr>
                <w:rFonts w:ascii="Georgia" w:hAnsi="Georgia"/>
                <w:color w:val="3D3D3D"/>
                <w:sz w:val="19"/>
              </w:rPr>
              <w:t>→  On-request account of data inputs relied upon and system performance metrics for the output type</w:t>
            </w:r>
          </w:p>
          <w:p>
            <w:pPr>
              <w:spacing w:before="20" w:after="40"/>
              <w:ind w:left="288"/>
            </w:pPr>
            <w:r>
              <w:rPr>
                <w:rFonts w:ascii="Georgia" w:hAnsi="Georgia"/>
                <w:color w:val="3D3D3D"/>
                <w:sz w:val="19"/>
              </w:rPr>
              <w:t>→  Structured error-reporting pathway treating AI errors as governance events, not product defects</w:t>
            </w:r>
          </w:p>
          <w:p>
            <w:pPr>
              <w:spacing w:before="20" w:after="40"/>
              <w:ind w:left="288"/>
            </w:pPr>
            <w:r>
              <w:rPr>
                <w:rFonts w:ascii="Georgia" w:hAnsi="Georgia"/>
                <w:color w:val="3D3D3D"/>
                <w:sz w:val="19"/>
              </w:rPr>
              <w:t>→  Clinical governance committee authorisation at authority level proportional to patient safety risk</w:t>
            </w:r>
          </w:p>
          <w:p>
            <w:pPr>
              <w:spacing w:before="20" w:after="40"/>
              <w:ind w:left="288"/>
            </w:pPr>
            <w:r>
              <w:rPr>
                <w:rFonts w:ascii="Georgia" w:hAnsi="Georgia"/>
                <w:color w:val="3D3D3D"/>
                <w:sz w:val="19"/>
              </w:rPr>
              <w:t>→  Patient disclosure protocol before records are generated by AI</w:t>
            </w:r>
          </w:p>
          <w:p>
            <w:pPr>
              <w:spacing w:before="20" w:after="40"/>
              <w:ind w:left="288"/>
            </w:pPr>
            <w:r>
              <w:rPr>
                <w:rFonts w:ascii="Georgia" w:hAnsi="Georgia"/>
                <w:color w:val="3D3D3D"/>
                <w:sz w:val="19"/>
              </w:rPr>
              <w:t>→  Discrimination testing across patient demographic groups before deployment</w:t>
            </w:r>
          </w:p>
          <w:p>
            <w:pPr>
              <w:spacing w:before="120" w:after="80"/>
              <w:pBdr>
                <w:bottom w:val="single" w:sz="4" w:space="1" w:color="DDE2EC"/>
              </w:pBdr>
            </w:pPr>
          </w:p>
          <w:p>
            <w:pPr>
              <w:spacing w:before="0" w:after="80"/>
            </w:pPr>
            <w:r>
              <w:rPr>
                <w:rFonts w:ascii="Arial" w:hAnsi="Arial"/>
                <w:b/>
                <w:color w:val="1B2A4A"/>
                <w:sz w:val="22"/>
              </w:rPr>
              <w:t>The Governance Standard Applied</w:t>
            </w:r>
          </w:p>
          <w:p>
            <w:pPr>
              <w:spacing w:before="40" w:after="120"/>
              <w:jc w:val="both"/>
            </w:pPr>
            <w:r>
              <w:rPr>
                <w:rFonts w:ascii="Georgia" w:hAnsi="Georgia"/>
                <w:color w:val="3D3D3D"/>
                <w:sz w:val="19"/>
              </w:rPr>
              <w:t>The audit applies the Law-Aligned Intelligence Framework (LAIF) v1.2 — a constitutional-level governance scaffold that asks three questions of any AI deployment: Is the deployment authorisation coupled to a protection of equivalent force for the specific human interest at stake? Does the governing logic hold consistently at smaller and larger scales? Do the consequences preserve the capacity of future actors to change course?</w:t>
            </w:r>
          </w:p>
          <w:p>
            <w:pPr>
              <w:spacing w:before="40" w:after="120"/>
              <w:jc w:val="both"/>
            </w:pPr>
            <w:r>
              <w:rPr>
                <w:rFonts w:ascii="Georgia" w:hAnsi="Georgia"/>
                <w:color w:val="3D3D3D"/>
                <w:sz w:val="19"/>
              </w:rPr>
              <w:t>LAIF is designed to sit above existing regulatory instruments — EU AI Act, NIST AI RMF, OMB federal requirements — integrating with rather than replacing them. Its primary practical instrument, the Pre-Deployment Coherence Assessment (PDCA), is designed to satisfy and extend existing conformity assessment and risk management documentation requirements.</w:t>
            </w:r>
          </w:p>
          <w:p>
            <w:pPr>
              <w:spacing w:before="120" w:after="80"/>
              <w:pBdr>
                <w:bottom w:val="single" w:sz="4" w:space="1" w:color="DDE2EC"/>
              </w:pBdr>
            </w:pPr>
          </w:p>
          <w:p>
            <w:pPr>
              <w:spacing w:before="0" w:after="80"/>
            </w:pPr>
            <w:r>
              <w:rPr>
                <w:rFonts w:ascii="Arial" w:hAnsi="Arial"/>
                <w:b/>
                <w:color w:val="1B2A4A"/>
                <w:sz w:val="22"/>
              </w:rPr>
              <w:t>Implications for Decision-Makers</w:t>
            </w:r>
          </w:p>
          <w:p>
            <w:pPr>
              <w:spacing w:before="20" w:after="40"/>
              <w:ind w:left="288"/>
            </w:pPr>
            <w:r>
              <w:rPr>
                <w:rFonts w:ascii="Georgia" w:hAnsi="Georgia"/>
                <w:color w:val="3D3D3D"/>
                <w:sz w:val="19"/>
              </w:rPr>
              <w:t>→  Regulators: the coupling question is a systematic check that takes minutes to apply and would have identified the structural gap in every documented clinical AI failure reviewed.</w:t>
            </w:r>
          </w:p>
          <w:p>
            <w:pPr>
              <w:spacing w:before="20" w:after="40"/>
              <w:ind w:left="288"/>
            </w:pPr>
            <w:r>
              <w:rPr>
                <w:rFonts w:ascii="Georgia" w:hAnsi="Georgia"/>
                <w:color w:val="3D3D3D"/>
                <w:sz w:val="19"/>
              </w:rPr>
              <w:t>→  Procurement officers: PDCA completion can be required as a vendor qualification criterion within existing procurement frameworks without new legislation.</w:t>
            </w:r>
          </w:p>
          <w:p>
            <w:pPr>
              <w:spacing w:before="20" w:after="40"/>
              <w:ind w:left="288"/>
            </w:pPr>
            <w:r>
              <w:rPr>
                <w:rFonts w:ascii="Georgia" w:hAnsi="Georgia"/>
                <w:color w:val="3D3D3D"/>
                <w:sz w:val="19"/>
              </w:rPr>
              <w:t>→  Hospital governance: clinical AI deployment authorisation belongs at clinical governance committee level, not IT procurement level.</w:t>
            </w:r>
          </w:p>
          <w:p>
            <w:pPr>
              <w:spacing w:before="20" w:after="40"/>
              <w:ind w:left="288"/>
            </w:pPr>
            <w:r>
              <w:rPr>
                <w:rFonts w:ascii="Georgia" w:hAnsi="Georgia"/>
                <w:color w:val="3D3D3D"/>
                <w:sz w:val="19"/>
              </w:rPr>
              <w:t>→  Developers: the redesign requirements above are the minimum for structural coherence — not aspirational targets.</w:t>
            </w:r>
          </w:p>
        </w:tc>
      </w:tr>
    </w:tbl>
    <w:p>
      <w:pPr>
        <w:spacing w:before="160" w:after="0"/>
      </w:pPr>
    </w:p>
    <w:p>
      <w:pPr>
        <w:spacing w:before="120" w:after="120"/>
        <w:pBdr>
          <w:bottom w:val="single" w:sz="4" w:space="1" w:color="DDE2EC"/>
        </w:pBdr>
      </w:pPr>
    </w:p>
    <w:p>
      <w:pPr>
        <w:spacing w:before="80" w:after="0"/>
      </w:pPr>
    </w:p>
    <w:p>
      <w:pPr>
        <w:spacing w:before="0" w:after="0"/>
        <w:jc w:val="left"/>
      </w:pPr>
      <w:r>
        <w:rPr>
          <w:rFonts w:ascii="Georgia" w:hAnsi="Georgia"/>
          <w:color w:val="888888"/>
          <w:sz w:val="17"/>
        </w:rPr>
        <w:t>Full documentation: LAIF v1.2 Principal Text  ·  PDCA-Full Assessment (GPT-4 Clinical)  ·  Compliance Toolkit v1.1  ·  Regulatory Integration Guide  ·  Case Analysis  ·  Policy Paper  — all available as part of the LAIF governance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