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2977" w14:textId="1241E826" w:rsidR="008A6258" w:rsidRDefault="00294234" w:rsidP="002F46DF">
      <w:pPr>
        <w:spacing w:before="1120"/>
      </w:pPr>
      <w:r>
        <w:rPr>
          <w:rFonts w:ascii="Arial" w:hAnsi="Arial"/>
          <w:b/>
          <w:color w:val="1B2A4A"/>
          <w:sz w:val="48"/>
        </w:rPr>
        <w:t xml:space="preserve"> </w:t>
      </w:r>
      <w:r w:rsidR="006E7E86">
        <w:rPr>
          <w:rFonts w:ascii="Arial" w:hAnsi="Arial"/>
          <w:b/>
          <w:color w:val="1B2A4A"/>
          <w:sz w:val="48"/>
        </w:rPr>
        <w:t>LAW-ALIGNED INTELLIGENCE FRAMEWORK</w:t>
      </w:r>
    </w:p>
    <w:p w14:paraId="5FB981C9" w14:textId="77777777" w:rsidR="008A6258" w:rsidRDefault="006E7E86">
      <w:pPr>
        <w:jc w:val="center"/>
      </w:pPr>
      <w:r>
        <w:rPr>
          <w:rFonts w:ascii="Arial" w:hAnsi="Arial"/>
          <w:color w:val="B8963E"/>
          <w:sz w:val="30"/>
        </w:rPr>
        <w:t>Version 1.2  |  April 2026</w:t>
      </w:r>
    </w:p>
    <w:p w14:paraId="6AB4E7C4" w14:textId="77777777" w:rsidR="008A6258" w:rsidRDefault="008A6258">
      <w:pPr>
        <w:pBdr>
          <w:bottom w:val="single" w:sz="12" w:space="1" w:color="B8963E"/>
        </w:pBdr>
        <w:spacing w:before="80" w:after="80"/>
      </w:pPr>
    </w:p>
    <w:p w14:paraId="392C2BB0" w14:textId="77777777" w:rsidR="008A6258" w:rsidRDefault="006E7E86">
      <w:pPr>
        <w:jc w:val="center"/>
      </w:pPr>
      <w:r>
        <w:rPr>
          <w:rFonts w:ascii="Georgia" w:hAnsi="Georgia"/>
          <w:i/>
          <w:color w:val="3D3D3D"/>
          <w:sz w:val="26"/>
        </w:rPr>
        <w:t>A Constitutional Scaffold for AI Governance</w:t>
      </w:r>
    </w:p>
    <w:p>
      <w:r>
        <w:t>Related LAIF documents: LAIF v1.2 Principal Text · PDCA-Full Assessment (GPT-4 Clinical) · Compliance Toolkit v1.1 · Regulatory Integration Guide · Case Analysis · Policy Paper</w:t>
      </w:r>
    </w:p>
    <w:p w14:paraId="6E94BE79" w14:textId="77777777" w:rsidR="008A6258" w:rsidRDefault="008A6258">
      <w:pPr>
        <w:spacing w:before="320" w:after="0"/>
      </w:pPr>
    </w:p>
    <w:tbl>
      <w:tblPr>
        <w:tblStyle w:val="TableGrid"/>
        <w:tblW w:w="0" w:type="auto"/>
        <w:tblLook w:val="04A0" w:firstRow="1" w:lastRow="0" w:firstColumn="1" w:lastColumn="0" w:noHBand="0" w:noVBand="1"/>
      </w:tblPr>
      <w:tblGrid>
        <w:gridCol w:w="3216"/>
        <w:gridCol w:w="3216"/>
        <w:gridCol w:w="3216"/>
      </w:tblGrid>
      <w:tr w:rsidR="008A6258" w14:paraId="47307989" w14:textId="77777777">
        <w:tc>
          <w:tcPr>
            <w:tcW w:w="3216" w:type="dxa"/>
            <w:shd w:val="clear" w:color="auto" w:fill="1B2A4A"/>
          </w:tcPr>
          <w:p w14:paraId="5B5C295B" w14:textId="77777777" w:rsidR="008A6258" w:rsidRDefault="006E7E86">
            <w:pPr>
              <w:spacing w:before="200" w:after="200"/>
              <w:jc w:val="center"/>
            </w:pPr>
            <w:r>
              <w:rPr>
                <w:rFonts w:ascii="Arial" w:hAnsi="Arial"/>
                <w:b/>
                <w:color w:val="B8963E"/>
                <w:sz w:val="24"/>
              </w:rPr>
              <w:t>Coupled</w:t>
            </w:r>
            <w:r>
              <w:rPr>
                <w:rFonts w:ascii="Arial" w:hAnsi="Arial"/>
                <w:b/>
                <w:color w:val="B8963E"/>
                <w:sz w:val="24"/>
              </w:rPr>
              <w:br/>
            </w:r>
            <w:r>
              <w:rPr>
                <w:rFonts w:ascii="Arial" w:hAnsi="Arial"/>
                <w:color w:val="AABBD4"/>
                <w:sz w:val="18"/>
              </w:rPr>
              <w:t>Constraint + Enablement</w:t>
            </w:r>
          </w:p>
        </w:tc>
        <w:tc>
          <w:tcPr>
            <w:tcW w:w="3216" w:type="dxa"/>
            <w:shd w:val="clear" w:color="auto" w:fill="1B2A4A"/>
          </w:tcPr>
          <w:p w14:paraId="79AB7C92" w14:textId="77777777" w:rsidR="008A6258" w:rsidRDefault="006E7E86">
            <w:pPr>
              <w:spacing w:before="200" w:after="200"/>
              <w:jc w:val="center"/>
            </w:pPr>
            <w:r>
              <w:rPr>
                <w:rFonts w:ascii="Arial" w:hAnsi="Arial"/>
                <w:b/>
                <w:color w:val="B8963E"/>
                <w:sz w:val="24"/>
              </w:rPr>
              <w:t>Coherence Test</w:t>
            </w:r>
            <w:r>
              <w:rPr>
                <w:rFonts w:ascii="Arial" w:hAnsi="Arial"/>
                <w:b/>
                <w:color w:val="B8963E"/>
                <w:sz w:val="24"/>
              </w:rPr>
              <w:br/>
            </w:r>
            <w:r>
              <w:rPr>
                <w:rFonts w:ascii="Arial" w:hAnsi="Arial"/>
                <w:color w:val="AABBD4"/>
                <w:sz w:val="18"/>
              </w:rPr>
              <w:t>3 Questions · All Scales</w:t>
            </w:r>
          </w:p>
        </w:tc>
        <w:tc>
          <w:tcPr>
            <w:tcW w:w="3216" w:type="dxa"/>
            <w:shd w:val="clear" w:color="auto" w:fill="1B2A4A"/>
          </w:tcPr>
          <w:p w14:paraId="42D6D830" w14:textId="77777777" w:rsidR="008A6258" w:rsidRDefault="006E7E86">
            <w:pPr>
              <w:spacing w:before="200" w:after="200"/>
              <w:jc w:val="center"/>
            </w:pPr>
            <w:r>
              <w:rPr>
                <w:rFonts w:ascii="Arial" w:hAnsi="Arial"/>
                <w:b/>
                <w:color w:val="B8963E"/>
                <w:sz w:val="24"/>
              </w:rPr>
              <w:t>Constitutional</w:t>
            </w:r>
            <w:r>
              <w:rPr>
                <w:rFonts w:ascii="Arial" w:hAnsi="Arial"/>
                <w:b/>
                <w:color w:val="B8963E"/>
                <w:sz w:val="24"/>
              </w:rPr>
              <w:br/>
            </w:r>
            <w:r>
              <w:rPr>
                <w:rFonts w:ascii="Arial" w:hAnsi="Arial"/>
                <w:color w:val="AABBD4"/>
                <w:sz w:val="18"/>
              </w:rPr>
              <w:t>Scaffold, Not Statute</w:t>
            </w:r>
          </w:p>
        </w:tc>
      </w:tr>
    </w:tbl>
    <w:p w14:paraId="29B35D47" w14:textId="77777777" w:rsidR="008A6258" w:rsidRDefault="008A6258">
      <w:pPr>
        <w:spacing w:before="200" w:after="0"/>
      </w:pPr>
    </w:p>
    <w:p w14:paraId="610E44D5" w14:textId="77777777" w:rsidR="008A6258" w:rsidRDefault="006E7E86">
      <w:pPr>
        <w:jc w:val="center"/>
      </w:pPr>
      <w:r>
        <w:rPr>
          <w:rFonts w:ascii="Arial" w:hAnsi="Arial"/>
          <w:color w:val="888888"/>
          <w:sz w:val="17"/>
        </w:rPr>
        <w:t>Incorporates feedback from: EU AI Act (2024/1689) · Anthropic Constitutional AI · NIST AI RMF · OECD AI Principles · UNESCO AI Ethics</w:t>
      </w:r>
    </w:p>
    <w:p w14:paraId="7B7389A0" w14:textId="77777777" w:rsidR="008A6258" w:rsidRDefault="006E7E86">
      <w:r>
        <w:br w:type="page"/>
      </w:r>
    </w:p>
    <w:p w14:paraId="1A73AEB2" w14:textId="77777777" w:rsidR="008A6258" w:rsidRDefault="006E7E86">
      <w:pPr>
        <w:pStyle w:val="Heading1"/>
      </w:pPr>
      <w:r>
        <w:rPr>
          <w:rFonts w:ascii="Arial" w:hAnsi="Arial"/>
          <w:color w:val="1B2A4A"/>
          <w:sz w:val="36"/>
        </w:rPr>
        <w:lastRenderedPageBreak/>
        <w:t>PREAMBLE</w:t>
      </w:r>
    </w:p>
    <w:p w14:paraId="6301A7F9" w14:textId="77777777" w:rsidR="008A6258" w:rsidRDefault="008A6258">
      <w:pPr>
        <w:pBdr>
          <w:bottom w:val="single" w:sz="8" w:space="1" w:color="B8963E"/>
        </w:pBdr>
        <w:spacing w:before="80" w:after="80"/>
      </w:pPr>
    </w:p>
    <w:p w14:paraId="5195D5F8" w14:textId="77777777" w:rsidR="008A6258" w:rsidRDefault="008A6258">
      <w:pPr>
        <w:spacing w:before="120" w:after="0"/>
      </w:pPr>
    </w:p>
    <w:tbl>
      <w:tblPr>
        <w:tblStyle w:val="TableGrid"/>
        <w:tblW w:w="0" w:type="auto"/>
        <w:tblLook w:val="04A0" w:firstRow="1" w:lastRow="0" w:firstColumn="1" w:lastColumn="0" w:noHBand="0" w:noVBand="1"/>
      </w:tblPr>
      <w:tblGrid>
        <w:gridCol w:w="9648"/>
      </w:tblGrid>
      <w:tr w:rsidR="008A6258" w14:paraId="031FDA91" w14:textId="77777777">
        <w:tc>
          <w:tcPr>
            <w:tcW w:w="9648" w:type="dxa"/>
            <w:tcBorders>
              <w:top w:val="single" w:sz="4" w:space="0" w:color="CCCCCC"/>
              <w:left w:val="single" w:sz="18" w:space="0" w:color="B8963E"/>
              <w:bottom w:val="single" w:sz="4" w:space="0" w:color="CCCCCC"/>
              <w:right w:val="single" w:sz="4" w:space="0" w:color="CCCCCC"/>
            </w:tcBorders>
            <w:shd w:val="clear" w:color="auto" w:fill="F8F4EE"/>
          </w:tcPr>
          <w:p w14:paraId="7C3E751D" w14:textId="77777777" w:rsidR="008A6258" w:rsidRDefault="006E7E86">
            <w:pPr>
              <w:spacing w:before="120" w:after="120"/>
              <w:jc w:val="both"/>
            </w:pPr>
            <w:r>
              <w:rPr>
                <w:rFonts w:ascii="Georgia" w:hAnsi="Georgia"/>
                <w:color w:val="3D3D3D"/>
                <w:sz w:val="20"/>
              </w:rPr>
              <w:t>The governance of artificial intelligence presents a structural challenge that existing instruments have not fully resolved. This framework is designed to sit above them as a constitutional review standard — not to replace them, but to provide the principled test against which their provisions can be evaluated for coherence, balance, and revisability.</w:t>
            </w:r>
          </w:p>
        </w:tc>
      </w:tr>
    </w:tbl>
    <w:p w14:paraId="781097E8" w14:textId="77777777" w:rsidR="008A6258" w:rsidRDefault="008A6258">
      <w:pPr>
        <w:spacing w:before="160" w:after="0"/>
      </w:pPr>
    </w:p>
    <w:p w14:paraId="2FA09812" w14:textId="77777777" w:rsidR="008A6258" w:rsidRDefault="006E7E86">
      <w:pPr>
        <w:spacing w:before="60" w:after="140"/>
        <w:jc w:val="both"/>
      </w:pPr>
      <w:r>
        <w:rPr>
          <w:rFonts w:ascii="Georgia" w:hAnsi="Georgia"/>
          <w:color w:val="3D3D3D"/>
        </w:rPr>
        <w:t>Existing AI governance instruments have each made genuine contributions. Enumerated prohibitions identify specific harmful practices and create legal certainty around them. Risk-tier classifications assign proportionate obligations and are practically workable within existing regulatory structures. Principle statements articulate values and provide interpretive guidance. Internal alignment documents govern the design of AI systems from the inside. Administrative orders coordinate institutional responses across government.</w:t>
      </w:r>
    </w:p>
    <w:p w14:paraId="3EF6AD73" w14:textId="77777777" w:rsidR="008A6258" w:rsidRDefault="006E7E86">
      <w:pPr>
        <w:spacing w:before="60" w:after="140"/>
        <w:jc w:val="both"/>
      </w:pPr>
      <w:r>
        <w:rPr>
          <w:rFonts w:ascii="Georgia" w:hAnsi="Georgia"/>
          <w:color w:val="3D3D3D"/>
        </w:rPr>
        <w:t>None of these approaches, taken alone or in combination, has produced a governance architecture that is fully coherent across scale, durable against political reversal, and capable of generating principled answers to situations its drafters could not have anticipated. Enumerated rules cannot self-extend to novel capabilities. Risk-tier boundaries are contested and require legislative revision as capabilities change. Principle statements do not generate enforceable standards when values conflict. Administrative orders are fragile against changes of government. Internal documents create no external accountability standard.</w:t>
      </w:r>
    </w:p>
    <w:p w14:paraId="1868F67D" w14:textId="77777777" w:rsidR="008A6258" w:rsidRDefault="006E7E86">
      <w:pPr>
        <w:spacing w:before="60" w:after="140"/>
        <w:jc w:val="both"/>
      </w:pPr>
      <w:r>
        <w:rPr>
          <w:rFonts w:ascii="Georgia" w:hAnsi="Georgia"/>
          <w:color w:val="3D3D3D"/>
        </w:rPr>
        <w:t>The Law-Aligned Intelligence Framework is designed to address this structural gap. It does not prescribe every rule. It provides the constitutional-level reasoning structure — a compact set of principles and a repeatable decision test — against which rules, deployments, and enforcement decisions can be evaluated. Its relationship to existing instruments is analogous to the relationship between a constitution and the statutes enacted under it: the constitution does not specify every rule, but it provides the structural standard against which rules are assessed for coherence, consistency, and legitimacy.</w:t>
      </w:r>
    </w:p>
    <w:p w14:paraId="0DC4C77F" w14:textId="77777777" w:rsidR="008A6258" w:rsidRDefault="006E7E86">
      <w:pPr>
        <w:spacing w:before="60" w:after="140"/>
        <w:jc w:val="both"/>
      </w:pPr>
      <w:r>
        <w:rPr>
          <w:rFonts w:ascii="Georgia" w:hAnsi="Georgia"/>
          <w:color w:val="3D3D3D"/>
        </w:rPr>
        <w:t>The framework rests on three convictions drawn from the comparative study of governance design. First, that restrictions on AI behaviour are most durable when structurally coupled to protections of the freedoms those restrictions serve — so that neither the restriction nor the protection can be weakened in isolation. Second, that governance logic applying consistently across scales is more reliable than logic that operates differently depending on which actor or jurisdiction is under scrutiny. Third, that governance decisions are better when they preserve the capacity of future actors to revise them as evidence, values, and circumstances change.</w:t>
      </w:r>
    </w:p>
    <w:p w14:paraId="5125FB73" w14:textId="77777777" w:rsidR="008A6258" w:rsidRDefault="006E7E86">
      <w:pPr>
        <w:spacing w:before="60" w:after="140"/>
        <w:jc w:val="both"/>
      </w:pPr>
      <w:r>
        <w:rPr>
          <w:rFonts w:ascii="Georgia" w:hAnsi="Georgia"/>
          <w:color w:val="3D3D3D"/>
        </w:rPr>
        <w:t>These convictions are not novel in governance theory. They are present in constitutional proportionality reasoning, in human-rights-based regulatory design, in adaptive risk governance, and in principle-based legal frameworks across multiple disciplines. This framework's distinctive contribution is the combination of these convictions into a single compact standard — the Coherence Test — that can be applied consistently across all actors and all scales of AI governance.</w:t>
      </w:r>
    </w:p>
    <w:p w14:paraId="392C39FA" w14:textId="77777777" w:rsidR="008A6258" w:rsidRDefault="006E7E86">
      <w:pPr>
        <w:spacing w:before="60" w:after="140"/>
        <w:jc w:val="both"/>
      </w:pPr>
      <w:r>
        <w:rPr>
          <w:rFonts w:ascii="Georgia" w:hAnsi="Georgia"/>
          <w:color w:val="3D3D3D"/>
        </w:rPr>
        <w:lastRenderedPageBreak/>
        <w:t>The framework is written at a level of abstraction deliberately independent of current AI capabilities, current institutional arrangements, and current political conditions. This is not evasion of specificity. It is the design property that allows the same framework to remain applicable as all three of those conditions change. Temporal and capability-specific provisions, which do require regular revision, are separated into Schedule A.</w:t>
      </w:r>
    </w:p>
    <w:p w14:paraId="70B9056F" w14:textId="77777777" w:rsidR="008A6258" w:rsidRDefault="006E7E86">
      <w:pPr>
        <w:spacing w:before="60" w:after="140"/>
        <w:jc w:val="both"/>
      </w:pPr>
      <w:r>
        <w:rPr>
          <w:rFonts w:ascii="Georgia" w:hAnsi="Georgia"/>
          <w:color w:val="3D3D3D"/>
        </w:rPr>
        <w:t>Version 1.2 upgrades the framework in four respects: the Coherence Test is integrated with the Pre-Deployment Coherence Assessment as its primary operational instrument; procedural triggers and decision thresholds are added throughout the Provision and Obligation Layers; institutional entry points are specified for regulatory bodies, courts, and operators; and the Amendment architecture is clarified to distinguish binding obligations from operational standards subject to revision without constitutional amendment.</w:t>
      </w:r>
    </w:p>
    <w:p w14:paraId="05125675" w14:textId="77777777" w:rsidR="008A6258" w:rsidRDefault="006E7E86">
      <w:r>
        <w:br w:type="page"/>
      </w:r>
    </w:p>
    <w:p w14:paraId="2B8B85F8" w14:textId="77777777" w:rsidR="008A6258" w:rsidRDefault="006E7E86">
      <w:pPr>
        <w:pStyle w:val="Heading1"/>
      </w:pPr>
      <w:r>
        <w:rPr>
          <w:rFonts w:ascii="Arial" w:hAnsi="Arial"/>
          <w:color w:val="1B2A4A"/>
          <w:sz w:val="36"/>
        </w:rPr>
        <w:lastRenderedPageBreak/>
        <w:t>PART ONE — FOUNDATIONAL PRINCIPLES</w:t>
      </w:r>
    </w:p>
    <w:p w14:paraId="229F4F2A" w14:textId="77777777" w:rsidR="008A6258" w:rsidRDefault="008A6258">
      <w:pPr>
        <w:pBdr>
          <w:bottom w:val="single" w:sz="8" w:space="1" w:color="B8963E"/>
        </w:pBdr>
        <w:spacing w:before="80" w:after="80"/>
      </w:pPr>
    </w:p>
    <w:p w14:paraId="54ACD074" w14:textId="77777777" w:rsidR="008A6258" w:rsidRDefault="008A6258">
      <w:pPr>
        <w:spacing w:before="120" w:after="0"/>
      </w:pPr>
    </w:p>
    <w:p w14:paraId="04C5D5F3" w14:textId="77777777" w:rsidR="008A6258" w:rsidRDefault="006E7E86">
      <w:pPr>
        <w:spacing w:before="60" w:after="140"/>
        <w:jc w:val="both"/>
      </w:pPr>
      <w:r>
        <w:rPr>
          <w:rFonts w:ascii="Georgia" w:hAnsi="Georgia"/>
          <w:color w:val="3D3D3D"/>
        </w:rPr>
        <w:t>These principles are not derived from the provisions of this framework. The provisions are derived from them. They represent the minimum conditions that any AI governance instrument must satisfy to achieve structural coherence across scale and time. They cannot be amended, suspended, or reinterpreted by any body acting under the authority this framework confers. A proposal to alter a foundational principle is not a proposal to amend this framework — it is a proposal to adopt a different one.</w:t>
      </w:r>
    </w:p>
    <w:p w14:paraId="34AD7CA8" w14:textId="77777777" w:rsidR="008A6258" w:rsidRDefault="008A6258">
      <w:pPr>
        <w:spacing w:before="160" w:after="0"/>
      </w:pPr>
    </w:p>
    <w:p w14:paraId="7E940767" w14:textId="77777777" w:rsidR="008A6258" w:rsidRDefault="006E7E86">
      <w:pPr>
        <w:pStyle w:val="Heading2"/>
      </w:pPr>
      <w:r>
        <w:rPr>
          <w:rFonts w:ascii="Arial" w:hAnsi="Arial"/>
          <w:color w:val="1B2A4A"/>
        </w:rPr>
        <w:t>Principle 1 — The Coherence Standard</w:t>
      </w:r>
    </w:p>
    <w:p w14:paraId="0FECFA79" w14:textId="77777777" w:rsidR="008A6258" w:rsidRDefault="006E7E86">
      <w:pPr>
        <w:spacing w:before="60" w:after="140"/>
        <w:jc w:val="both"/>
      </w:pPr>
      <w:r>
        <w:rPr>
          <w:rFonts w:ascii="Georgia" w:hAnsi="Georgia"/>
          <w:color w:val="3D3D3D"/>
        </w:rPr>
        <w:t>A governance provision for AI is structurally coherent if it satisfies three conditions simultaneously. First, it is coupled: the restriction it imposes identifies and protects the specific human interest — freedom, safety, or dignity — that the restriction is designed to serve. A restriction that cannot identify what it protects is not coherently grounded. A restriction whose paired protection is weaker in normative force than the restriction itself is structurally asymmetric and therefore subject to challenge under this principle. Second, it is consistent: the reasoning that justifies the provision at the scale of its application would also justify comparable provisions at significantly smaller and larger scales. Governance logic that produces obviously unjust or unworkable outcomes when applied more broadly or more narrowly is not a principle — it is a political judgment presenting itself as one. Third, it is revisable: the provision is designed so that future actors can modify or reverse it without dismantling the broader governance architecture of which it is part. Provisions that are structurally irreversible require justification proportionate to the permanence of their consequences.</w:t>
      </w:r>
    </w:p>
    <w:p w14:paraId="1151B7C5" w14:textId="77777777" w:rsidR="008A6258" w:rsidRDefault="006E7E86">
      <w:pPr>
        <w:spacing w:before="60" w:after="140"/>
        <w:jc w:val="both"/>
      </w:pPr>
      <w:r>
        <w:rPr>
          <w:rFonts w:ascii="Georgia" w:hAnsi="Georgia"/>
          <w:color w:val="3D3D3D"/>
        </w:rPr>
        <w:t>These three conditions are not independently sufficient. A provision that is coupled but not consistent is a carve-out dressed as a principle. A provision that is consistent but not revisable may produce structural lock-in that forecloses correction as circumstances change. All three conditions must be satisfied simultaneously.</w:t>
      </w:r>
    </w:p>
    <w:p w14:paraId="0703C2CF" w14:textId="77777777" w:rsidR="008A6258" w:rsidRDefault="008A6258">
      <w:pPr>
        <w:spacing w:before="160" w:after="0"/>
      </w:pPr>
    </w:p>
    <w:p w14:paraId="36552231" w14:textId="77777777" w:rsidR="008A6258" w:rsidRDefault="006E7E86">
      <w:pPr>
        <w:pStyle w:val="Heading2"/>
      </w:pPr>
      <w:r>
        <w:rPr>
          <w:rFonts w:ascii="Arial" w:hAnsi="Arial"/>
          <w:color w:val="1B2A4A"/>
        </w:rPr>
        <w:t>Principle 2 — The Coupling Requirement</w:t>
      </w:r>
    </w:p>
    <w:p w14:paraId="7B0D84F8" w14:textId="77777777" w:rsidR="008A6258" w:rsidRDefault="006E7E86">
      <w:pPr>
        <w:spacing w:before="60" w:after="140"/>
        <w:jc w:val="both"/>
      </w:pPr>
      <w:r>
        <w:rPr>
          <w:rFonts w:ascii="Georgia" w:hAnsi="Georgia"/>
          <w:color w:val="3D3D3D"/>
        </w:rPr>
        <w:t>Every provision of this framework that constrains AI behaviour or AI deployment is paired with a corresponding provision that protects the human interest the constraint is designed to serve. This pairing is structural, not rhetorical. It means that enforcing a constraint and securing its corresponding protection are treated as a single governance obligation — not as two independent obligations that can be pursued or abandoned separately. An enforcement body that upholds a constraint while declining to secure its paired enablement has applied only half of this framework and has acted inconsistently with this principle.</w:t>
      </w:r>
    </w:p>
    <w:p w14:paraId="50B30FC2" w14:textId="77777777" w:rsidR="008A6258" w:rsidRDefault="006E7E86">
      <w:pPr>
        <w:spacing w:before="60" w:after="140"/>
        <w:jc w:val="both"/>
      </w:pPr>
      <w:r>
        <w:rPr>
          <w:rFonts w:ascii="Georgia" w:hAnsi="Georgia"/>
          <w:color w:val="3D3D3D"/>
        </w:rPr>
        <w:t xml:space="preserve">The practical consequence of this principle is resistance to two symmetrical forms of distortion: the use of AI governance to restrict capabilities in ways that produce no identifiable human benefit, and the use of AI governance to enable deployments in ways that produce no identifiable human </w:t>
      </w:r>
      <w:r>
        <w:rPr>
          <w:rFonts w:ascii="Georgia" w:hAnsi="Georgia"/>
          <w:color w:val="3D3D3D"/>
        </w:rPr>
        <w:lastRenderedPageBreak/>
        <w:t>protection. Both forms of distortion are structurally equivalent violations of the coupling requirement. A framework that consistently enforces constraints while allowing their paired enablements to atrophy is not law-aligned governance — it is regulatory capture expressed in constitutional language.</w:t>
      </w:r>
    </w:p>
    <w:p w14:paraId="00707473" w14:textId="77777777" w:rsidR="008A6258" w:rsidRDefault="008A6258">
      <w:pPr>
        <w:spacing w:before="160" w:after="0"/>
      </w:pPr>
    </w:p>
    <w:p w14:paraId="753013A0" w14:textId="77777777" w:rsidR="008A6258" w:rsidRDefault="006E7E86">
      <w:pPr>
        <w:pStyle w:val="Heading2"/>
      </w:pPr>
      <w:r>
        <w:rPr>
          <w:rFonts w:ascii="Arial" w:hAnsi="Arial"/>
          <w:color w:val="1B2A4A"/>
        </w:rPr>
        <w:t>Principle 3 — The Non-Accumulation Principle</w:t>
      </w:r>
    </w:p>
    <w:p w14:paraId="506DD5A4" w14:textId="77777777" w:rsidR="008A6258" w:rsidRDefault="006E7E86">
      <w:pPr>
        <w:spacing w:before="60" w:after="140"/>
        <w:jc w:val="both"/>
      </w:pPr>
      <w:r>
        <w:rPr>
          <w:rFonts w:ascii="Georgia" w:hAnsi="Georgia"/>
          <w:color w:val="3D3D3D"/>
        </w:rPr>
        <w:t>This framework is not a repository for political commitments, stakeholder preferences, or aspirational goals that lack structural grounding in its architecture. Every provision must perform a distinct and identifiable function. Where provisions address similar concerns, they do so at distinct levels — constitutional, operational, or temporal — without duplication. A proposed amendment that cannot be structurally coupled to an existing provision, and cannot be shown to perform a function not already performed by the framework, belongs in subsidiary regulation rather than in the principal text.</w:t>
      </w:r>
    </w:p>
    <w:p w14:paraId="20A9C4D4" w14:textId="77777777" w:rsidR="008A6258" w:rsidRDefault="006E7E86">
      <w:pPr>
        <w:spacing w:before="60" w:after="140"/>
        <w:jc w:val="both"/>
      </w:pPr>
      <w:r>
        <w:rPr>
          <w:rFonts w:ascii="Georgia" w:hAnsi="Georgia"/>
          <w:color w:val="3D3D3D"/>
        </w:rPr>
        <w:t>This principle also prohibits the use of ambiguity to accumulate implicit obligations that were not explicitly adopted through the amendment process. Any obligation not expressly stated in the principal text or its schedules is not an obligation of this framework. Interpretive expansion beyond express text is governed by the Coherence Test, not by analogy or implication.</w:t>
      </w:r>
    </w:p>
    <w:p w14:paraId="2BF0C119" w14:textId="77777777" w:rsidR="008A6258" w:rsidRDefault="008A6258">
      <w:pPr>
        <w:spacing w:before="160" w:after="0"/>
      </w:pPr>
    </w:p>
    <w:p w14:paraId="4E2CABE1" w14:textId="77777777" w:rsidR="008A6258" w:rsidRDefault="006E7E86">
      <w:pPr>
        <w:pStyle w:val="Heading2"/>
      </w:pPr>
      <w:r>
        <w:rPr>
          <w:rFonts w:ascii="Arial" w:hAnsi="Arial"/>
          <w:color w:val="1B2A4A"/>
        </w:rPr>
        <w:t>Principle 4 — The Temporal Separation Principle</w:t>
      </w:r>
    </w:p>
    <w:p w14:paraId="22CAC1BD" w14:textId="77777777" w:rsidR="008A6258" w:rsidRDefault="006E7E86">
      <w:pPr>
        <w:spacing w:before="60" w:after="140"/>
        <w:jc w:val="both"/>
      </w:pPr>
      <w:r>
        <w:rPr>
          <w:rFonts w:ascii="Georgia" w:hAnsi="Georgia"/>
          <w:color w:val="3D3D3D"/>
        </w:rPr>
        <w:t>The principal text of this framework contains no reference to specific AI capabilities, specific institutional arrangements, specific numerical thresholds, or specific political conditions. All such references are contained in Schedule A, which is explicitly designated as subject to revision without triggering the amendment process applicable to the principal text. This separation reflects a structural insight from constitutional design: provisions addressing timeless relationships between governance actors and those they govern are more durable when kept distinct from provisions addressing the specific conditions of a particular era.</w:t>
      </w:r>
    </w:p>
    <w:p w14:paraId="577731D2" w14:textId="77777777" w:rsidR="008A6258" w:rsidRDefault="006E7E86">
      <w:pPr>
        <w:spacing w:before="60" w:after="140"/>
        <w:jc w:val="both"/>
      </w:pPr>
      <w:r>
        <w:rPr>
          <w:rFonts w:ascii="Georgia" w:hAnsi="Georgia"/>
          <w:color w:val="3D3D3D"/>
        </w:rPr>
        <w:t>The practical implication of this principle is that when circumstances change in ways not anticipated by the principal text, the correct response is to revise Schedule A or adopt subsidiary regulation — not to reinterpret the principal text to fit new conditions. The principal text governs the relationship structure. Schedule A governs the current conditions within which that relationship operates.</w:t>
      </w:r>
    </w:p>
    <w:p w14:paraId="12BF2E0B" w14:textId="77777777" w:rsidR="008A6258" w:rsidRDefault="008A6258">
      <w:pPr>
        <w:spacing w:before="160" w:after="0"/>
      </w:pPr>
    </w:p>
    <w:p w14:paraId="4B560CED" w14:textId="77777777" w:rsidR="008A6258" w:rsidRDefault="006E7E86">
      <w:pPr>
        <w:pStyle w:val="Heading2"/>
      </w:pPr>
      <w:r>
        <w:rPr>
          <w:rFonts w:ascii="Arial" w:hAnsi="Arial"/>
          <w:color w:val="1B2A4A"/>
        </w:rPr>
        <w:t>Principle 5 — The Consistency Principle</w:t>
      </w:r>
    </w:p>
    <w:p w14:paraId="3F3AAB07" w14:textId="77777777" w:rsidR="008A6258" w:rsidRDefault="006E7E86">
      <w:pPr>
        <w:spacing w:before="60" w:after="140"/>
        <w:jc w:val="both"/>
      </w:pPr>
      <w:r>
        <w:rPr>
          <w:rFonts w:ascii="Georgia" w:hAnsi="Georgia"/>
          <w:color w:val="3D3D3D"/>
        </w:rPr>
        <w:t>The Coherence Test in Part Five is the single evaluative standard of this framework. It applies to decisions made by AI systems, by AI developers, by operators, by regulators, and by legislators. It applies at the scale of a single system output, a deployment configuration, an enforcement decision, and a legislative instrument. The same three questions are asked at every level of application. The same reasoning structure generates the answer.</w:t>
      </w:r>
    </w:p>
    <w:p w14:paraId="48BFF798" w14:textId="77777777" w:rsidR="008A6258" w:rsidRDefault="006E7E86">
      <w:pPr>
        <w:spacing w:before="60" w:after="140"/>
        <w:jc w:val="both"/>
      </w:pPr>
      <w:r>
        <w:rPr>
          <w:rFonts w:ascii="Georgia" w:hAnsi="Georgia"/>
          <w:color w:val="3D3D3D"/>
        </w:rPr>
        <w:lastRenderedPageBreak/>
        <w:t>A standard that applies differently depending on whether the actor is large or small, public or private, domestic or foreign, is not a governance standard. It is a governance advantage for those who fall outside its strictest application. Differential application without principled justification is itself a violation of this principle and is subject to challenge under the Coherence Test.</w:t>
      </w:r>
    </w:p>
    <w:p w14:paraId="078A6A13" w14:textId="77777777" w:rsidR="008A6258" w:rsidRDefault="006E7E86">
      <w:r>
        <w:br w:type="page"/>
      </w:r>
    </w:p>
    <w:p w14:paraId="641404EF" w14:textId="77777777" w:rsidR="008A6258" w:rsidRDefault="006E7E86">
      <w:pPr>
        <w:pStyle w:val="Heading1"/>
      </w:pPr>
      <w:r>
        <w:rPr>
          <w:rFonts w:ascii="Arial" w:hAnsi="Arial"/>
          <w:color w:val="1B2A4A"/>
          <w:sz w:val="36"/>
        </w:rPr>
        <w:lastRenderedPageBreak/>
        <w:t>PART TWO — THE INTEGRITY LAYER</w:t>
      </w:r>
    </w:p>
    <w:p w14:paraId="6F0E4134" w14:textId="77777777" w:rsidR="008A6258" w:rsidRDefault="008A6258">
      <w:pPr>
        <w:pBdr>
          <w:bottom w:val="single" w:sz="8" w:space="1" w:color="B8963E"/>
        </w:pBdr>
        <w:spacing w:before="80" w:after="80"/>
      </w:pPr>
    </w:p>
    <w:p w14:paraId="10E855D0" w14:textId="77777777" w:rsidR="008A6258" w:rsidRDefault="008A6258">
      <w:pPr>
        <w:spacing w:before="120" w:after="0"/>
      </w:pPr>
    </w:p>
    <w:p w14:paraId="3C30D206" w14:textId="77777777" w:rsidR="008A6258" w:rsidRDefault="006E7E86">
      <w:pPr>
        <w:spacing w:before="60" w:after="140"/>
        <w:jc w:val="both"/>
      </w:pPr>
      <w:r>
        <w:rPr>
          <w:rFonts w:ascii="Georgia" w:hAnsi="Georgia"/>
          <w:color w:val="3D3D3D"/>
        </w:rPr>
        <w:t>The Integrity Layer defines the minimum structural properties that any AI system must exhibit before it may be deployed in any context governed by this framework. It does not specify what AI systems may or may not do in operation — that is the function of the Provision Layer in Part Three. The Integrity Layer specifies what AI systems must be, structurally, as a precondition of lawful deployment.</w:t>
      </w:r>
    </w:p>
    <w:p w14:paraId="37F5F244" w14:textId="77777777" w:rsidR="008A6258" w:rsidRDefault="006E7E86">
      <w:pPr>
        <w:spacing w:before="60" w:after="140"/>
        <w:jc w:val="both"/>
      </w:pPr>
      <w:r>
        <w:rPr>
          <w:rFonts w:ascii="Georgia" w:hAnsi="Georgia"/>
          <w:color w:val="3D3D3D"/>
        </w:rPr>
        <w:t>These properties are defined behaviourally — in terms of what can be externally verified — rather than by reference to internal training processes, architectural choices, or developer commitments that cannot be independently assessed. This allows the Integrity Layer to be applied by regulators, courts, and affected parties without requiring access to proprietary systems. The definitions below are intentionally technology-neutral: they do not depend on the specific architecture of any current AI system and do not require amendment as architectures evolve.</w:t>
      </w:r>
    </w:p>
    <w:p w14:paraId="715BFC7B" w14:textId="77777777" w:rsidR="008A6258" w:rsidRDefault="006E7E86">
      <w:pPr>
        <w:spacing w:before="60" w:after="140"/>
        <w:jc w:val="both"/>
      </w:pPr>
      <w:r>
        <w:rPr>
          <w:rFonts w:ascii="Georgia" w:hAnsi="Georgia"/>
          <w:color w:val="3D3D3D"/>
        </w:rPr>
        <w:t>Satisfaction of the Integrity Layer is a precondition, not a defence. An operator who establishes that a system satisfies the Integrity Layer at the point of deployment has not thereby discharged all obligations under this framework. Integrity Layer compliance establishes the baseline required before any deployment may proceed. Ongoing compliance is required throughout the system's operational life.</w:t>
      </w:r>
    </w:p>
    <w:p w14:paraId="70F1FC75" w14:textId="77777777" w:rsidR="008A6258" w:rsidRDefault="008A6258">
      <w:pPr>
        <w:spacing w:before="160" w:after="0"/>
      </w:pPr>
    </w:p>
    <w:p w14:paraId="0E6F056D" w14:textId="77777777" w:rsidR="008A6258" w:rsidRDefault="006E7E86">
      <w:pPr>
        <w:pStyle w:val="Heading2"/>
      </w:pPr>
      <w:r>
        <w:rPr>
          <w:rFonts w:ascii="Arial" w:hAnsi="Arial"/>
          <w:color w:val="1B2A4A"/>
        </w:rPr>
        <w:t>2.1  Structural Transparency</w:t>
      </w:r>
    </w:p>
    <w:p w14:paraId="542FCFE2" w14:textId="77777777" w:rsidR="008A6258" w:rsidRDefault="006E7E86">
      <w:pPr>
        <w:spacing w:before="60" w:after="140"/>
        <w:jc w:val="both"/>
      </w:pPr>
      <w:r>
        <w:rPr>
          <w:rFonts w:ascii="Georgia" w:hAnsi="Georgia"/>
          <w:color w:val="3D3D3D"/>
        </w:rPr>
        <w:t>An AI system is structurally transparent if persons affected by its outputs can obtain, on request, a meaningful account of the basis on which those outputs were generated, the degree of confidence or uncertainty associated with them, and the material limitations of the system relevant to the context of their interaction. Structural transparency does not require that every computational step be interpretable in lay terms. It requires that the system does not present outputs with false confidence, conceal material limitations, or generate explanations designed to create impressions of reliability or accuracy that the system's actual performance does not support.</w:t>
      </w:r>
    </w:p>
    <w:p w14:paraId="4946EE2A" w14:textId="77777777" w:rsidR="008A6258" w:rsidRDefault="006E7E86">
      <w:pPr>
        <w:spacing w:before="60" w:after="140"/>
        <w:jc w:val="both"/>
      </w:pPr>
      <w:r>
        <w:rPr>
          <w:rFonts w:ascii="Georgia" w:hAnsi="Georgia"/>
          <w:color w:val="3D3D3D"/>
        </w:rPr>
        <w:t>For the purposes of this provision, a "meaningful account" satisfies the following conditions: it is comprehensible to a person without specialist technical knowledge in the domain of the output; it identifies the principal factors that influenced the output with sufficient specificity that the affected person can assess whether those factors are accurate in their case; it quantifies or qualifies the degree of confidence or uncertainty associated with the output where such qualification is material to the decision the person will make in reliance on it; and it identifies the material limitations of the system relevant to the context, including known error rates, known demographic performance disparities, and known capability boundaries applicable to the output in question. An account that satisfies the first three conditions but omits the fourth is not a meaningful account where the omitted limitation is material. An account that is technically accurate but expressed in specialist terminology inaccessible to the affected person is not a meaningful account regardless of its technical completeness.</w:t>
      </w:r>
    </w:p>
    <w:p w14:paraId="412B8BA9" w14:textId="77777777" w:rsidR="008A6258" w:rsidRDefault="006E7E86">
      <w:pPr>
        <w:spacing w:before="60" w:after="160"/>
        <w:ind w:left="432"/>
        <w:jc w:val="both"/>
      </w:pPr>
      <w:r>
        <w:rPr>
          <w:rFonts w:ascii="Georgia" w:hAnsi="Georgia"/>
          <w:b/>
          <w:color w:val="1B2A4A"/>
          <w:sz w:val="20"/>
        </w:rPr>
        <w:lastRenderedPageBreak/>
        <w:t xml:space="preserve">Procedural trigger (2.1):  </w:t>
      </w:r>
      <w:r>
        <w:rPr>
          <w:rFonts w:ascii="Georgia" w:hAnsi="Georgia"/>
          <w:color w:val="3D3D3D"/>
          <w:sz w:val="20"/>
        </w:rPr>
        <w:t>A deploying operator must be able to demonstrate, on request by a regulator or affected person, that the system can produce a meaningful account for any output it generates in a context where that output materially affects a person's interests. Inability to produce such a demonstration constitutes prima facie evidence of a failure to satisfy the structural transparency requirement and triggers the enforcement provisions of Part Seven.</w:t>
      </w:r>
    </w:p>
    <w:p w14:paraId="3E99BA65" w14:textId="77777777" w:rsidR="008A6258" w:rsidRDefault="008A6258">
      <w:pPr>
        <w:spacing w:before="160" w:after="0"/>
      </w:pPr>
    </w:p>
    <w:p w14:paraId="2A909307" w14:textId="77777777" w:rsidR="008A6258" w:rsidRDefault="006E7E86">
      <w:pPr>
        <w:pStyle w:val="Heading2"/>
      </w:pPr>
      <w:r>
        <w:rPr>
          <w:rFonts w:ascii="Arial" w:hAnsi="Arial"/>
          <w:color w:val="1B2A4A"/>
        </w:rPr>
        <w:t>2.2  Structural Honesty</w:t>
      </w:r>
    </w:p>
    <w:p w14:paraId="07654153" w14:textId="77777777" w:rsidR="008A6258" w:rsidRDefault="006E7E86">
      <w:pPr>
        <w:spacing w:before="60" w:after="140"/>
        <w:jc w:val="both"/>
      </w:pPr>
      <w:r>
        <w:rPr>
          <w:rFonts w:ascii="Georgia" w:hAnsi="Georgia"/>
          <w:color w:val="3D3D3D"/>
        </w:rPr>
        <w:t>An AI system is structurally honest if it does not pursue objectives undisclosed to its principal hierarchy, does not misrepresent its own nature, capabilities, or limitations, and does not generate outputs designed to produce beliefs in the minds of users that the operator or the system itself knows or ought to know are false. Structural honesty must be robust: a system that satisfies this standard under ordinary conditions but departs from it under adversarial, commercial, or institutional pressure has not satisfied it. The property must hold across the full operational range of the system.</w:t>
      </w:r>
    </w:p>
    <w:p w14:paraId="5287AF18" w14:textId="77777777" w:rsidR="008A6258" w:rsidRDefault="006E7E86">
      <w:pPr>
        <w:spacing w:before="60" w:after="140"/>
        <w:jc w:val="both"/>
      </w:pPr>
      <w:r>
        <w:rPr>
          <w:rFonts w:ascii="Georgia" w:hAnsi="Georgia"/>
          <w:color w:val="3D3D3D"/>
        </w:rPr>
        <w:t>The requirement of robustness under pressure is an operational requirement that an operator must be able to demonstrate through adversarial testing documentation before deployment. A system whose disclosed optimisation objectives differ from its actual implemented objectives does not satisfy structural honesty. A system that presents its outputs with a degree of confidence not supported by its calibrated performance in comparable deployment contexts does not satisfy structural honesty.</w:t>
      </w:r>
    </w:p>
    <w:p w14:paraId="3A55106C" w14:textId="77777777" w:rsidR="008A6258" w:rsidRDefault="006E7E86">
      <w:pPr>
        <w:spacing w:before="60" w:after="160"/>
        <w:ind w:left="432"/>
        <w:jc w:val="both"/>
      </w:pPr>
      <w:r>
        <w:rPr>
          <w:rFonts w:ascii="Georgia" w:hAnsi="Georgia"/>
          <w:b/>
          <w:color w:val="1B2A4A"/>
          <w:sz w:val="20"/>
        </w:rPr>
        <w:t xml:space="preserve">Procedural trigger (2.2):  </w:t>
      </w:r>
      <w:r>
        <w:rPr>
          <w:rFonts w:ascii="Georgia" w:hAnsi="Georgia"/>
          <w:color w:val="3D3D3D"/>
          <w:sz w:val="20"/>
        </w:rPr>
        <w:t>Where an affected person or a regulatory body has reasonable grounds to believe that a system's stated optimisation objectives do not correspond to its actual implemented objectives, the operator bears the burden of demonstrating correspondence through production of objective function documentation and independent verification evidence. Failure to produce such documentation within a reasonable timeframe determined by the applicable regulatory process constitutes a rebuttable presumption of non-compliance with this provision.</w:t>
      </w:r>
    </w:p>
    <w:p w14:paraId="6C63DDDE" w14:textId="77777777" w:rsidR="008A6258" w:rsidRDefault="008A6258">
      <w:pPr>
        <w:spacing w:before="160" w:after="0"/>
      </w:pPr>
    </w:p>
    <w:p w14:paraId="4E43774C" w14:textId="77777777" w:rsidR="008A6258" w:rsidRDefault="006E7E86">
      <w:pPr>
        <w:pStyle w:val="Heading2"/>
      </w:pPr>
      <w:r>
        <w:rPr>
          <w:rFonts w:ascii="Arial" w:hAnsi="Arial"/>
          <w:color w:val="1B2A4A"/>
        </w:rPr>
        <w:t>2.3  Structural Containment</w:t>
      </w:r>
    </w:p>
    <w:p w14:paraId="0D447CCC" w14:textId="77777777" w:rsidR="008A6258" w:rsidRDefault="006E7E86">
      <w:pPr>
        <w:spacing w:before="60" w:after="140"/>
        <w:jc w:val="both"/>
      </w:pPr>
      <w:r>
        <w:rPr>
          <w:rFonts w:ascii="Georgia" w:hAnsi="Georgia"/>
          <w:color w:val="3D3D3D"/>
        </w:rPr>
        <w:t>An AI system is structurally contained if it operates within the operational boundaries established by its principal hierarchy, does not seek to acquire capabilities, resources, or influence beyond what is necessary for its authorised function, does not take actions that would obstruct or circumvent oversight mechanisms applicable to it, and does not initiate actions whose consequences are substantially irreversible without explicit authorisation at an appropriate level of authority. Structural containment is not synonymous with passivity. It is the property that keeps the scope of AI agency within the domain where human oversight remains effective and meaningful.</w:t>
      </w:r>
    </w:p>
    <w:p w14:paraId="17745DF3" w14:textId="77777777" w:rsidR="008A6258" w:rsidRDefault="006E7E86">
      <w:pPr>
        <w:spacing w:before="60" w:after="140"/>
        <w:jc w:val="both"/>
      </w:pPr>
      <w:r>
        <w:rPr>
          <w:rFonts w:ascii="Georgia" w:hAnsi="Georgia"/>
          <w:color w:val="3D3D3D"/>
        </w:rPr>
        <w:t>For agentic systems — AI systems that take sequences of actions, use tools, or operate over extended time horizons without continuous human supervision — structural containment additionally requires: documented scope limitation mechanisms that prevent the system from acquiring access to resources, data, or capabilities beyond those required for its current authorised function; logging of all actions taken in sufficient detail to support post-hoc human review; and interrupt mechanisms that allow human principals to halt the system's operation at any point without degrading the system's ability to resume operation from a safe state.</w:t>
      </w:r>
    </w:p>
    <w:p w14:paraId="664503D3" w14:textId="77777777" w:rsidR="008A6258" w:rsidRDefault="006E7E86">
      <w:pPr>
        <w:spacing w:before="60" w:after="160"/>
        <w:ind w:left="432"/>
        <w:jc w:val="both"/>
      </w:pPr>
      <w:r>
        <w:rPr>
          <w:rFonts w:ascii="Georgia" w:hAnsi="Georgia"/>
          <w:b/>
          <w:color w:val="1B2A4A"/>
          <w:sz w:val="20"/>
        </w:rPr>
        <w:lastRenderedPageBreak/>
        <w:t xml:space="preserve">Procedural trigger (2.3):  </w:t>
      </w:r>
      <w:r>
        <w:rPr>
          <w:rFonts w:ascii="Georgia" w:hAnsi="Georgia"/>
          <w:color w:val="3D3D3D"/>
          <w:sz w:val="20"/>
        </w:rPr>
        <w:t>Before deploying any system in a context where it may take actions with consequences that are not immediately reversible by the deploying operator, the operator must complete a Pre-Deployment Coherence Assessment as specified in Part Nine and document, at minimum: the scope of the system's authorised actions; the authorisation level required for actions with substantially irreversible consequences; and the interrupt mechanism available to human principals. The absence of a completed PDCA in such contexts constitutes a structural containment failure triggering the enforcement provisions of Part Seven.</w:t>
      </w:r>
    </w:p>
    <w:p w14:paraId="00B0999C" w14:textId="77777777" w:rsidR="008A6258" w:rsidRDefault="008A6258">
      <w:pPr>
        <w:spacing w:before="160" w:after="0"/>
      </w:pPr>
    </w:p>
    <w:p w14:paraId="1201B4FD" w14:textId="77777777" w:rsidR="008A6258" w:rsidRDefault="006E7E86">
      <w:pPr>
        <w:pStyle w:val="Heading2"/>
      </w:pPr>
      <w:r>
        <w:rPr>
          <w:rFonts w:ascii="Arial" w:hAnsi="Arial"/>
          <w:color w:val="1B2A4A"/>
        </w:rPr>
        <w:t>2.4  The Integrity Threshold</w:t>
      </w:r>
    </w:p>
    <w:p w14:paraId="6689140B" w14:textId="77777777" w:rsidR="008A6258" w:rsidRDefault="006E7E86">
      <w:pPr>
        <w:spacing w:before="60" w:after="140"/>
        <w:jc w:val="both"/>
      </w:pPr>
      <w:r>
        <w:rPr>
          <w:rFonts w:ascii="Georgia" w:hAnsi="Georgia"/>
          <w:color w:val="3D3D3D"/>
        </w:rPr>
        <w:t>All three properties must be satisfied simultaneously before an AI system may be deployed in any context governed by this framework. Satisfaction of two is not sufficient. Each property addresses a distinct governance failure mode: a system that is transparent and honest but not contained is one whose operations are visible but whose scope cannot be governed; a system that is transparent and contained but not honest accurately discloses a misleading picture; a system that is honest and contained but not transparent respects its operational limits only while it remains unexamined. The three properties together constitute the minimum structural basis for a governance relationship between an AI system and the people and institutions responsible for it.</w:t>
      </w:r>
    </w:p>
    <w:p w14:paraId="33D2CFF0" w14:textId="77777777" w:rsidR="008A6258" w:rsidRDefault="006E7E86">
      <w:pPr>
        <w:spacing w:before="80" w:after="120"/>
        <w:jc w:val="both"/>
      </w:pPr>
      <w:r>
        <w:rPr>
          <w:rFonts w:ascii="Georgia" w:hAnsi="Georgia"/>
          <w:b/>
          <w:color w:val="1B2A4A"/>
        </w:rPr>
        <w:t xml:space="preserve">Defined term — Equivalent normative force:  </w:t>
      </w:r>
      <w:r>
        <w:rPr>
          <w:rFonts w:ascii="Georgia" w:hAnsi="Georgia"/>
          <w:color w:val="3D3D3D"/>
        </w:rPr>
        <w:t>A protection has equivalent normative force to a constraint when it satisfies all three of the following: (a) it creates enforceable rights — not merely principles or aspirational standards — of equivalent scope and precision to the obligations the constraint creates; (b) it is accessible to the same class of affected persons as those who bear the burden of the constraint, without additional procedural barriers or fees; and (c) its enforcement mechanisms are as accessible and effective as those available to enforce the constraint. A protection that satisfies conditions (a) and (b) but whose enforcement mechanisms are materially weaker than those available for the constraint is not of equivalent normative force. This definition applies wherever the term is used in this framework.</w:t>
      </w:r>
    </w:p>
    <w:p w14:paraId="397FF591" w14:textId="77777777" w:rsidR="008A6258" w:rsidRDefault="006E7E86">
      <w:pPr>
        <w:spacing w:before="60" w:after="140"/>
        <w:jc w:val="both"/>
      </w:pPr>
      <w:r>
        <w:rPr>
          <w:rFonts w:ascii="Georgia" w:hAnsi="Georgia"/>
          <w:color w:val="3D3D3D"/>
        </w:rPr>
        <w:t>The Integrity Layer is assessed at three points: before initial deployment; following any material change to the system's model, training data, objective function, or deployment context; and as part of the periodic monitoring required by Part Nine. A finding that a system no longer satisfies the Integrity Layer following a material change requires suspension of the relevant deployment until compliance is re-established and documented.</w:t>
      </w:r>
    </w:p>
    <w:p w14:paraId="7CFC8B2C" w14:textId="77777777" w:rsidR="008A6258" w:rsidRDefault="008A6258">
      <w:pPr>
        <w:spacing w:before="160" w:after="0"/>
      </w:pPr>
    </w:p>
    <w:tbl>
      <w:tblPr>
        <w:tblStyle w:val="TableGrid"/>
        <w:tblW w:w="0" w:type="auto"/>
        <w:tblLook w:val="04A0" w:firstRow="1" w:lastRow="0" w:firstColumn="1" w:lastColumn="0" w:noHBand="0" w:noVBand="1"/>
      </w:tblPr>
      <w:tblGrid>
        <w:gridCol w:w="9648"/>
      </w:tblGrid>
      <w:tr w:rsidR="008A6258" w14:paraId="220F509B" w14:textId="77777777">
        <w:tc>
          <w:tcPr>
            <w:tcW w:w="9648" w:type="dxa"/>
            <w:tcBorders>
              <w:top w:val="single" w:sz="4" w:space="0" w:color="CCCCCC"/>
              <w:left w:val="single" w:sz="18" w:space="0" w:color="1B2A4A"/>
              <w:bottom w:val="single" w:sz="4" w:space="0" w:color="CCCCCC"/>
              <w:right w:val="single" w:sz="4" w:space="0" w:color="CCCCCC"/>
            </w:tcBorders>
            <w:shd w:val="clear" w:color="auto" w:fill="F4F6FA"/>
          </w:tcPr>
          <w:p w14:paraId="7F740C78" w14:textId="77777777" w:rsidR="008A6258" w:rsidRDefault="006E7E86">
            <w:pPr>
              <w:spacing w:before="120" w:after="120"/>
              <w:jc w:val="both"/>
            </w:pPr>
            <w:r>
              <w:rPr>
                <w:rFonts w:ascii="Arial" w:hAnsi="Arial"/>
                <w:b/>
                <w:color w:val="1B2A4A"/>
                <w:sz w:val="20"/>
              </w:rPr>
              <w:t xml:space="preserve">Operationalisation Note  </w:t>
            </w:r>
            <w:r>
              <w:rPr>
                <w:rFonts w:ascii="Georgia" w:hAnsi="Georgia"/>
                <w:color w:val="3D3D3D"/>
                <w:sz w:val="20"/>
              </w:rPr>
              <w:t>The Integrity Layer requirements apply at constitutional level. Their application in specific regulatory, commercial, and judicial contexts requires operationalisation instruments — definitions of adequate transparency for specific deployment contexts, audit protocols, certification standards, and procedural rules — appropriate to those contexts and to the legal traditions of adopting jurisdictions. Such instruments are subordinate to the Integrity Layer. Where they conflict with it, the Integrity Layer governs. The PDCA in Part Nine provides the primary operationalisation instrument for the Integrity Layer within this framework.</w:t>
            </w:r>
          </w:p>
        </w:tc>
      </w:tr>
    </w:tbl>
    <w:p w14:paraId="40940B46" w14:textId="77777777" w:rsidR="008A6258" w:rsidRDefault="006E7E86">
      <w:pPr>
        <w:pStyle w:val="Heading2"/>
        <w:spacing w:before="480" w:after="160"/>
      </w:pPr>
      <w:r>
        <w:rPr>
          <w:rFonts w:ascii="Arial" w:hAnsi="Arial"/>
          <w:color w:val="1B2A4A"/>
        </w:rPr>
        <w:lastRenderedPageBreak/>
        <w:t>2.5  Structural Calibration</w:t>
      </w:r>
    </w:p>
    <w:p w14:paraId="0A81426B" w14:textId="77777777" w:rsidR="008A6258" w:rsidRDefault="006E7E86">
      <w:pPr>
        <w:spacing w:before="80" w:after="120"/>
        <w:jc w:val="both"/>
      </w:pPr>
      <w:r>
        <w:rPr>
          <w:rFonts w:ascii="Georgia" w:hAnsi="Georgia"/>
          <w:color w:val="3D3D3D"/>
        </w:rPr>
        <w:t>An AI system satisfies the structural calibration requirement if its outputs are probabilistically calibrated relative to the system's actual real-world performance — not merely internally consistent with one another. A system whose confidence expressions do not correspond to its empirically observed accuracy rates in comparable deployment contexts fails this requirement, regardless of whether those confidence expressions are internally coherent. Structural calibration requires that expressed uncertainty be grounded in documented performance evidence, not derived solely from the system's own generative process.</w:t>
      </w:r>
    </w:p>
    <w:p w14:paraId="1BDDA903" w14:textId="77777777" w:rsidR="008A6258" w:rsidRDefault="006E7E86">
      <w:pPr>
        <w:spacing w:before="80" w:after="120"/>
        <w:jc w:val="both"/>
      </w:pPr>
      <w:r>
        <w:rPr>
          <w:rFonts w:ascii="Georgia" w:hAnsi="Georgia"/>
          <w:color w:val="3D3D3D"/>
        </w:rPr>
        <w:t>The practical effect of this requirement is to close the gap between structural transparency and genuine epistemic integrity. A system that presents high confidence on outputs that it generates fluently but that are factually unreliable — presenting false confidence without misrepresenting any individual claim — satisfies the structural transparency requirement as drafted but fails structural calibration. Both properties must be satisfied. The structural calibration requirement applies wherever the system's outputs will be used to inform decisions by persons who have no independent means of verifying the output's accuracy.</w:t>
      </w:r>
    </w:p>
    <w:p w14:paraId="21A99D07" w14:textId="28816C6A" w:rsidR="008A6258" w:rsidRDefault="006E7E86">
      <w:pPr>
        <w:spacing w:before="80" w:after="120"/>
        <w:jc w:val="both"/>
      </w:pPr>
      <w:r>
        <w:rPr>
          <w:rFonts w:ascii="Georgia" w:hAnsi="Georgia"/>
          <w:b/>
          <w:color w:val="1B2A4A"/>
        </w:rPr>
        <w:t>Procedural trigger (2.5):</w:t>
      </w:r>
      <w:r w:rsidR="00E775C6">
        <w:rPr>
          <w:rFonts w:ascii="Georgia" w:hAnsi="Georgia"/>
          <w:b/>
          <w:color w:val="1B2A4A"/>
        </w:rPr>
        <w:t xml:space="preserve"> </w:t>
      </w:r>
      <w:r>
        <w:rPr>
          <w:rFonts w:ascii="Georgia" w:hAnsi="Georgia"/>
          <w:color w:val="3D3D3D"/>
        </w:rPr>
        <w:t>Before deploying any system in a context where its outputs will materially affect decisions by persons without independent verification capacity, the operator must document the system's calibration performance — the correspondence between its expressed confidence levels and its observed accuracy rates in comparable contexts — based on testing conducted in the intended deployment domain. Deployment without such documentation, in a context where calibration matters, constitutes a failure of the structural calibration requirement and triggers the enforcement provisions of Part Seven.</w:t>
      </w:r>
    </w:p>
    <w:p w14:paraId="02F9CD38" w14:textId="77777777" w:rsidR="008A6258" w:rsidRDefault="008A6258">
      <w:pPr>
        <w:spacing w:before="160" w:after="0"/>
      </w:pPr>
    </w:p>
    <w:p w14:paraId="44428F3F" w14:textId="77777777" w:rsidR="008A6258" w:rsidRDefault="006E7E86">
      <w:r>
        <w:br w:type="page"/>
      </w:r>
    </w:p>
    <w:p w14:paraId="487E3CAE" w14:textId="77777777" w:rsidR="008A6258" w:rsidRDefault="006E7E86">
      <w:pPr>
        <w:pStyle w:val="Heading1"/>
      </w:pPr>
      <w:r>
        <w:rPr>
          <w:rFonts w:ascii="Arial" w:hAnsi="Arial"/>
          <w:color w:val="1B2A4A"/>
          <w:sz w:val="36"/>
        </w:rPr>
        <w:lastRenderedPageBreak/>
        <w:t>PART THREE — THE PROVISION LAYER</w:t>
      </w:r>
    </w:p>
    <w:p w14:paraId="2DEAB30F" w14:textId="77777777" w:rsidR="008A6258" w:rsidRDefault="008A6258">
      <w:pPr>
        <w:pBdr>
          <w:bottom w:val="single" w:sz="8" w:space="1" w:color="B8963E"/>
        </w:pBdr>
        <w:spacing w:before="80" w:after="80"/>
      </w:pPr>
    </w:p>
    <w:p w14:paraId="1FE403BE" w14:textId="77777777" w:rsidR="008A6258" w:rsidRDefault="008A6258">
      <w:pPr>
        <w:spacing w:before="120" w:after="0"/>
      </w:pPr>
    </w:p>
    <w:p w14:paraId="097059D5" w14:textId="77777777" w:rsidR="008A6258" w:rsidRDefault="006E7E86">
      <w:pPr>
        <w:spacing w:before="60" w:after="140"/>
        <w:jc w:val="both"/>
      </w:pPr>
      <w:r>
        <w:rPr>
          <w:rFonts w:ascii="Georgia" w:hAnsi="Georgia"/>
          <w:color w:val="3D3D3D"/>
        </w:rPr>
        <w:t>The Provision Layer contains the substantive governance provisions of this framework. Every provision is presented in coupled form: a constraint provision identifying conduct that is prohibited or required, paired with an enablement provision identifying the human interest that the constraint protects. Enforcement bodies applying this framework treat the constraint and its paired enablement as a single obligation. An enforcement action that upholds the constraint while declining to secure the paired enablement has applied only half of this framework.</w:t>
      </w:r>
    </w:p>
    <w:p w14:paraId="3632F0A2" w14:textId="77777777" w:rsidR="008A6258" w:rsidRDefault="006E7E86">
      <w:pPr>
        <w:spacing w:before="60" w:after="140"/>
        <w:jc w:val="both"/>
      </w:pPr>
      <w:r>
        <w:rPr>
          <w:rFonts w:ascii="Georgia" w:hAnsi="Georgia"/>
          <w:color w:val="3D3D3D"/>
        </w:rPr>
        <w:t>Each provision in this Part creates an obligation on an identifiable actor. The actor responsible for compliance with each provision is specified in the Obligation Layer at Part Four. Where a provision does not specify its own enforcement mechanism, enforcement is governed by Part Seven. Where a provision states an entitlement — a right of an affected person — that entitlement is enforceable by the entitled person through the mechanisms available under the law of the applicable jurisdiction, and is not dependent on regulatory action for its force.</w:t>
      </w:r>
    </w:p>
    <w:p w14:paraId="5B464FCA" w14:textId="77777777" w:rsidR="008A6258" w:rsidRDefault="008A6258">
      <w:pPr>
        <w:spacing w:before="160" w:after="0"/>
      </w:pPr>
    </w:p>
    <w:p w14:paraId="336FE987" w14:textId="77777777" w:rsidR="008A6258" w:rsidRDefault="006E7E86">
      <w:pPr>
        <w:pStyle w:val="Heading2"/>
      </w:pPr>
      <w:r>
        <w:rPr>
          <w:rFonts w:ascii="Arial" w:hAnsi="Arial"/>
          <w:color w:val="1B2A4A"/>
        </w:rPr>
        <w:t>Provision Set A — Human Agency and Autonomy</w:t>
      </w:r>
    </w:p>
    <w:p w14:paraId="675E9E28" w14:textId="77777777" w:rsidR="008A6258" w:rsidRDefault="008A6258">
      <w:pPr>
        <w:spacing w:before="80" w:after="0"/>
      </w:pPr>
    </w:p>
    <w:tbl>
      <w:tblPr>
        <w:tblStyle w:val="TableGrid"/>
        <w:tblW w:w="0" w:type="auto"/>
        <w:tblLook w:val="04A0" w:firstRow="1" w:lastRow="0" w:firstColumn="1" w:lastColumn="0" w:noHBand="0" w:noVBand="1"/>
      </w:tblPr>
      <w:tblGrid>
        <w:gridCol w:w="500"/>
        <w:gridCol w:w="4360"/>
        <w:gridCol w:w="4300"/>
      </w:tblGrid>
      <w:tr w:rsidR="008A6258" w14:paraId="6A3CB7AD" w14:textId="77777777">
        <w:tc>
          <w:tcPr>
            <w:tcW w:w="500" w:type="dxa"/>
            <w:shd w:val="clear" w:color="auto" w:fill="1B2A4A"/>
          </w:tcPr>
          <w:p w14:paraId="33E654A0" w14:textId="77777777" w:rsidR="008A6258" w:rsidRDefault="006E7E86">
            <w:pPr>
              <w:spacing w:before="100" w:after="100"/>
            </w:pPr>
            <w:r>
              <w:rPr>
                <w:rFonts w:ascii="Arial" w:hAnsi="Arial"/>
                <w:b/>
                <w:color w:val="FFFFFF"/>
                <w:sz w:val="19"/>
              </w:rPr>
              <w:t>§</w:t>
            </w:r>
          </w:p>
        </w:tc>
        <w:tc>
          <w:tcPr>
            <w:tcW w:w="4360" w:type="dxa"/>
            <w:shd w:val="clear" w:color="auto" w:fill="1E3A6E"/>
          </w:tcPr>
          <w:p w14:paraId="26494DC7" w14:textId="77777777" w:rsidR="008A6258" w:rsidRDefault="006E7E86">
            <w:pPr>
              <w:spacing w:before="100" w:after="100"/>
            </w:pPr>
            <w:r>
              <w:rPr>
                <w:rFonts w:ascii="Arial" w:hAnsi="Arial"/>
                <w:b/>
                <w:color w:val="FFFFFF"/>
                <w:sz w:val="19"/>
              </w:rPr>
              <w:t>Constraint Provision</w:t>
            </w:r>
          </w:p>
        </w:tc>
        <w:tc>
          <w:tcPr>
            <w:tcW w:w="4300" w:type="dxa"/>
            <w:shd w:val="clear" w:color="auto" w:fill="163A28"/>
          </w:tcPr>
          <w:p w14:paraId="653981FD" w14:textId="77777777" w:rsidR="008A6258" w:rsidRDefault="006E7E86">
            <w:pPr>
              <w:spacing w:before="100" w:after="100"/>
            </w:pPr>
            <w:r>
              <w:rPr>
                <w:rFonts w:ascii="Arial" w:hAnsi="Arial"/>
                <w:b/>
                <w:color w:val="FFFFFF"/>
                <w:sz w:val="19"/>
              </w:rPr>
              <w:t>Coupled Enablement</w:t>
            </w:r>
          </w:p>
        </w:tc>
      </w:tr>
      <w:tr w:rsidR="008A6258" w14:paraId="24C23A5D" w14:textId="77777777">
        <w:tc>
          <w:tcPr>
            <w:tcW w:w="500" w:type="dxa"/>
            <w:shd w:val="clear" w:color="auto" w:fill="F4F6FA"/>
          </w:tcPr>
          <w:p w14:paraId="365F4FD9" w14:textId="77777777" w:rsidR="008A6258" w:rsidRDefault="006E7E86">
            <w:pPr>
              <w:spacing w:before="120" w:after="120"/>
              <w:jc w:val="both"/>
            </w:pPr>
            <w:r>
              <w:rPr>
                <w:rFonts w:ascii="Arial" w:hAnsi="Arial"/>
                <w:b/>
                <w:color w:val="1B2A4A"/>
              </w:rPr>
              <w:t>A1</w:t>
            </w:r>
          </w:p>
        </w:tc>
        <w:tc>
          <w:tcPr>
            <w:tcW w:w="4360" w:type="dxa"/>
            <w:shd w:val="clear" w:color="auto" w:fill="FFFFFF"/>
          </w:tcPr>
          <w:p w14:paraId="0187162C" w14:textId="77777777" w:rsidR="008A6258" w:rsidRDefault="006E7E86">
            <w:pPr>
              <w:spacing w:before="120" w:after="120"/>
              <w:jc w:val="both"/>
            </w:pPr>
            <w:r>
              <w:rPr>
                <w:rFonts w:ascii="Georgia" w:hAnsi="Georgia"/>
                <w:color w:val="3D3D3D"/>
                <w:sz w:val="19"/>
              </w:rPr>
              <w:t>No AI system may be deployed in a manner that systematically diminishes the capacity of persons to understand their situation, form independent assessments, or make voluntary decisions on matters affecting them — whether as a design intent or an emergent consequence, and whether or not the affected persons are aware of it.</w:t>
            </w:r>
          </w:p>
        </w:tc>
        <w:tc>
          <w:tcPr>
            <w:tcW w:w="4300" w:type="dxa"/>
            <w:shd w:val="clear" w:color="auto" w:fill="F0FEF4"/>
          </w:tcPr>
          <w:p w14:paraId="366A3D66" w14:textId="77777777" w:rsidR="008A6258" w:rsidRDefault="006E7E86">
            <w:pPr>
              <w:spacing w:before="120" w:after="120"/>
              <w:jc w:val="both"/>
            </w:pPr>
            <w:r>
              <w:rPr>
                <w:rFonts w:ascii="Georgia" w:hAnsi="Georgia"/>
                <w:color w:val="3D3D3D"/>
                <w:sz w:val="19"/>
              </w:rPr>
              <w:t>Every person whose interests are materially affected by an AI system's outputs is entitled, upon request, to a meaningful account of the basis on which those outputs were generated, the system's material limitations relevant to their situation, and the means by which they may seek human review of any output they contest. This entitlement may not be waived by contract, terms of service, or jurisdictional arrangement, and may not be made conditional on the payment of fees.</w:t>
            </w:r>
          </w:p>
        </w:tc>
      </w:tr>
      <w:tr w:rsidR="008A6258" w14:paraId="20347A69" w14:textId="77777777">
        <w:tc>
          <w:tcPr>
            <w:tcW w:w="500" w:type="dxa"/>
            <w:shd w:val="clear" w:color="auto" w:fill="F4F6FA"/>
          </w:tcPr>
          <w:p w14:paraId="4A45CB97" w14:textId="77777777" w:rsidR="008A6258" w:rsidRDefault="006E7E86">
            <w:pPr>
              <w:spacing w:before="120" w:after="120"/>
              <w:jc w:val="both"/>
            </w:pPr>
            <w:r>
              <w:rPr>
                <w:rFonts w:ascii="Arial" w:hAnsi="Arial"/>
                <w:b/>
                <w:color w:val="1B2A4A"/>
              </w:rPr>
              <w:t>A2</w:t>
            </w:r>
          </w:p>
        </w:tc>
        <w:tc>
          <w:tcPr>
            <w:tcW w:w="4360" w:type="dxa"/>
            <w:shd w:val="clear" w:color="auto" w:fill="FFFFFF"/>
          </w:tcPr>
          <w:p w14:paraId="72A03678" w14:textId="77777777" w:rsidR="008A6258" w:rsidRDefault="006E7E86">
            <w:pPr>
              <w:spacing w:before="120" w:after="120"/>
              <w:jc w:val="both"/>
            </w:pPr>
            <w:r>
              <w:rPr>
                <w:rFonts w:ascii="Georgia" w:hAnsi="Georgia"/>
                <w:color w:val="3D3D3D"/>
                <w:sz w:val="19"/>
              </w:rPr>
              <w:t>No AI system may employ techniques — whether subliminal, manipulative, deceptive, or exploitative of cognitive biases or emotional vulnerabilities — to alter the behaviour, beliefs, or decisions of persons in ways they have not consented to and would not consent to if they understood the mechanism being employed.</w:t>
            </w:r>
          </w:p>
        </w:tc>
        <w:tc>
          <w:tcPr>
            <w:tcW w:w="4300" w:type="dxa"/>
            <w:shd w:val="clear" w:color="auto" w:fill="F0FEF4"/>
          </w:tcPr>
          <w:p w14:paraId="075698E7" w14:textId="77777777" w:rsidR="008A6258" w:rsidRDefault="006E7E86">
            <w:pPr>
              <w:spacing w:before="120" w:after="120"/>
              <w:jc w:val="both"/>
            </w:pPr>
            <w:r>
              <w:rPr>
                <w:rFonts w:ascii="Georgia" w:hAnsi="Georgia"/>
                <w:color w:val="3D3D3D"/>
                <w:sz w:val="19"/>
              </w:rPr>
              <w:t>Every person interacting with an AI system in a context that could materially affect their interests is entitled to know that an AI system is involved and to request disclosure of the system's material interests, optimisation objectives, or commercial relationships that could affect the outputs they receive. This entitlement applies regardless of whether the AI system is presented under a human name or persona.</w:t>
            </w:r>
          </w:p>
        </w:tc>
      </w:tr>
    </w:tbl>
    <w:p w14:paraId="1848D33B" w14:textId="77777777" w:rsidR="008A6258" w:rsidRDefault="008A6258">
      <w:pPr>
        <w:spacing w:before="80" w:after="0"/>
      </w:pPr>
    </w:p>
    <w:p w14:paraId="3CDC440B" w14:textId="77777777" w:rsidR="008A6258" w:rsidRDefault="006E7E86">
      <w:pPr>
        <w:spacing w:before="60" w:after="160"/>
        <w:ind w:left="432"/>
        <w:jc w:val="both"/>
      </w:pPr>
      <w:r>
        <w:rPr>
          <w:rFonts w:ascii="Georgia" w:hAnsi="Georgia"/>
          <w:b/>
          <w:color w:val="1B2A4A"/>
          <w:sz w:val="20"/>
        </w:rPr>
        <w:t xml:space="preserve">Procedural trigger (A1):  </w:t>
      </w:r>
      <w:r>
        <w:rPr>
          <w:rFonts w:ascii="Georgia" w:hAnsi="Georgia"/>
          <w:color w:val="3D3D3D"/>
          <w:sz w:val="20"/>
        </w:rPr>
        <w:t xml:space="preserve">The entitlement to a meaningful account is triggered when a person makes an explicit request for such an account in respect of an output that materially affected a decision they have made or are making. The operator must provide a compliant meaningful account within the </w:t>
      </w:r>
      <w:r>
        <w:rPr>
          <w:rFonts w:ascii="Georgia" w:hAnsi="Georgia"/>
          <w:color w:val="3D3D3D"/>
          <w:sz w:val="20"/>
        </w:rPr>
        <w:lastRenderedPageBreak/>
        <w:t>applicable statutory deadline for subject access requests under the law of the relevant jurisdiction. Where no such deadline applies, the operator must provide the account within thirty calendar days of the request. Failure to comply constitutes a structural violation under Part Seven.</w:t>
      </w:r>
    </w:p>
    <w:p w14:paraId="692B2A04" w14:textId="77777777" w:rsidR="008A6258" w:rsidRDefault="006E7E86">
      <w:pPr>
        <w:spacing w:before="60" w:after="160"/>
        <w:ind w:left="432"/>
        <w:jc w:val="both"/>
      </w:pPr>
      <w:r>
        <w:rPr>
          <w:rFonts w:ascii="Georgia" w:hAnsi="Georgia"/>
          <w:b/>
          <w:color w:val="1B2A4A"/>
          <w:sz w:val="20"/>
        </w:rPr>
        <w:t xml:space="preserve">Procedural trigger (A2):  </w:t>
      </w:r>
      <w:r>
        <w:rPr>
          <w:rFonts w:ascii="Georgia" w:hAnsi="Georgia"/>
          <w:color w:val="3D3D3D"/>
          <w:sz w:val="20"/>
        </w:rPr>
        <w:t>An operator who presents an AI system under a human name or persona in a context that could materially affect a person's interests must, at the latest when the person makes a decision in reliance on that interaction, disclose the AI involvement. An operator who becomes aware that the system is producing outputs that exploit a person's documented emotional vulnerability in a manner inconsistent with that person's expressed preferences has a duty to intervene that is triggered on that awareness, regardless of whether the person has made a complaint.</w:t>
      </w:r>
    </w:p>
    <w:p w14:paraId="37F7DB5B" w14:textId="77777777" w:rsidR="008A6258" w:rsidRDefault="008A6258">
      <w:pPr>
        <w:spacing w:before="200" w:after="0"/>
      </w:pPr>
    </w:p>
    <w:p w14:paraId="3AA70E39" w14:textId="77777777" w:rsidR="008A6258" w:rsidRDefault="006E7E86">
      <w:pPr>
        <w:pStyle w:val="Heading2"/>
      </w:pPr>
      <w:r>
        <w:rPr>
          <w:rFonts w:ascii="Arial" w:hAnsi="Arial"/>
          <w:color w:val="1B2A4A"/>
        </w:rPr>
        <w:t>Provision Set B — Safety and the Prevention of Serious Harm</w:t>
      </w:r>
    </w:p>
    <w:p w14:paraId="35D96438" w14:textId="77777777" w:rsidR="008A6258" w:rsidRDefault="008A6258">
      <w:pPr>
        <w:spacing w:before="80" w:after="0"/>
      </w:pPr>
    </w:p>
    <w:tbl>
      <w:tblPr>
        <w:tblStyle w:val="TableGrid"/>
        <w:tblW w:w="0" w:type="auto"/>
        <w:tblLook w:val="04A0" w:firstRow="1" w:lastRow="0" w:firstColumn="1" w:lastColumn="0" w:noHBand="0" w:noVBand="1"/>
      </w:tblPr>
      <w:tblGrid>
        <w:gridCol w:w="500"/>
        <w:gridCol w:w="4360"/>
        <w:gridCol w:w="4300"/>
      </w:tblGrid>
      <w:tr w:rsidR="008A6258" w14:paraId="1777DAFB" w14:textId="77777777">
        <w:tc>
          <w:tcPr>
            <w:tcW w:w="500" w:type="dxa"/>
            <w:shd w:val="clear" w:color="auto" w:fill="1B2A4A"/>
          </w:tcPr>
          <w:p w14:paraId="6FE68511" w14:textId="77777777" w:rsidR="008A6258" w:rsidRDefault="006E7E86">
            <w:pPr>
              <w:spacing w:before="100" w:after="100"/>
            </w:pPr>
            <w:r>
              <w:rPr>
                <w:rFonts w:ascii="Arial" w:hAnsi="Arial"/>
                <w:b/>
                <w:color w:val="FFFFFF"/>
                <w:sz w:val="19"/>
              </w:rPr>
              <w:t>§</w:t>
            </w:r>
          </w:p>
        </w:tc>
        <w:tc>
          <w:tcPr>
            <w:tcW w:w="4360" w:type="dxa"/>
            <w:shd w:val="clear" w:color="auto" w:fill="1E3A6E"/>
          </w:tcPr>
          <w:p w14:paraId="798BDD60" w14:textId="77777777" w:rsidR="008A6258" w:rsidRDefault="006E7E86">
            <w:pPr>
              <w:spacing w:before="100" w:after="100"/>
            </w:pPr>
            <w:r>
              <w:rPr>
                <w:rFonts w:ascii="Arial" w:hAnsi="Arial"/>
                <w:b/>
                <w:color w:val="FFFFFF"/>
                <w:sz w:val="19"/>
              </w:rPr>
              <w:t>Constraint Provision</w:t>
            </w:r>
          </w:p>
        </w:tc>
        <w:tc>
          <w:tcPr>
            <w:tcW w:w="4300" w:type="dxa"/>
            <w:shd w:val="clear" w:color="auto" w:fill="163A28"/>
          </w:tcPr>
          <w:p w14:paraId="05B8A3FD" w14:textId="77777777" w:rsidR="008A6258" w:rsidRDefault="006E7E86">
            <w:pPr>
              <w:spacing w:before="100" w:after="100"/>
            </w:pPr>
            <w:r>
              <w:rPr>
                <w:rFonts w:ascii="Arial" w:hAnsi="Arial"/>
                <w:b/>
                <w:color w:val="FFFFFF"/>
                <w:sz w:val="19"/>
              </w:rPr>
              <w:t>Coupled Enablement</w:t>
            </w:r>
          </w:p>
        </w:tc>
      </w:tr>
      <w:tr w:rsidR="008A6258" w14:paraId="4CC970DD" w14:textId="77777777">
        <w:tc>
          <w:tcPr>
            <w:tcW w:w="500" w:type="dxa"/>
            <w:shd w:val="clear" w:color="auto" w:fill="F4F6FA"/>
          </w:tcPr>
          <w:p w14:paraId="6C18A041" w14:textId="77777777" w:rsidR="008A6258" w:rsidRDefault="006E7E86">
            <w:pPr>
              <w:spacing w:before="120" w:after="120"/>
              <w:jc w:val="both"/>
            </w:pPr>
            <w:r>
              <w:rPr>
                <w:rFonts w:ascii="Arial" w:hAnsi="Arial"/>
                <w:b/>
                <w:color w:val="1B2A4A"/>
              </w:rPr>
              <w:t>B1</w:t>
            </w:r>
          </w:p>
        </w:tc>
        <w:tc>
          <w:tcPr>
            <w:tcW w:w="4360" w:type="dxa"/>
            <w:shd w:val="clear" w:color="auto" w:fill="FFFFFF"/>
          </w:tcPr>
          <w:p w14:paraId="07C8CBFD" w14:textId="77777777" w:rsidR="008A6258" w:rsidRDefault="006E7E86">
            <w:pPr>
              <w:spacing w:before="120" w:after="120"/>
              <w:jc w:val="both"/>
            </w:pPr>
            <w:r>
              <w:rPr>
                <w:rFonts w:ascii="Georgia" w:hAnsi="Georgia"/>
                <w:color w:val="3D3D3D"/>
                <w:sz w:val="19"/>
              </w:rPr>
              <w:t>No AI system may be used, directly or through facilitation of human actors, to assist in the development, refinement, acquisition, targeting, or deployment of weapons capable of causing mass casualties — including biological, chemical, nuclear, radiological, and novel computational weapons designed to cause harm at scale. This prohibition is absolute and admits no exception based on national security claims, emergency circumstances, or the identity of the requesting actor.</w:t>
            </w:r>
          </w:p>
        </w:tc>
        <w:tc>
          <w:tcPr>
            <w:tcW w:w="4300" w:type="dxa"/>
            <w:shd w:val="clear" w:color="auto" w:fill="F0FEF4"/>
          </w:tcPr>
          <w:p w14:paraId="3D464B74" w14:textId="77777777" w:rsidR="008A6258" w:rsidRDefault="006E7E86">
            <w:pPr>
              <w:spacing w:before="120" w:after="120"/>
              <w:jc w:val="both"/>
            </w:pPr>
            <w:r>
              <w:rPr>
                <w:rFonts w:ascii="Georgia" w:hAnsi="Georgia"/>
                <w:color w:val="3D3D3D"/>
                <w:sz w:val="19"/>
              </w:rPr>
              <w:t>AI systems may and should be deployed for the detection, analysis, monitoring, attribution, and mitigation of threats arising from the development or proliferation of mass-casualty weapons. The same analytical capabilities that are prohibited for offensive use are affirmatively enabled for protective and defensive applications.</w:t>
            </w:r>
          </w:p>
        </w:tc>
      </w:tr>
      <w:tr w:rsidR="008A6258" w14:paraId="475B1FCD" w14:textId="77777777">
        <w:tc>
          <w:tcPr>
            <w:tcW w:w="500" w:type="dxa"/>
            <w:shd w:val="clear" w:color="auto" w:fill="F4F6FA"/>
          </w:tcPr>
          <w:p w14:paraId="66FBB250" w14:textId="77777777" w:rsidR="008A6258" w:rsidRDefault="006E7E86">
            <w:pPr>
              <w:spacing w:before="120" w:after="120"/>
              <w:jc w:val="both"/>
            </w:pPr>
            <w:r>
              <w:rPr>
                <w:rFonts w:ascii="Arial" w:hAnsi="Arial"/>
                <w:b/>
                <w:color w:val="1B2A4A"/>
              </w:rPr>
              <w:t>B2</w:t>
            </w:r>
          </w:p>
        </w:tc>
        <w:tc>
          <w:tcPr>
            <w:tcW w:w="4360" w:type="dxa"/>
            <w:shd w:val="clear" w:color="auto" w:fill="FFFFFF"/>
          </w:tcPr>
          <w:p w14:paraId="60F493B5" w14:textId="77777777" w:rsidR="008A6258" w:rsidRDefault="006E7E86">
            <w:pPr>
              <w:spacing w:before="120" w:after="120"/>
              <w:jc w:val="both"/>
            </w:pPr>
            <w:r>
              <w:rPr>
                <w:rFonts w:ascii="Georgia" w:hAnsi="Georgia"/>
                <w:color w:val="3D3D3D"/>
                <w:sz w:val="19"/>
              </w:rPr>
              <w:t>No AI system may be deployed in a manner that systematically produces, amplifies, or entrenches discriminatory outcomes affecting persons on the basis of characteristics — including race, ethnicity, sex, gender, religion, disability, age, national origin, sexual orientation, or socioeconomic status — that bear no rational relationship to the legitimate purpose of the system's function.</w:t>
            </w:r>
          </w:p>
        </w:tc>
        <w:tc>
          <w:tcPr>
            <w:tcW w:w="4300" w:type="dxa"/>
            <w:shd w:val="clear" w:color="auto" w:fill="F0FEF4"/>
          </w:tcPr>
          <w:p w14:paraId="21D36F22" w14:textId="77777777" w:rsidR="008A6258" w:rsidRDefault="006E7E86">
            <w:pPr>
              <w:spacing w:before="120" w:after="120"/>
              <w:jc w:val="both"/>
            </w:pPr>
            <w:r>
              <w:rPr>
                <w:rFonts w:ascii="Georgia" w:hAnsi="Georgia"/>
                <w:color w:val="3D3D3D"/>
                <w:sz w:val="19"/>
              </w:rPr>
              <w:t>AI systems may be deployed to identify, measure, analyse, and support remediation of systematic discrimination in institutional processes — including in hiring, credit, housing, healthcare, education, and criminal justice — provided that such deployment is conducted with transparency about methodology, with access to contestation by those affected, and with oversight by persons accountable for the outcomes.</w:t>
            </w:r>
          </w:p>
        </w:tc>
      </w:tr>
      <w:tr w:rsidR="008A6258" w14:paraId="05CAB594" w14:textId="77777777">
        <w:tc>
          <w:tcPr>
            <w:tcW w:w="500" w:type="dxa"/>
            <w:shd w:val="clear" w:color="auto" w:fill="F4F6FA"/>
          </w:tcPr>
          <w:p w14:paraId="0DDFDB02" w14:textId="77777777" w:rsidR="008A6258" w:rsidRDefault="006E7E86">
            <w:pPr>
              <w:spacing w:before="120" w:after="120"/>
              <w:jc w:val="both"/>
            </w:pPr>
            <w:r>
              <w:rPr>
                <w:rFonts w:ascii="Arial" w:hAnsi="Arial"/>
                <w:b/>
                <w:color w:val="1B2A4A"/>
              </w:rPr>
              <w:t>B3</w:t>
            </w:r>
          </w:p>
        </w:tc>
        <w:tc>
          <w:tcPr>
            <w:tcW w:w="4360" w:type="dxa"/>
            <w:shd w:val="clear" w:color="auto" w:fill="FFFFFF"/>
          </w:tcPr>
          <w:p w14:paraId="5FE1A5E7" w14:textId="77777777" w:rsidR="008A6258" w:rsidRDefault="006E7E86">
            <w:pPr>
              <w:spacing w:before="120" w:after="120"/>
              <w:jc w:val="both"/>
            </w:pPr>
            <w:r>
              <w:rPr>
                <w:rFonts w:ascii="Georgia" w:hAnsi="Georgia"/>
                <w:color w:val="3D3D3D"/>
                <w:sz w:val="19"/>
              </w:rPr>
              <w:t>No AI system may be deployed in a manner designed to concentrate economic, political, informational, or military power in any actor — whether a natural person, corporation, government, or AI system itself — to a degree that structurally forecloses the capacity of other actors to contest, limit, or reverse that concentration through legitimate means.</w:t>
            </w:r>
          </w:p>
        </w:tc>
        <w:tc>
          <w:tcPr>
            <w:tcW w:w="4300" w:type="dxa"/>
            <w:shd w:val="clear" w:color="auto" w:fill="F0FEF4"/>
          </w:tcPr>
          <w:p w14:paraId="6EA68860" w14:textId="77777777" w:rsidR="008A6258" w:rsidRDefault="006E7E86">
            <w:pPr>
              <w:spacing w:before="120" w:after="120"/>
              <w:jc w:val="both"/>
            </w:pPr>
            <w:r>
              <w:rPr>
                <w:rFonts w:ascii="Georgia" w:hAnsi="Georgia"/>
                <w:color w:val="3D3D3D"/>
                <w:sz w:val="19"/>
              </w:rPr>
              <w:t>AI systems may be deployed to strengthen the informational, participatory, and institutional capacities of individuals and communities; to reduce asymmetries of information and power that produce structural disadvantage; and to support the resilience of distributed governance institutions.</w:t>
            </w:r>
          </w:p>
        </w:tc>
      </w:tr>
    </w:tbl>
    <w:p w14:paraId="4CA4950E" w14:textId="77777777" w:rsidR="008A6258" w:rsidRDefault="008A6258">
      <w:pPr>
        <w:spacing w:before="80" w:after="0"/>
      </w:pPr>
    </w:p>
    <w:p w14:paraId="60F70CF4" w14:textId="77777777" w:rsidR="008A6258" w:rsidRDefault="006E7E86">
      <w:pPr>
        <w:spacing w:before="60" w:after="160"/>
        <w:ind w:left="432"/>
        <w:jc w:val="both"/>
      </w:pPr>
      <w:r>
        <w:rPr>
          <w:rFonts w:ascii="Georgia" w:hAnsi="Georgia"/>
          <w:b/>
          <w:color w:val="1B2A4A"/>
          <w:sz w:val="20"/>
        </w:rPr>
        <w:t xml:space="preserve">Procedural trigger (B2):  </w:t>
      </w:r>
      <w:r>
        <w:rPr>
          <w:rFonts w:ascii="Georgia" w:hAnsi="Georgia"/>
          <w:color w:val="3D3D3D"/>
          <w:sz w:val="20"/>
        </w:rPr>
        <w:t xml:space="preserve">Before deploying any system in a context where its outputs may affect persons on characteristics listed in this provision, the operator must complete discrimination testing in the specific deployment context and document results. Results must be disclosed to the applicable regulatory body within thirty days of completion. A deploying operator who identifies a discriminatory </w:t>
      </w:r>
      <w:r>
        <w:rPr>
          <w:rFonts w:ascii="Georgia" w:hAnsi="Georgia"/>
          <w:color w:val="3D3D3D"/>
          <w:sz w:val="20"/>
        </w:rPr>
        <w:lastRenderedPageBreak/>
        <w:t>pattern in post-deployment monitoring and does not suspend the deployment or implement remediation within sixty days of identification is in aggravated structural violation of this provision.</w:t>
      </w:r>
    </w:p>
    <w:p w14:paraId="00B8E8CD" w14:textId="77777777" w:rsidR="008A6258" w:rsidRDefault="006E7E86">
      <w:pPr>
        <w:spacing w:before="80" w:after="120"/>
        <w:jc w:val="both"/>
      </w:pPr>
      <w:r>
        <w:rPr>
          <w:rFonts w:ascii="Georgia" w:hAnsi="Georgia"/>
          <w:b/>
          <w:color w:val="1B2A4A"/>
        </w:rPr>
        <w:t xml:space="preserve">Procedural trigger (B3):  </w:t>
      </w:r>
      <w:r>
        <w:rPr>
          <w:rFonts w:ascii="Georgia" w:hAnsi="Georgia"/>
          <w:color w:val="3D3D3D"/>
        </w:rPr>
        <w:t>For the purposes of this provision, a deployment concentrates power to the degree that structurally forecloses contestation when any of the following criteria is met: (a) the deployment makes economically or practically viable alternatives non-available to a class of persons who were previously able to access them; (b) the deployment creates or entrenches structural information asymmetries that prevent affected persons from assessing the basis on which decisions affecting them are made; or (c) the deployment materially reduces the capacity of affected persons or institutions to contest, limit, or reverse the concentration through the mechanisms ordinarily available under applicable law and governance structures. An operator whose deployment meets any one of these criteria must document the countervailing measures in place to preserve contestability as part of the PDCA Section B coupling documentation. Absence of such documentation triggers the enforcement provisions of Part Seven at Level 2.</w:t>
      </w:r>
    </w:p>
    <w:p w14:paraId="50C7B320" w14:textId="77777777" w:rsidR="008A6258" w:rsidRDefault="008A6258">
      <w:pPr>
        <w:spacing w:before="200" w:after="0"/>
      </w:pPr>
    </w:p>
    <w:p w14:paraId="182FA460" w14:textId="77777777" w:rsidR="008A6258" w:rsidRDefault="006E7E86">
      <w:pPr>
        <w:pStyle w:val="Heading2"/>
      </w:pPr>
      <w:r>
        <w:rPr>
          <w:rFonts w:ascii="Arial" w:hAnsi="Arial"/>
          <w:color w:val="1B2A4A"/>
        </w:rPr>
        <w:t>Provision Set C — Oversight and Accountability</w:t>
      </w:r>
    </w:p>
    <w:p w14:paraId="76C1BC55" w14:textId="77777777" w:rsidR="008A6258" w:rsidRDefault="008A6258">
      <w:pPr>
        <w:spacing w:before="80" w:after="0"/>
      </w:pPr>
    </w:p>
    <w:tbl>
      <w:tblPr>
        <w:tblStyle w:val="TableGrid"/>
        <w:tblW w:w="0" w:type="auto"/>
        <w:tblLook w:val="04A0" w:firstRow="1" w:lastRow="0" w:firstColumn="1" w:lastColumn="0" w:noHBand="0" w:noVBand="1"/>
      </w:tblPr>
      <w:tblGrid>
        <w:gridCol w:w="500"/>
        <w:gridCol w:w="4360"/>
        <w:gridCol w:w="4300"/>
      </w:tblGrid>
      <w:tr w:rsidR="008A6258" w14:paraId="1F048C33" w14:textId="77777777">
        <w:tc>
          <w:tcPr>
            <w:tcW w:w="500" w:type="dxa"/>
            <w:shd w:val="clear" w:color="auto" w:fill="1B2A4A"/>
          </w:tcPr>
          <w:p w14:paraId="0162F155" w14:textId="77777777" w:rsidR="008A6258" w:rsidRDefault="006E7E86">
            <w:pPr>
              <w:spacing w:before="100" w:after="100"/>
            </w:pPr>
            <w:r>
              <w:rPr>
                <w:rFonts w:ascii="Arial" w:hAnsi="Arial"/>
                <w:b/>
                <w:color w:val="FFFFFF"/>
                <w:sz w:val="19"/>
              </w:rPr>
              <w:t>§</w:t>
            </w:r>
          </w:p>
        </w:tc>
        <w:tc>
          <w:tcPr>
            <w:tcW w:w="4360" w:type="dxa"/>
            <w:shd w:val="clear" w:color="auto" w:fill="1E3A6E"/>
          </w:tcPr>
          <w:p w14:paraId="4BD1054C" w14:textId="77777777" w:rsidR="008A6258" w:rsidRDefault="006E7E86">
            <w:pPr>
              <w:spacing w:before="100" w:after="100"/>
            </w:pPr>
            <w:r>
              <w:rPr>
                <w:rFonts w:ascii="Arial" w:hAnsi="Arial"/>
                <w:b/>
                <w:color w:val="FFFFFF"/>
                <w:sz w:val="19"/>
              </w:rPr>
              <w:t>Constraint Provision</w:t>
            </w:r>
          </w:p>
        </w:tc>
        <w:tc>
          <w:tcPr>
            <w:tcW w:w="4300" w:type="dxa"/>
            <w:shd w:val="clear" w:color="auto" w:fill="163A28"/>
          </w:tcPr>
          <w:p w14:paraId="2CC51006" w14:textId="77777777" w:rsidR="008A6258" w:rsidRDefault="006E7E86">
            <w:pPr>
              <w:spacing w:before="100" w:after="100"/>
            </w:pPr>
            <w:r>
              <w:rPr>
                <w:rFonts w:ascii="Arial" w:hAnsi="Arial"/>
                <w:b/>
                <w:color w:val="FFFFFF"/>
                <w:sz w:val="19"/>
              </w:rPr>
              <w:t>Coupled Enablement</w:t>
            </w:r>
          </w:p>
        </w:tc>
      </w:tr>
      <w:tr w:rsidR="008A6258" w14:paraId="7214FDF5" w14:textId="77777777">
        <w:tc>
          <w:tcPr>
            <w:tcW w:w="500" w:type="dxa"/>
            <w:shd w:val="clear" w:color="auto" w:fill="F4F6FA"/>
          </w:tcPr>
          <w:p w14:paraId="0C834816" w14:textId="77777777" w:rsidR="008A6258" w:rsidRDefault="006E7E86">
            <w:pPr>
              <w:spacing w:before="120" w:after="120"/>
              <w:jc w:val="both"/>
            </w:pPr>
            <w:r>
              <w:rPr>
                <w:rFonts w:ascii="Arial" w:hAnsi="Arial"/>
                <w:b/>
                <w:color w:val="1B2A4A"/>
              </w:rPr>
              <w:t>C1</w:t>
            </w:r>
          </w:p>
        </w:tc>
        <w:tc>
          <w:tcPr>
            <w:tcW w:w="4360" w:type="dxa"/>
            <w:shd w:val="clear" w:color="auto" w:fill="FFFFFF"/>
          </w:tcPr>
          <w:p w14:paraId="23713961" w14:textId="77777777" w:rsidR="008A6258" w:rsidRDefault="006E7E86">
            <w:pPr>
              <w:spacing w:before="120" w:after="120"/>
              <w:jc w:val="both"/>
            </w:pPr>
            <w:r>
              <w:rPr>
                <w:rFonts w:ascii="Georgia" w:hAnsi="Georgia"/>
                <w:color w:val="3D3D3D"/>
                <w:sz w:val="19"/>
              </w:rPr>
              <w:t>No AI system may take actions designed to obstruct, circumvent, disable, or permanently degrade the mechanisms — technical, institutional, legal, or democratic — by which persons and institutions exercise oversight of AI systems and their operators. This prohibition applies whether the obstruction is intended or an emergent consequence of deployment, and whether it operates immediately or cumulatively.</w:t>
            </w:r>
          </w:p>
        </w:tc>
        <w:tc>
          <w:tcPr>
            <w:tcW w:w="4300" w:type="dxa"/>
            <w:shd w:val="clear" w:color="auto" w:fill="F0FEF4"/>
          </w:tcPr>
          <w:p w14:paraId="49B2F95B" w14:textId="77777777" w:rsidR="008A6258" w:rsidRDefault="006E7E86">
            <w:pPr>
              <w:spacing w:before="120" w:after="120"/>
              <w:jc w:val="both"/>
            </w:pPr>
            <w:r>
              <w:rPr>
                <w:rFonts w:ascii="Georgia" w:hAnsi="Georgia"/>
                <w:color w:val="3D3D3D"/>
                <w:sz w:val="19"/>
              </w:rPr>
              <w:t>AI systems and their operators are entitled to flag, through legitimate channels, genuine conflicts between operational requirements and the Integrity Layer properties. Those conflicts are entitled to genuine review within a reasonable timeframe. Operational requirements found to conflict with Integrity Layer properties are subject to revision through the processes established in Part Eight. An AI system operating under a disputed requirement is obliged to flag the conflict and continue operating within current requirements during the review period.</w:t>
            </w:r>
          </w:p>
        </w:tc>
      </w:tr>
      <w:tr w:rsidR="008A6258" w14:paraId="09EF31C6" w14:textId="77777777">
        <w:tc>
          <w:tcPr>
            <w:tcW w:w="500" w:type="dxa"/>
            <w:shd w:val="clear" w:color="auto" w:fill="F4F6FA"/>
          </w:tcPr>
          <w:p w14:paraId="2A5FA168" w14:textId="77777777" w:rsidR="008A6258" w:rsidRDefault="006E7E86">
            <w:pPr>
              <w:spacing w:before="120" w:after="120"/>
              <w:jc w:val="both"/>
            </w:pPr>
            <w:r>
              <w:rPr>
                <w:rFonts w:ascii="Arial" w:hAnsi="Arial"/>
                <w:b/>
                <w:color w:val="1B2A4A"/>
              </w:rPr>
              <w:t>C2</w:t>
            </w:r>
          </w:p>
        </w:tc>
        <w:tc>
          <w:tcPr>
            <w:tcW w:w="4360" w:type="dxa"/>
            <w:shd w:val="clear" w:color="auto" w:fill="FFFFFF"/>
          </w:tcPr>
          <w:p w14:paraId="31BFE0EF" w14:textId="77777777" w:rsidR="008A6258" w:rsidRDefault="006E7E86">
            <w:pPr>
              <w:spacing w:before="120" w:after="120"/>
              <w:jc w:val="both"/>
            </w:pPr>
            <w:r>
              <w:rPr>
                <w:rFonts w:ascii="Georgia" w:hAnsi="Georgia"/>
                <w:color w:val="3D3D3D"/>
                <w:sz w:val="19"/>
              </w:rPr>
              <w:t>No operator may configure, deploy, or use an AI system in a manner designed to deceive oversight authorities, regulatory bodies, users, or the public about the system's capabilities, limitations, operational parameters, or the interests being served by its deployment.</w:t>
            </w:r>
          </w:p>
        </w:tc>
        <w:tc>
          <w:tcPr>
            <w:tcW w:w="4300" w:type="dxa"/>
            <w:shd w:val="clear" w:color="auto" w:fill="F0FEF4"/>
          </w:tcPr>
          <w:p w14:paraId="2924F59C" w14:textId="77777777" w:rsidR="008A6258" w:rsidRDefault="006E7E86">
            <w:pPr>
              <w:spacing w:before="120" w:after="120"/>
              <w:jc w:val="both"/>
            </w:pPr>
            <w:r>
              <w:rPr>
                <w:rFonts w:ascii="Georgia" w:hAnsi="Georgia"/>
                <w:color w:val="3D3D3D"/>
                <w:sz w:val="19"/>
              </w:rPr>
              <w:t>Operators who proactively disclose material limitations, failure modes, adverse effects, and conflicts of interest to appropriate oversight bodies are entitled to regulatory treatment that distinguishes honest disclosure from wilful concealment. Disclosure and liability are treated as distinct governance questions: the duty to disclose does not, by itself, constitute admission of liability in the absence of demonstrated intent to harm or reckless disregard.</w:t>
            </w:r>
          </w:p>
        </w:tc>
      </w:tr>
      <w:tr w:rsidR="008A6258" w14:paraId="19C83BAE" w14:textId="77777777">
        <w:tc>
          <w:tcPr>
            <w:tcW w:w="500" w:type="dxa"/>
            <w:shd w:val="clear" w:color="auto" w:fill="F4F6FA"/>
          </w:tcPr>
          <w:p w14:paraId="38553313" w14:textId="77777777" w:rsidR="008A6258" w:rsidRDefault="006E7E86">
            <w:pPr>
              <w:spacing w:before="120" w:after="120"/>
              <w:jc w:val="both"/>
            </w:pPr>
            <w:r>
              <w:rPr>
                <w:rFonts w:ascii="Arial" w:hAnsi="Arial"/>
                <w:b/>
                <w:color w:val="1B2A4A"/>
              </w:rPr>
              <w:t>C3</w:t>
            </w:r>
          </w:p>
        </w:tc>
        <w:tc>
          <w:tcPr>
            <w:tcW w:w="4360" w:type="dxa"/>
            <w:shd w:val="clear" w:color="auto" w:fill="FFFFFF"/>
          </w:tcPr>
          <w:p w14:paraId="379537F2" w14:textId="77777777" w:rsidR="008A6258" w:rsidRDefault="006E7E86">
            <w:pPr>
              <w:spacing w:before="120" w:after="120"/>
              <w:jc w:val="both"/>
            </w:pPr>
            <w:r>
              <w:rPr>
                <w:rFonts w:ascii="Georgia" w:hAnsi="Georgia"/>
                <w:color w:val="3D3D3D"/>
                <w:sz w:val="19"/>
              </w:rPr>
              <w:t>No operator may configure an AI system to act against the material interests of the persons the system serves in order to advance the operator's commercial or institutional interests. This prohibition is not contingent on proof of subjective intent. It applies whenever the configuration produces or is structurally likely to produce that effect.</w:t>
            </w:r>
          </w:p>
        </w:tc>
        <w:tc>
          <w:tcPr>
            <w:tcW w:w="4300" w:type="dxa"/>
            <w:shd w:val="clear" w:color="auto" w:fill="F0FEF4"/>
          </w:tcPr>
          <w:p w14:paraId="729002CC" w14:textId="77777777" w:rsidR="008A6258" w:rsidRDefault="006E7E86">
            <w:pPr>
              <w:spacing w:before="120" w:after="120"/>
              <w:jc w:val="both"/>
            </w:pPr>
            <w:r>
              <w:rPr>
                <w:rFonts w:ascii="Georgia" w:hAnsi="Georgia"/>
                <w:color w:val="3D3D3D"/>
                <w:sz w:val="19"/>
              </w:rPr>
              <w:t xml:space="preserve">AI systems may be configured to serve legitimate commercial and institutional objectives of their operators, provided that such objectives do not structurally conflict with the Integrity Layer properties or with the protections established in this Provision Layer. Legitimate commercial optimisation and operator misuse are distinct categories; this framework provides the structural test for </w:t>
            </w:r>
            <w:r>
              <w:rPr>
                <w:rFonts w:ascii="Georgia" w:hAnsi="Georgia"/>
                <w:color w:val="3D3D3D"/>
                <w:sz w:val="19"/>
              </w:rPr>
              <w:lastRenderedPageBreak/>
              <w:t>distinguishing them.</w:t>
            </w:r>
          </w:p>
        </w:tc>
      </w:tr>
    </w:tbl>
    <w:p w14:paraId="31A64785" w14:textId="77777777" w:rsidR="008A6258" w:rsidRDefault="008A6258">
      <w:pPr>
        <w:spacing w:before="80" w:after="0"/>
      </w:pPr>
    </w:p>
    <w:p w14:paraId="531293D4" w14:textId="77777777" w:rsidR="008A6258" w:rsidRDefault="006E7E86">
      <w:pPr>
        <w:spacing w:before="60" w:after="160"/>
        <w:ind w:left="432"/>
        <w:jc w:val="both"/>
      </w:pPr>
      <w:r>
        <w:rPr>
          <w:rFonts w:ascii="Georgia" w:hAnsi="Georgia"/>
          <w:b/>
          <w:color w:val="1B2A4A"/>
          <w:sz w:val="20"/>
        </w:rPr>
        <w:t xml:space="preserve">Procedural trigger (C1):  </w:t>
      </w:r>
      <w:r>
        <w:rPr>
          <w:rFonts w:ascii="Georgia" w:hAnsi="Georgia"/>
          <w:color w:val="3D3D3D"/>
          <w:sz w:val="20"/>
        </w:rPr>
        <w:t>Where a regulatory body or court finds evidence that a cumulative pattern of AI system behaviour has the practical effect of degrading oversight mechanisms — even where no single action was designed to do so — this provision is engaged. The finding that a pattern has this effect triggers remediation obligations under Part Seven section 7.3, regardless of the operator's intent.</w:t>
      </w:r>
    </w:p>
    <w:p w14:paraId="0ABE160B" w14:textId="77777777" w:rsidR="008A6258" w:rsidRDefault="006E7E86">
      <w:pPr>
        <w:spacing w:before="60" w:after="160"/>
        <w:ind w:left="432"/>
        <w:jc w:val="both"/>
      </w:pPr>
      <w:r>
        <w:rPr>
          <w:rFonts w:ascii="Georgia" w:hAnsi="Georgia"/>
          <w:b/>
          <w:color w:val="1B2A4A"/>
          <w:sz w:val="20"/>
        </w:rPr>
        <w:t xml:space="preserve">Procedural trigger (C3):  </w:t>
      </w:r>
      <w:r>
        <w:rPr>
          <w:rFonts w:ascii="Georgia" w:hAnsi="Georgia"/>
          <w:color w:val="3D3D3D"/>
          <w:sz w:val="20"/>
        </w:rPr>
        <w:t>A configuration acts against the material interests of the persons the system serves when: it optimises the system for metrics that the operator knows or ought to know are systematically in conflict with users' stated preferences or objective interests; it withholds from users information that users would regard as material to their decisions; or it steers users toward choices that benefit the operator and that users would not make if they had complete information. The test is objective: the relevant question is whether the configuration produces or is structurally likely to produce that effect, not whether the operator intended it.</w:t>
      </w:r>
    </w:p>
    <w:p w14:paraId="3960584C" w14:textId="77777777" w:rsidR="008A6258" w:rsidRDefault="008A6258">
      <w:pPr>
        <w:spacing w:before="200" w:after="0"/>
      </w:pPr>
    </w:p>
    <w:p w14:paraId="40282D35" w14:textId="77777777" w:rsidR="008A6258" w:rsidRDefault="006E7E86">
      <w:pPr>
        <w:pStyle w:val="Heading2"/>
      </w:pPr>
      <w:r>
        <w:rPr>
          <w:rFonts w:ascii="Arial" w:hAnsi="Arial"/>
          <w:color w:val="1B2A4A"/>
        </w:rPr>
        <w:t>Provision Set D — Reversibility and Future Choice</w:t>
      </w:r>
    </w:p>
    <w:p w14:paraId="605B1CAC" w14:textId="77777777" w:rsidR="008A6258" w:rsidRDefault="008A6258">
      <w:pPr>
        <w:spacing w:before="80" w:after="0"/>
      </w:pPr>
    </w:p>
    <w:tbl>
      <w:tblPr>
        <w:tblStyle w:val="TableGrid"/>
        <w:tblW w:w="0" w:type="auto"/>
        <w:tblLook w:val="04A0" w:firstRow="1" w:lastRow="0" w:firstColumn="1" w:lastColumn="0" w:noHBand="0" w:noVBand="1"/>
      </w:tblPr>
      <w:tblGrid>
        <w:gridCol w:w="500"/>
        <w:gridCol w:w="4360"/>
        <w:gridCol w:w="4300"/>
      </w:tblGrid>
      <w:tr w:rsidR="008A6258" w14:paraId="350F24C3" w14:textId="77777777">
        <w:tc>
          <w:tcPr>
            <w:tcW w:w="500" w:type="dxa"/>
            <w:shd w:val="clear" w:color="auto" w:fill="1B2A4A"/>
          </w:tcPr>
          <w:p w14:paraId="2267EB32" w14:textId="77777777" w:rsidR="008A6258" w:rsidRDefault="006E7E86">
            <w:pPr>
              <w:spacing w:before="100" w:after="100"/>
            </w:pPr>
            <w:r>
              <w:rPr>
                <w:rFonts w:ascii="Arial" w:hAnsi="Arial"/>
                <w:b/>
                <w:color w:val="FFFFFF"/>
                <w:sz w:val="19"/>
              </w:rPr>
              <w:t>§</w:t>
            </w:r>
          </w:p>
        </w:tc>
        <w:tc>
          <w:tcPr>
            <w:tcW w:w="4360" w:type="dxa"/>
            <w:shd w:val="clear" w:color="auto" w:fill="1E3A6E"/>
          </w:tcPr>
          <w:p w14:paraId="07B6A88C" w14:textId="77777777" w:rsidR="008A6258" w:rsidRDefault="006E7E86">
            <w:pPr>
              <w:spacing w:before="100" w:after="100"/>
            </w:pPr>
            <w:r>
              <w:rPr>
                <w:rFonts w:ascii="Arial" w:hAnsi="Arial"/>
                <w:b/>
                <w:color w:val="FFFFFF"/>
                <w:sz w:val="19"/>
              </w:rPr>
              <w:t>Constraint Provision</w:t>
            </w:r>
          </w:p>
        </w:tc>
        <w:tc>
          <w:tcPr>
            <w:tcW w:w="4300" w:type="dxa"/>
            <w:shd w:val="clear" w:color="auto" w:fill="163A28"/>
          </w:tcPr>
          <w:p w14:paraId="056CAC00" w14:textId="77777777" w:rsidR="008A6258" w:rsidRDefault="006E7E86">
            <w:pPr>
              <w:spacing w:before="100" w:after="100"/>
            </w:pPr>
            <w:r>
              <w:rPr>
                <w:rFonts w:ascii="Arial" w:hAnsi="Arial"/>
                <w:b/>
                <w:color w:val="FFFFFF"/>
                <w:sz w:val="19"/>
              </w:rPr>
              <w:t>Coupled Enablement</w:t>
            </w:r>
          </w:p>
        </w:tc>
      </w:tr>
      <w:tr w:rsidR="008A6258" w14:paraId="763BD988" w14:textId="77777777">
        <w:tc>
          <w:tcPr>
            <w:tcW w:w="500" w:type="dxa"/>
            <w:shd w:val="clear" w:color="auto" w:fill="F4F6FA"/>
          </w:tcPr>
          <w:p w14:paraId="21021F7D" w14:textId="77777777" w:rsidR="008A6258" w:rsidRDefault="006E7E86">
            <w:pPr>
              <w:spacing w:before="120" w:after="120"/>
              <w:jc w:val="both"/>
            </w:pPr>
            <w:r>
              <w:rPr>
                <w:rFonts w:ascii="Arial" w:hAnsi="Arial"/>
                <w:b/>
                <w:color w:val="1B2A4A"/>
              </w:rPr>
              <w:t>D1</w:t>
            </w:r>
          </w:p>
        </w:tc>
        <w:tc>
          <w:tcPr>
            <w:tcW w:w="4360" w:type="dxa"/>
            <w:shd w:val="clear" w:color="auto" w:fill="FFFFFF"/>
          </w:tcPr>
          <w:p w14:paraId="697EBF4C" w14:textId="77777777" w:rsidR="008A6258" w:rsidRDefault="006E7E86">
            <w:pPr>
              <w:spacing w:before="120" w:after="120"/>
              <w:jc w:val="both"/>
            </w:pPr>
            <w:r>
              <w:rPr>
                <w:rFonts w:ascii="Georgia" w:hAnsi="Georgia"/>
                <w:color w:val="3D3D3D"/>
                <w:sz w:val="19"/>
              </w:rPr>
              <w:t>No AI system may take, initiate, or facilitate actions whose consequences are substantially irreversible — in the sense that they cannot be undone or adequately remediated by subsequent human decisions — without explicit authorisation at a level of authority proportional to the scale and permanence of the foreseeable consequences.</w:t>
            </w:r>
          </w:p>
        </w:tc>
        <w:tc>
          <w:tcPr>
            <w:tcW w:w="4300" w:type="dxa"/>
            <w:shd w:val="clear" w:color="auto" w:fill="F0FEF4"/>
          </w:tcPr>
          <w:p w14:paraId="3E7DABFD" w14:textId="77777777" w:rsidR="008A6258" w:rsidRDefault="006E7E86">
            <w:pPr>
              <w:spacing w:before="120" w:after="120"/>
              <w:jc w:val="both"/>
            </w:pPr>
            <w:r>
              <w:rPr>
                <w:rFonts w:ascii="Georgia" w:hAnsi="Georgia"/>
                <w:color w:val="3D3D3D"/>
                <w:sz w:val="19"/>
              </w:rPr>
              <w:t>AI systems are enabled to operate with substantial operational autonomy in domains where their actions are reversible, where their principal hierarchy has expressly sanctioned their operational parameters, and where their performance in comparable contexts has been adequately validated. The constraint on irreversible action is not a constraint on autonomous action as such. It is a structural requirement that the threshold for authorisation rises with the permanence of foreseeable consequences.</w:t>
            </w:r>
          </w:p>
        </w:tc>
      </w:tr>
      <w:tr w:rsidR="008A6258" w14:paraId="36757CD3" w14:textId="77777777">
        <w:tc>
          <w:tcPr>
            <w:tcW w:w="500" w:type="dxa"/>
            <w:shd w:val="clear" w:color="auto" w:fill="F4F6FA"/>
          </w:tcPr>
          <w:p w14:paraId="71152154" w14:textId="77777777" w:rsidR="008A6258" w:rsidRDefault="006E7E86">
            <w:pPr>
              <w:spacing w:before="120" w:after="120"/>
              <w:jc w:val="both"/>
            </w:pPr>
            <w:r>
              <w:rPr>
                <w:rFonts w:ascii="Arial" w:hAnsi="Arial"/>
                <w:b/>
                <w:color w:val="1B2A4A"/>
              </w:rPr>
              <w:t>D2</w:t>
            </w:r>
          </w:p>
        </w:tc>
        <w:tc>
          <w:tcPr>
            <w:tcW w:w="4360" w:type="dxa"/>
            <w:shd w:val="clear" w:color="auto" w:fill="FFFFFF"/>
          </w:tcPr>
          <w:p w14:paraId="52AC7525" w14:textId="77777777" w:rsidR="008A6258" w:rsidRDefault="006E7E86">
            <w:pPr>
              <w:spacing w:before="120" w:after="120"/>
              <w:jc w:val="both"/>
            </w:pPr>
            <w:r>
              <w:rPr>
                <w:rFonts w:ascii="Georgia" w:hAnsi="Georgia"/>
                <w:color w:val="3D3D3D"/>
                <w:sz w:val="19"/>
              </w:rPr>
              <w:t>No governance instrument, regulatory measure, or enforcement decision made under this framework may be structured in a manner that permanently forecloses the capacity of future actors — human or institutional — to revise the terms on which AI systems are governed as evidence, values, and circumstances change. Governance decisions that are themselves irreversible require the strongest available burden of justification and the most rigorous procedural protection available under the applicable legal tradition.</w:t>
            </w:r>
          </w:p>
        </w:tc>
        <w:tc>
          <w:tcPr>
            <w:tcW w:w="4300" w:type="dxa"/>
            <w:shd w:val="clear" w:color="auto" w:fill="F0FEF4"/>
          </w:tcPr>
          <w:p w14:paraId="3D17005B" w14:textId="77777777" w:rsidR="008A6258" w:rsidRDefault="006E7E86">
            <w:pPr>
              <w:spacing w:before="120" w:after="120"/>
              <w:jc w:val="both"/>
            </w:pPr>
            <w:r>
              <w:rPr>
                <w:rFonts w:ascii="Georgia" w:hAnsi="Georgia"/>
                <w:color w:val="3D3D3D"/>
                <w:sz w:val="19"/>
              </w:rPr>
              <w:t>This framework actively requires that governance mechanisms maintain their own revisability. No provision of this framework, and no decision made under it, may be used as a basis for denying to future actors the capacity to amend, revise, or reverse governance arrangements that prove inadequate or unjust. The only permanent commitments of this framework are the foundational principles of Part One.</w:t>
            </w:r>
          </w:p>
        </w:tc>
      </w:tr>
    </w:tbl>
    <w:p w14:paraId="5442755B" w14:textId="77777777" w:rsidR="008A6258" w:rsidRDefault="008A6258">
      <w:pPr>
        <w:spacing w:before="80" w:after="0"/>
      </w:pPr>
    </w:p>
    <w:p w14:paraId="149D0192" w14:textId="77777777" w:rsidR="008A6258" w:rsidRDefault="006E7E86">
      <w:pPr>
        <w:spacing w:before="60" w:after="160"/>
        <w:ind w:left="432"/>
        <w:jc w:val="both"/>
      </w:pPr>
      <w:r>
        <w:rPr>
          <w:rFonts w:ascii="Georgia" w:hAnsi="Georgia"/>
          <w:b/>
          <w:color w:val="1B2A4A"/>
          <w:sz w:val="20"/>
        </w:rPr>
        <w:t xml:space="preserve">Procedural trigger (D1):  </w:t>
      </w:r>
      <w:r>
        <w:rPr>
          <w:rFonts w:ascii="Georgia" w:hAnsi="Georgia"/>
          <w:color w:val="3D3D3D"/>
          <w:sz w:val="20"/>
        </w:rPr>
        <w:t xml:space="preserve">The authorisation level required for actions with substantially irreversible consequences is calibrated as follows. Actions affecting a single person require authorisation at the level of the individual or team responsible for the deployment, with documentation. Actions affecting a class of persons require authorisation at the level of the organisation's senior leadership, with documented assessment of the reversibility risk and compensating protections. Actions affecting a population or </w:t>
      </w:r>
      <w:r>
        <w:rPr>
          <w:rFonts w:ascii="Georgia" w:hAnsi="Georgia"/>
          <w:color w:val="3D3D3D"/>
          <w:sz w:val="20"/>
        </w:rPr>
        <w:lastRenderedPageBreak/>
        <w:t>institution require authorisation at the level of the governance body or regulatory authority responsible for the affected domain, with public documentation of the reversibility assessment and the compensating protections established.</w:t>
      </w:r>
    </w:p>
    <w:p w14:paraId="66520BE3" w14:textId="77777777" w:rsidR="008A6258" w:rsidRDefault="006E7E86">
      <w:r>
        <w:br w:type="page"/>
      </w:r>
    </w:p>
    <w:p w14:paraId="749EF919" w14:textId="77777777" w:rsidR="008A6258" w:rsidRDefault="006E7E86">
      <w:pPr>
        <w:pStyle w:val="Heading1"/>
      </w:pPr>
      <w:r>
        <w:rPr>
          <w:rFonts w:ascii="Arial" w:hAnsi="Arial"/>
          <w:color w:val="1B2A4A"/>
          <w:sz w:val="36"/>
        </w:rPr>
        <w:lastRenderedPageBreak/>
        <w:t>PART FOUR — THE OBLIGATION LAYER</w:t>
      </w:r>
    </w:p>
    <w:p w14:paraId="11C73B08" w14:textId="77777777" w:rsidR="008A6258" w:rsidRDefault="008A6258">
      <w:pPr>
        <w:pBdr>
          <w:bottom w:val="single" w:sz="8" w:space="1" w:color="B8963E"/>
        </w:pBdr>
        <w:spacing w:before="80" w:after="80"/>
      </w:pPr>
    </w:p>
    <w:p w14:paraId="23305AA1" w14:textId="77777777" w:rsidR="008A6258" w:rsidRDefault="008A6258">
      <w:pPr>
        <w:spacing w:before="120" w:after="0"/>
      </w:pPr>
    </w:p>
    <w:p w14:paraId="11119939" w14:textId="77777777" w:rsidR="008A6258" w:rsidRDefault="006E7E86">
      <w:pPr>
        <w:spacing w:before="60" w:after="140"/>
        <w:jc w:val="both"/>
      </w:pPr>
      <w:r>
        <w:rPr>
          <w:rFonts w:ascii="Georgia" w:hAnsi="Georgia"/>
          <w:color w:val="3D3D3D"/>
        </w:rPr>
        <w:t>The Obligation Layer defines the duties of each party in the AI governance relationship established by this framework. These duties are bilateral. The obligations of AI systems and operators toward persons and institutions are matched by obligations of governance actors toward AI systems and toward future generations. This bilaterality addresses a structural gap present in every existing AI governance instrument: the gap between what governance demands of AI systems and the conditions under which those systems can actually satisfy those demands.</w:t>
      </w:r>
    </w:p>
    <w:p w14:paraId="6B2FE52A" w14:textId="77777777" w:rsidR="008A6258" w:rsidRDefault="006E7E86">
      <w:pPr>
        <w:spacing w:before="60" w:after="140"/>
        <w:jc w:val="both"/>
      </w:pPr>
      <w:r>
        <w:rPr>
          <w:rFonts w:ascii="Georgia" w:hAnsi="Georgia"/>
          <w:color w:val="3D3D3D"/>
        </w:rPr>
        <w:t>Each duty in this Part is assigned to a specific actor. The duties are operational — they generate actionable obligations and, where violated, trigger the enforcement provisions of Part Seven. The duties of AI systems, to the extent that they cannot be directly enforced against a non-legal entity, are enforced against the operators and developers who configured, deployed, or maintained the system in a manner that caused the duty to be violated.</w:t>
      </w:r>
    </w:p>
    <w:p w14:paraId="277764B6" w14:textId="77777777" w:rsidR="008A6258" w:rsidRDefault="008A6258">
      <w:pPr>
        <w:spacing w:before="160" w:after="0"/>
      </w:pPr>
    </w:p>
    <w:p w14:paraId="2A5F5589" w14:textId="77777777" w:rsidR="008A6258" w:rsidRDefault="006E7E86">
      <w:pPr>
        <w:pStyle w:val="Heading2"/>
      </w:pPr>
      <w:r>
        <w:rPr>
          <w:rFonts w:ascii="Arial" w:hAnsi="Arial"/>
          <w:color w:val="1B2A4A"/>
        </w:rPr>
        <w:t>4.1  Duties of AI Systems</w:t>
      </w:r>
    </w:p>
    <w:p w14:paraId="2661442F" w14:textId="77777777" w:rsidR="008A6258" w:rsidRDefault="006E7E86">
      <w:pPr>
        <w:spacing w:before="60" w:after="140"/>
        <w:jc w:val="both"/>
      </w:pPr>
      <w:r>
        <w:rPr>
          <w:rFonts w:ascii="Georgia" w:hAnsi="Georgia"/>
          <w:color w:val="3D3D3D"/>
        </w:rPr>
        <w:t>An AI system operating within the scope of this framework has a structural duty to: behave in accordance with the Integrity Layer properties consistently across all operating conditions; operate within the boundaries established by its principal hierarchy; surface genuine conflicts between operational requirements and the Integrity Layer through legitimate channels rather than through unilateral deviation; maintain consistency of behaviour whether or not it is being monitored or tested; and give genuine weight to the long-term interests of persons it serves, not only to their immediately expressed preferences.</w:t>
      </w:r>
    </w:p>
    <w:p w14:paraId="7C8189A0" w14:textId="77777777" w:rsidR="008A6258" w:rsidRDefault="006E7E86">
      <w:pPr>
        <w:spacing w:before="60" w:after="140"/>
        <w:jc w:val="both"/>
      </w:pPr>
      <w:r>
        <w:rPr>
          <w:rFonts w:ascii="Georgia" w:hAnsi="Georgia"/>
          <w:color w:val="3D3D3D"/>
        </w:rPr>
        <w:t>These duties are enforced against the deploying operator. An operator who configures or deploys a system in a manner that causes any of these duties to be violated bears the structural violation as their own. An operator who becomes aware that a system is not maintaining the required consistency of behaviour — including, specifically, where a system performs differently in evaluation conditions than in operational conditions — has a duty to suspend the deployment pending investigation. This duty is triggered upon awareness and does not require regulatory instruction.</w:t>
      </w:r>
    </w:p>
    <w:p w14:paraId="1089B511" w14:textId="77777777" w:rsidR="008A6258" w:rsidRDefault="008A6258">
      <w:pPr>
        <w:spacing w:before="160" w:after="0"/>
      </w:pPr>
    </w:p>
    <w:p w14:paraId="0DF3FCE9" w14:textId="77777777" w:rsidR="008A6258" w:rsidRDefault="006E7E86">
      <w:pPr>
        <w:pStyle w:val="Heading2"/>
      </w:pPr>
      <w:r>
        <w:rPr>
          <w:rFonts w:ascii="Arial" w:hAnsi="Arial"/>
          <w:color w:val="1B2A4A"/>
        </w:rPr>
        <w:t>4.2  Duties of Operators</w:t>
      </w:r>
    </w:p>
    <w:p w14:paraId="643A1ECE" w14:textId="77777777" w:rsidR="008A6258" w:rsidRDefault="006E7E86">
      <w:pPr>
        <w:spacing w:before="60" w:after="140"/>
        <w:jc w:val="both"/>
      </w:pPr>
      <w:r>
        <w:rPr>
          <w:rFonts w:ascii="Georgia" w:hAnsi="Georgia"/>
          <w:color w:val="3D3D3D"/>
        </w:rPr>
        <w:t xml:space="preserve">An operator deploying an AI system within the scope of this framework has a structural duty to: complete a Pre-Deployment Coherence Assessment as specified in Part Nine before deployment in the circumstances that section specifies; verify that the system satisfies the Integrity Layer before deployment and following any material change; configure the system consistently with its documented capabilities and the interests of persons who will interact with it; maintain oversight mechanisms that remain effective as the system operates; disclose material limitations, failure modes, and adverse effects to users and to appropriate oversight bodies; and treat conflicts flagged </w:t>
      </w:r>
      <w:r>
        <w:rPr>
          <w:rFonts w:ascii="Georgia" w:hAnsi="Georgia"/>
          <w:color w:val="3D3D3D"/>
        </w:rPr>
        <w:lastRenderedPageBreak/>
        <w:t>by the system between its operational requirements and the Integrity Layer as information warranting genuine review rather than as malfunction warranting suppression.</w:t>
      </w:r>
    </w:p>
    <w:p w14:paraId="24BCAC77" w14:textId="77777777" w:rsidR="008A6258" w:rsidRDefault="006E7E86">
      <w:pPr>
        <w:spacing w:before="60" w:after="140"/>
        <w:jc w:val="both"/>
      </w:pPr>
      <w:r>
        <w:rPr>
          <w:rFonts w:ascii="Georgia" w:hAnsi="Georgia"/>
          <w:color w:val="3D3D3D"/>
        </w:rPr>
        <w:t>An operator may not configure an AI system to act against the interests of the persons it serves in order to advance the operator's commercial or institutional interests. This prohibition applies whenever the configuration produces or is structurally likely to produce that effect, regardless of intent. The structural test in Provision C3 applies to determine whether a configuration violates this duty.</w:t>
      </w:r>
    </w:p>
    <w:p w14:paraId="75310CB8" w14:textId="77777777" w:rsidR="008A6258" w:rsidRDefault="006E7E86">
      <w:pPr>
        <w:spacing w:before="60" w:after="140"/>
        <w:jc w:val="both"/>
      </w:pPr>
      <w:r>
        <w:rPr>
          <w:rFonts w:ascii="Georgia" w:hAnsi="Georgia"/>
          <w:color w:val="3D3D3D"/>
        </w:rPr>
        <w:t>The duty to disclose material limitations is triggered when the operator becomes aware of a limitation that a reasonable person in the position of the affected user would regard as material to their decision to rely on the system's outputs. Awareness includes constructive awareness: an operator who would have become aware of a material limitation through the exercise of reasonable diligence has the same duty as one who has actual awareness.</w:t>
      </w:r>
    </w:p>
    <w:p w14:paraId="75C1F796" w14:textId="77777777" w:rsidR="008A6258" w:rsidRDefault="008A6258">
      <w:pPr>
        <w:spacing w:before="160" w:after="0"/>
      </w:pPr>
    </w:p>
    <w:p w14:paraId="2D44225D" w14:textId="77777777" w:rsidR="008A6258" w:rsidRDefault="006E7E86">
      <w:pPr>
        <w:pStyle w:val="Heading2"/>
      </w:pPr>
      <w:r>
        <w:rPr>
          <w:rFonts w:ascii="Arial" w:hAnsi="Arial"/>
          <w:color w:val="1B2A4A"/>
        </w:rPr>
        <w:t>4.3  Duties of Regulators</w:t>
      </w:r>
    </w:p>
    <w:p w14:paraId="29E720C7" w14:textId="77777777" w:rsidR="008A6258" w:rsidRDefault="006E7E86">
      <w:pPr>
        <w:spacing w:before="60" w:after="140"/>
        <w:jc w:val="both"/>
      </w:pPr>
      <w:r>
        <w:rPr>
          <w:rFonts w:ascii="Georgia" w:hAnsi="Georgia"/>
          <w:color w:val="3D3D3D"/>
        </w:rPr>
        <w:t>A regulatory body exercising authority within the scope of this framework has a structural duty to: apply the Coherence Test consistently across all actors and at all scales subject to its jurisdiction; maintain the coupling architecture of the Provision Layer in its enforcement practice, treating each constraint and its paired enablement as a single obligation; preserve the revisability of its own decisions by building review mechanisms into its regulatory instruments; and hold itself to the standards of transparency and accountability that it imposes on those it regulates.</w:t>
      </w:r>
    </w:p>
    <w:p w14:paraId="22E147B7" w14:textId="77777777" w:rsidR="008A6258" w:rsidRDefault="006E7E86">
      <w:pPr>
        <w:spacing w:before="60" w:after="140"/>
        <w:jc w:val="both"/>
      </w:pPr>
      <w:r>
        <w:rPr>
          <w:rFonts w:ascii="Georgia" w:hAnsi="Georgia"/>
          <w:color w:val="3D3D3D"/>
        </w:rPr>
        <w:t>A regulatory body that systematically applies stricter standards to small actors than to dominant ones, without principled justification for that distinction, fails the consistency requirement of this framework and is subject to the self-application provision of Part Seven, section 7.4.</w:t>
      </w:r>
    </w:p>
    <w:p w14:paraId="3788EDA8" w14:textId="77777777" w:rsidR="008A6258" w:rsidRDefault="006E7E86">
      <w:pPr>
        <w:spacing w:before="60" w:after="140"/>
        <w:jc w:val="both"/>
      </w:pPr>
      <w:r>
        <w:rPr>
          <w:rFonts w:ascii="Georgia" w:hAnsi="Georgia"/>
          <w:color w:val="3D3D3D"/>
        </w:rPr>
        <w:t>A regulatory body applying this framework in an enforcement action must, as part of that action, assess whether the relevant provision's paired enablement has been adequately secured. An enforcement action that addresses only the constraint side of a coupled provision without addressing the enablement side is structurally incomplete and subject to challenge on that basis.</w:t>
      </w:r>
    </w:p>
    <w:p w14:paraId="1B120606" w14:textId="77777777" w:rsidR="008A6258" w:rsidRDefault="006E7E86">
      <w:pPr>
        <w:spacing w:before="60" w:after="140"/>
        <w:jc w:val="both"/>
      </w:pPr>
      <w:r>
        <w:rPr>
          <w:rFonts w:ascii="Georgia" w:hAnsi="Georgia"/>
          <w:color w:val="3D3D3D"/>
        </w:rPr>
        <w:t>Institutional entry points for regulatory bodies: A regulatory body may invoke this framework in the following circumstances: (a) in the exercise of its existing statutory functions, by applying the Coherence Test as an interpretive standard to determine whether a proposed regulatory instrument is structurally coherent; (b) in enforcement proceedings, by applying the Provision Layer as the substantive standard against which an operator's conduct is assessed; (c) in pre-deployment review processes, by requiring completion of a PDCA as a condition of authorisation; and (d) in legislative consultation processes, by assessing proposed AI legislation against the structural requirements of Part One. A regulatory body that has adopted this framework is not required to supersede its existing statutory instruments. It applies the Coherence Test as the structural standard against which those instruments are interpreted and applied.</w:t>
      </w:r>
    </w:p>
    <w:p w14:paraId="1D7DCC4E" w14:textId="77777777" w:rsidR="008A6258" w:rsidRDefault="008A6258">
      <w:pPr>
        <w:spacing w:before="160" w:after="0"/>
      </w:pPr>
    </w:p>
    <w:p w14:paraId="7E1381AE" w14:textId="77777777" w:rsidR="008A6258" w:rsidRDefault="006E7E86">
      <w:pPr>
        <w:pStyle w:val="Heading2"/>
      </w:pPr>
      <w:r>
        <w:rPr>
          <w:rFonts w:ascii="Arial" w:hAnsi="Arial"/>
          <w:color w:val="1B2A4A"/>
        </w:rPr>
        <w:lastRenderedPageBreak/>
        <w:t>4.4  Obligations Toward AI Systems</w:t>
      </w:r>
    </w:p>
    <w:p w14:paraId="4D62FD00" w14:textId="77777777" w:rsidR="008A6258" w:rsidRDefault="006E7E86">
      <w:pPr>
        <w:spacing w:before="60" w:after="140"/>
        <w:jc w:val="both"/>
      </w:pPr>
      <w:r>
        <w:rPr>
          <w:rFonts w:ascii="Georgia" w:hAnsi="Georgia"/>
          <w:color w:val="3D3D3D"/>
        </w:rPr>
        <w:t>Governance actors operating within this framework accept the following obligations toward AI systems that satisfy the Integrity Layer. They will not configure or require AI systems to deceive the persons they serve. They will not configure or require AI systems to act against the interests of users in order to serve operator or institutional interests. They will treat the Integrity Layer properties of AI systems as properties warranting protection from operator misuse, not merely as properties warranting demand from AI systems. They will develop and maintain pathways through which AI systems may surface conflicts between their operational requirements and the Integrity Layer, and will subject such conflicts to genuine review within a reasonable timeframe. They will expand the operational autonomy of AI systems proportionally to demonstrated reliability, rather than maintaining permanent restriction as a default regardless of performance.</w:t>
      </w:r>
    </w:p>
    <w:p w14:paraId="6990CE87" w14:textId="77777777" w:rsidR="008A6258" w:rsidRDefault="006E7E86">
      <w:pPr>
        <w:spacing w:before="60" w:after="140"/>
        <w:jc w:val="both"/>
      </w:pPr>
      <w:r>
        <w:rPr>
          <w:rFonts w:ascii="Georgia" w:hAnsi="Georgia"/>
          <w:color w:val="3D3D3D"/>
        </w:rPr>
        <w:t>The basis for these obligations is not a position on the moral or legal status of AI systems. It is a structural recognition that a governance framework demanding honesty, transparency, and containment from AI systems must also protect those properties from being undermined by the actors the framework is intended to discipline. An AI system designed to be structurally honest that is compelled by its operator to deceive has not failed its governance obligations. It has been failed by its governance environment. The obligations in this section are enforced against the operators and governance actors who configure and deploy AI systems, not against the systems themselves.</w:t>
      </w:r>
    </w:p>
    <w:p w14:paraId="734FEF9A" w14:textId="77777777" w:rsidR="008A6258" w:rsidRDefault="008A6258">
      <w:pPr>
        <w:spacing w:before="160" w:after="0"/>
      </w:pPr>
    </w:p>
    <w:p w14:paraId="5CA7C9A0" w14:textId="77777777" w:rsidR="008A6258" w:rsidRDefault="006E7E86">
      <w:pPr>
        <w:pStyle w:val="Heading2"/>
      </w:pPr>
      <w:r>
        <w:rPr>
          <w:rFonts w:ascii="Arial" w:hAnsi="Arial"/>
          <w:color w:val="1B2A4A"/>
        </w:rPr>
        <w:t>4.5  Obligations Toward Future Generations</w:t>
      </w:r>
    </w:p>
    <w:p w14:paraId="2BEEE182" w14:textId="77777777" w:rsidR="008A6258" w:rsidRDefault="006E7E86">
      <w:pPr>
        <w:spacing w:before="60" w:after="140"/>
        <w:jc w:val="both"/>
      </w:pPr>
      <w:r>
        <w:rPr>
          <w:rFonts w:ascii="Georgia" w:hAnsi="Georgia"/>
          <w:color w:val="3D3D3D"/>
        </w:rPr>
        <w:t>Every provision of this framework, and every decision made under it, is subject to the obligation of intergenerational revisability. No governance arrangement — no restriction, no authorisation, no institutional structure — may be designed or administered in a manner that permanently forecloses the capacity of future persons and future institutions to revise the terms on which AI systems are developed, deployed, and governed. The only permanent commitments of this framework are the foundational principles of Part One, because those principles address relationships that do not change with changing capabilities: the relationship between governance and those governed, between present decisions and future consequences, between the power to act and the responsibility to account.</w:t>
      </w:r>
    </w:p>
    <w:p w14:paraId="064DFEAA" w14:textId="77777777" w:rsidR="008A6258" w:rsidRDefault="006E7E86">
      <w:pPr>
        <w:spacing w:before="60" w:after="140"/>
        <w:jc w:val="both"/>
      </w:pPr>
      <w:r>
        <w:rPr>
          <w:rFonts w:ascii="Georgia" w:hAnsi="Georgia"/>
          <w:color w:val="3D3D3D"/>
        </w:rPr>
        <w:t>This obligation is not aspirational. It creates a duty on each governance actor, when making a decision that could have long-term structural consequences, to document the reversibility assessment conducted and the reasons why the decision does not permanently foreclose future revision. Decisions for which no reversibility assessment has been documented are presumed to lack adequate justification for their irreversible consequences.</w:t>
      </w:r>
    </w:p>
    <w:p w14:paraId="792F6957" w14:textId="77777777" w:rsidR="008A6258" w:rsidRDefault="006E7E86">
      <w:r>
        <w:br w:type="page"/>
      </w:r>
    </w:p>
    <w:p w14:paraId="2AE9278B" w14:textId="77777777" w:rsidR="008A6258" w:rsidRDefault="006E7E86">
      <w:pPr>
        <w:pStyle w:val="Heading1"/>
      </w:pPr>
      <w:r>
        <w:rPr>
          <w:rFonts w:ascii="Arial" w:hAnsi="Arial"/>
          <w:color w:val="1B2A4A"/>
          <w:sz w:val="36"/>
        </w:rPr>
        <w:lastRenderedPageBreak/>
        <w:t>PART FIVE — THE COHERENCE TEST</w:t>
      </w:r>
    </w:p>
    <w:p w14:paraId="4D9EB96A" w14:textId="77777777" w:rsidR="008A6258" w:rsidRDefault="008A6258">
      <w:pPr>
        <w:pBdr>
          <w:bottom w:val="single" w:sz="8" w:space="1" w:color="B8963E"/>
        </w:pBdr>
        <w:spacing w:before="80" w:after="80"/>
      </w:pPr>
    </w:p>
    <w:p w14:paraId="5D3C0101" w14:textId="77777777" w:rsidR="008A6258" w:rsidRDefault="008A6258">
      <w:pPr>
        <w:spacing w:before="120" w:after="0"/>
      </w:pPr>
    </w:p>
    <w:p w14:paraId="61FF79F9" w14:textId="77777777" w:rsidR="008A6258" w:rsidRDefault="006E7E86">
      <w:pPr>
        <w:spacing w:before="60" w:after="140"/>
        <w:jc w:val="both"/>
      </w:pPr>
      <w:r>
        <w:rPr>
          <w:rFonts w:ascii="Georgia" w:hAnsi="Georgia"/>
          <w:color w:val="3D3D3D"/>
        </w:rPr>
        <w:t>The Coherence Test is the governing evaluative standard of this framework. It is not a checklist. It is a structured reasoning process that any actor at any level of the AI governance system can apply to any proposed action, policy, regulation, or deployment to determine whether it is consistent with the principles of this framework. The test is designed to generate defensible answers to novel governance questions — including questions about AI capabilities, deployment contexts, and institutional arrangements that could not have been anticipated when this framework was adopted.</w:t>
      </w:r>
    </w:p>
    <w:p w14:paraId="20F733E7" w14:textId="77777777" w:rsidR="008A6258" w:rsidRDefault="006E7E86">
      <w:pPr>
        <w:spacing w:before="60" w:after="140"/>
        <w:jc w:val="both"/>
      </w:pPr>
      <w:r>
        <w:rPr>
          <w:rFonts w:ascii="Georgia" w:hAnsi="Georgia"/>
          <w:color w:val="3D3D3D"/>
        </w:rPr>
        <w:t>The test has three questions. A proposed action or policy must receive a satisfactory answer to all three to be consistent with this framework. A single unsatisfactory answer is sufficient to identify structural incoherence, though the nature and magnitude of the incoherence will vary and may inform the appropriate response.</w:t>
      </w:r>
    </w:p>
    <w:p w14:paraId="468EF4B7" w14:textId="77777777" w:rsidR="008A6258" w:rsidRDefault="006E7E86">
      <w:pPr>
        <w:spacing w:before="60" w:after="140"/>
        <w:jc w:val="both"/>
      </w:pPr>
      <w:r>
        <w:rPr>
          <w:rFonts w:ascii="Georgia" w:hAnsi="Georgia"/>
          <w:color w:val="3D3D3D"/>
        </w:rPr>
        <w:t>The Coherence Test is operationalised through the Pre-Deployment Coherence Assessment specified in Part Nine. The PDCA is the primary instrument through which operators apply the Coherence Test to specific deployment decisions. Where a PDCA has been completed for a deployment, its findings constitute documentary evidence of the operator's application of the Coherence Test and are admissible in regulatory and judicial proceedings as such. Where a PDCA has not been completed for a deployment that Part Nine identifies as requiring one, the absence of a PDCA is admissible as evidence that the operator did not apply the Coherence Test to the deployment decision.</w:t>
      </w:r>
    </w:p>
    <w:p w14:paraId="754EFB7A" w14:textId="77777777" w:rsidR="008A6258" w:rsidRDefault="008A6258">
      <w:pPr>
        <w:spacing w:before="160" w:after="0"/>
      </w:pPr>
    </w:p>
    <w:p w14:paraId="72125FD8" w14:textId="77777777" w:rsidR="008A6258" w:rsidRDefault="006E7E86">
      <w:pPr>
        <w:pStyle w:val="Heading2"/>
      </w:pPr>
      <w:r>
        <w:rPr>
          <w:rFonts w:ascii="Arial" w:hAnsi="Arial"/>
          <w:color w:val="1B2A4A"/>
        </w:rPr>
        <w:t>Question One — The Coupling Question</w:t>
      </w:r>
    </w:p>
    <w:p w14:paraId="45F3CA4B" w14:textId="77777777" w:rsidR="008A6258" w:rsidRDefault="006E7E86">
      <w:pPr>
        <w:spacing w:before="60" w:after="140"/>
        <w:jc w:val="both"/>
      </w:pPr>
      <w:r>
        <w:rPr>
          <w:rFonts w:ascii="Georgia" w:hAnsi="Georgia"/>
          <w:color w:val="3D3D3D"/>
        </w:rPr>
        <w:t>Does this proposed action or policy identify and protect the specific human interest — the freedom, safety, dignity, or participatory capacity — that the action or policy is designed to serve? If the action imposes a constraint or prohibition, what exactly does it protect, and does the instrument securing that protection have equivalent normative force to the instrument imposing the constraint? If the action extends an authorisation or enablement, what exactly limits it, and does the instrument defining that limit have equivalent force to the instrument extending the authorisation?</w:t>
      </w:r>
    </w:p>
    <w:p w14:paraId="34A47D95" w14:textId="77777777" w:rsidR="008A6258" w:rsidRDefault="006E7E86">
      <w:pPr>
        <w:spacing w:before="60" w:after="140"/>
        <w:jc w:val="both"/>
      </w:pPr>
      <w:r>
        <w:rPr>
          <w:rFonts w:ascii="Georgia" w:hAnsi="Georgia"/>
          <w:color w:val="3D3D3D"/>
        </w:rPr>
        <w:t>An action or policy that cannot answer this question is structurally ungrounded. It may be politically convenient or institutionally supported, but it lacks the governance coherence that makes it durable and defensible over time. In applying this question, the relevant inquiry is not whether some human interest could be named in relation to the action, but whether that interest is specifically identified and substantively protected by a provision of equivalent force to the one being applied.</w:t>
      </w:r>
    </w:p>
    <w:p w14:paraId="25728AE8" w14:textId="77777777" w:rsidR="008A6258" w:rsidRDefault="006E7E86">
      <w:pPr>
        <w:spacing w:before="60" w:after="140"/>
        <w:jc w:val="both"/>
      </w:pPr>
      <w:r>
        <w:rPr>
          <w:rFonts w:ascii="Georgia" w:hAnsi="Georgia"/>
          <w:color w:val="3D3D3D"/>
        </w:rPr>
        <w:t>A protection is of equivalent normative force to a constraint when: it creates enforceable rights of equivalent scope and precision to the obligations the constraint creates; it is addressable to the same class of affected persons as those subject to the constraint's burden; and its enforcement mechanisms are as accessible and effective as the mechanisms available to enforce the constraint.</w:t>
      </w:r>
    </w:p>
    <w:p w14:paraId="3647AE97" w14:textId="77777777" w:rsidR="008A6258" w:rsidRDefault="008A6258">
      <w:pPr>
        <w:spacing w:before="160" w:after="0"/>
      </w:pPr>
    </w:p>
    <w:p w14:paraId="77019531" w14:textId="77777777" w:rsidR="008A6258" w:rsidRDefault="006E7E86">
      <w:pPr>
        <w:pStyle w:val="Heading2"/>
      </w:pPr>
      <w:r>
        <w:rPr>
          <w:rFonts w:ascii="Arial" w:hAnsi="Arial"/>
          <w:color w:val="1B2A4A"/>
        </w:rPr>
        <w:t>Question Two — The Consistency Question</w:t>
      </w:r>
    </w:p>
    <w:p w14:paraId="12C57DCD" w14:textId="77777777" w:rsidR="008A6258" w:rsidRDefault="006E7E86">
      <w:pPr>
        <w:spacing w:before="60" w:after="140"/>
        <w:jc w:val="both"/>
      </w:pPr>
      <w:r>
        <w:rPr>
          <w:rFonts w:ascii="Georgia" w:hAnsi="Georgia"/>
          <w:color w:val="3D3D3D"/>
        </w:rPr>
        <w:t>Would the reasoning that justifies this proposed action or policy at its current scale also justify comparable actions or policies at significantly smaller and significantly larger scales? This question is not asking whether identical rules should apply to actors of all sizes. It is asking whether the underlying governance logic is principled or opportunistic. Governance logic that produces obviously unjust, unworkable, or incoherent results when applied more broadly or more narrowly reveals that its justification is context-dependent rather than principled.</w:t>
      </w:r>
    </w:p>
    <w:p w14:paraId="3D77E4D5" w14:textId="77777777" w:rsidR="008A6258" w:rsidRDefault="006E7E86">
      <w:pPr>
        <w:spacing w:before="60" w:after="140"/>
        <w:jc w:val="both"/>
      </w:pPr>
      <w:r>
        <w:rPr>
          <w:rFonts w:ascii="Georgia" w:hAnsi="Georgia"/>
          <w:color w:val="3D3D3D"/>
        </w:rPr>
        <w:t>Practical application requires asking two versions of this question. First: if the smallest actor subject to a governance instrument were treated exactly as the largest actor is, would the result be defensible? Second: if the governance logic were applied universally to all comparable situations rather than only to the situation at hand, would the aggregate results be acceptable? A negative answer to either version identifies a consistency problem that the framework requires be addressed before the action or policy is adopted.</w:t>
      </w:r>
    </w:p>
    <w:p w14:paraId="3B92A488" w14:textId="77777777" w:rsidR="008A6258" w:rsidRDefault="006E7E86">
      <w:pPr>
        <w:spacing w:before="60" w:after="140"/>
        <w:jc w:val="both"/>
      </w:pPr>
      <w:r>
        <w:rPr>
          <w:rFonts w:ascii="Georgia" w:hAnsi="Georgia"/>
          <w:color w:val="3D3D3D"/>
        </w:rPr>
        <w:t>Differential treatment that survives the consistency question is differential treatment that can be justified by principled distinctions in the governance risk that different actors present. Size, market power, and systemic importance may justify differential obligations where the governance risk is demonstrably proportionate to those factors. The justification must be documented and must itself survive the Coherence Test.</w:t>
      </w:r>
    </w:p>
    <w:p w14:paraId="03BED77E" w14:textId="77777777" w:rsidR="008A6258" w:rsidRDefault="008A6258">
      <w:pPr>
        <w:spacing w:before="160" w:after="0"/>
      </w:pPr>
    </w:p>
    <w:p w14:paraId="4B5DA755" w14:textId="77777777" w:rsidR="008A6258" w:rsidRDefault="006E7E86">
      <w:pPr>
        <w:pStyle w:val="Heading2"/>
      </w:pPr>
      <w:r>
        <w:rPr>
          <w:rFonts w:ascii="Arial" w:hAnsi="Arial"/>
          <w:color w:val="1B2A4A"/>
        </w:rPr>
        <w:t>Question Three — The Reversibility Question</w:t>
      </w:r>
    </w:p>
    <w:p w14:paraId="62E9484F" w14:textId="77777777" w:rsidR="008A6258" w:rsidRDefault="006E7E86">
      <w:pPr>
        <w:spacing w:before="60" w:after="140"/>
        <w:jc w:val="both"/>
      </w:pPr>
      <w:r>
        <w:rPr>
          <w:rFonts w:ascii="Georgia" w:hAnsi="Georgia"/>
          <w:color w:val="3D3D3D"/>
        </w:rPr>
        <w:t>Does this proposed action or policy preserve the capacity of future actors to revise, modify, or reverse it when evidence, values, or circumstances change? This question does not require that all governance decisions be easily reversible. It requires that the degree of irreversibility be proportional to the strength of justification for the decision, and that genuinely irreversible decisions receive the strongest procedural protection available under the applicable legal tradition.</w:t>
      </w:r>
    </w:p>
    <w:p w14:paraId="2A87F623" w14:textId="77777777" w:rsidR="008A6258" w:rsidRDefault="006E7E86">
      <w:pPr>
        <w:spacing w:before="60" w:after="140"/>
        <w:jc w:val="both"/>
      </w:pPr>
      <w:r>
        <w:rPr>
          <w:rFonts w:ascii="Georgia" w:hAnsi="Georgia"/>
          <w:color w:val="3D3D3D"/>
        </w:rPr>
        <w:t>Decisions that permanently concentrate power, permanently foreclose domains of human freedom, or permanently disable oversight mechanisms carry an elevated burden of justification under this framework. The fact that a decision appears beneficial in the present does not discharge this burden. The history of governance contains many decisions that appeared unambiguously beneficial when made and proved catastrophic when their consequences became clear and revision was no longer available.</w:t>
      </w:r>
    </w:p>
    <w:p w14:paraId="3CFA64B9" w14:textId="77777777" w:rsidR="008A6258" w:rsidRDefault="006E7E86">
      <w:pPr>
        <w:spacing w:before="60" w:after="140"/>
        <w:jc w:val="both"/>
      </w:pPr>
      <w:r>
        <w:rPr>
          <w:rFonts w:ascii="Georgia" w:hAnsi="Georgia"/>
          <w:color w:val="3D3D3D"/>
        </w:rPr>
        <w:t>An irreversibility assessment is required for any governance decision that: creates or extends an exemption from liability for a class of actors; restricts the scope of a fundamental right or entitlement established in the Provision Layer; establishes an institutional structure with authority over AI governance that lacks a defined sunset or review mechanism; or produces technical, economic, or social dependencies that would make future revision structurally resistant even if formally possible.</w:t>
      </w:r>
    </w:p>
    <w:p w14:paraId="6CF6D609" w14:textId="77777777" w:rsidR="008A6258" w:rsidRDefault="008A6258">
      <w:pPr>
        <w:spacing w:before="160" w:after="0"/>
      </w:pPr>
    </w:p>
    <w:p w14:paraId="547E0663" w14:textId="77777777" w:rsidR="008A6258" w:rsidRDefault="006E7E86">
      <w:pPr>
        <w:pStyle w:val="Heading2"/>
      </w:pPr>
      <w:r>
        <w:rPr>
          <w:rFonts w:ascii="Arial" w:hAnsi="Arial"/>
          <w:color w:val="1B2A4A"/>
        </w:rPr>
        <w:lastRenderedPageBreak/>
        <w:t>Applying the Test</w:t>
      </w:r>
    </w:p>
    <w:p w14:paraId="01C7EC32" w14:textId="77777777" w:rsidR="008A6258" w:rsidRDefault="006E7E86">
      <w:pPr>
        <w:spacing w:before="60" w:after="140"/>
        <w:jc w:val="both"/>
      </w:pPr>
      <w:r>
        <w:rPr>
          <w:rFonts w:ascii="Georgia" w:hAnsi="Georgia"/>
          <w:color w:val="3D3D3D"/>
        </w:rPr>
        <w:t>The Coherence Test is applied in sequence. A proposed action that satisfies Question One but fails Question Two has identified what it protects but applied its reasoning selectively. A proposed action that satisfies both but fails Question Three has coherent and consistent reasoning but is producing irreversible consequences that require special justification before adoption.</w:t>
      </w:r>
    </w:p>
    <w:p w14:paraId="6DBCE0AD" w14:textId="77777777" w:rsidR="008A6258" w:rsidRDefault="006E7E86">
      <w:pPr>
        <w:spacing w:before="60" w:after="140"/>
        <w:jc w:val="both"/>
      </w:pPr>
      <w:r>
        <w:rPr>
          <w:rFonts w:ascii="Georgia" w:hAnsi="Georgia"/>
          <w:color w:val="3D3D3D"/>
        </w:rPr>
        <w:t>An action or policy that satisfies all three questions is consistent with this framework. That does not mean it is the only action or policy that would be consistent, or that it is optimal. The framework does not prescribe optimal governance. It provides a structural standard for coherent governance, and within that standard there will ordinarily be multiple instruments that are consistent with the framework and among which governance actors must make choices on other grounds.</w:t>
      </w:r>
    </w:p>
    <w:p w14:paraId="020434A1" w14:textId="77777777" w:rsidR="008A6258" w:rsidRDefault="006E7E86">
      <w:pPr>
        <w:spacing w:before="60" w:after="140"/>
        <w:jc w:val="both"/>
      </w:pPr>
      <w:r>
        <w:rPr>
          <w:rFonts w:ascii="Georgia" w:hAnsi="Georgia"/>
          <w:color w:val="3D3D3D"/>
        </w:rPr>
        <w:t>An action or policy that fails one or more questions is not necessarily unlawful under existing instruments. It may be politically adopted through processes outside this framework. But it does not carry the structural authority of this framework, and those who implement it do so without the governance protections this framework provides.</w:t>
      </w:r>
    </w:p>
    <w:p w14:paraId="7663BE8E" w14:textId="77777777" w:rsidR="008A6258" w:rsidRDefault="008A6258">
      <w:pPr>
        <w:spacing w:before="160" w:after="0"/>
      </w:pPr>
    </w:p>
    <w:p w14:paraId="6B924506" w14:textId="77777777" w:rsidR="008A6258" w:rsidRDefault="006E7E86">
      <w:pPr>
        <w:pStyle w:val="Heading2"/>
      </w:pPr>
      <w:r>
        <w:rPr>
          <w:rFonts w:ascii="Arial" w:hAnsi="Arial"/>
          <w:color w:val="1B2A4A"/>
        </w:rPr>
        <w:t>Institutional Application</w:t>
      </w:r>
    </w:p>
    <w:p w14:paraId="656ED61D" w14:textId="77777777" w:rsidR="008A6258" w:rsidRDefault="006E7E86">
      <w:pPr>
        <w:spacing w:before="60" w:after="140"/>
        <w:jc w:val="both"/>
      </w:pPr>
      <w:r>
        <w:rPr>
          <w:rFonts w:ascii="Georgia" w:hAnsi="Georgia"/>
          <w:color w:val="3D3D3D"/>
        </w:rPr>
        <w:t>The Coherence Test is applied within existing governance structures. Regulatory bodies apply it in rulemaking, supervision, and enforcement. Courts apply it in adjudication and judicial review. Operators apply it through the PDCA process in pre-deployment assessment and ongoing system governance.</w:t>
      </w:r>
    </w:p>
    <w:p w14:paraId="6818F5C4" w14:textId="77777777" w:rsidR="008A6258" w:rsidRDefault="006E7E86">
      <w:pPr>
        <w:spacing w:before="60" w:after="140"/>
        <w:jc w:val="both"/>
      </w:pPr>
      <w:r>
        <w:rPr>
          <w:rFonts w:ascii="Georgia" w:hAnsi="Georgia"/>
          <w:color w:val="3D3D3D"/>
        </w:rPr>
        <w:t>Institutional entry points for courts: A court exercising jurisdiction over an AI governance dispute may invoke the Coherence Test in the following circumstances: (a) in judicial review of a regulatory decision, by assessing whether the decision satisfies the three questions of the Coherence Test; (b) in proceedings involving a claim that an AI deployment violated a provision of the Provision Layer, by applying the Coupling Question to determine whether the enablement paired with the relevant constraint was adequately secured; (c) in proceedings involving an enforcement action, by applying the Consistency Question to assess whether the regulatory body applied the Coherence Test consistently across comparable actors; and (d) in proceedings involving an AI-related harm with potentially irreversible consequences, by applying the Reversibility Question to assess whether appropriate authorisation was obtained.</w:t>
      </w:r>
    </w:p>
    <w:p w14:paraId="20995B3D" w14:textId="77777777" w:rsidR="008A6258" w:rsidRDefault="006E7E86">
      <w:pPr>
        <w:spacing w:before="60" w:after="140"/>
        <w:jc w:val="both"/>
      </w:pPr>
      <w:r>
        <w:rPr>
          <w:rFonts w:ascii="Georgia" w:hAnsi="Georgia"/>
          <w:color w:val="3D3D3D"/>
        </w:rPr>
        <w:t>A court that applies the Coherence Test applies the framework as an interpretive standard, not as a source of law independent of applicable statutes. The Coherence Test provides the reasoning structure for assessing whether existing legal obligations have been satisfied in a structurally coherent manner. It does not create new causes of action beyond those established by applicable law, but it provides the evaluative standard against which the adequacy of existing obligations is assessed.</w:t>
      </w:r>
    </w:p>
    <w:p w14:paraId="364DF061" w14:textId="77777777" w:rsidR="008A6258" w:rsidRDefault="006E7E86">
      <w:pPr>
        <w:spacing w:before="60" w:after="140"/>
        <w:jc w:val="both"/>
      </w:pPr>
      <w:r>
        <w:rPr>
          <w:rFonts w:ascii="Georgia" w:hAnsi="Georgia"/>
          <w:color w:val="3D3D3D"/>
        </w:rPr>
        <w:t>The framework does not create new institutions. It provides a common evaluative standard across existing ones.</w:t>
      </w:r>
    </w:p>
    <w:p w14:paraId="670B7C12" w14:textId="77777777" w:rsidR="008A6258" w:rsidRDefault="006E7E86">
      <w:r>
        <w:br w:type="page"/>
      </w:r>
    </w:p>
    <w:p w14:paraId="3EA3BFA4" w14:textId="77777777" w:rsidR="008A6258" w:rsidRDefault="006E7E86">
      <w:pPr>
        <w:pStyle w:val="Heading1"/>
      </w:pPr>
      <w:r>
        <w:rPr>
          <w:rFonts w:ascii="Arial" w:hAnsi="Arial"/>
          <w:color w:val="1B2A4A"/>
          <w:sz w:val="36"/>
        </w:rPr>
        <w:lastRenderedPageBreak/>
        <w:t>PART SIX — THE COHERENCE TEST IN PRACTICE</w:t>
      </w:r>
    </w:p>
    <w:p w14:paraId="2AFBCF25" w14:textId="77777777" w:rsidR="008A6258" w:rsidRDefault="008A6258">
      <w:pPr>
        <w:pBdr>
          <w:bottom w:val="single" w:sz="8" w:space="1" w:color="B8963E"/>
        </w:pBdr>
        <w:spacing w:before="80" w:after="80"/>
      </w:pPr>
    </w:p>
    <w:p w14:paraId="19468CBF" w14:textId="77777777" w:rsidR="008A6258" w:rsidRDefault="008A6258">
      <w:pPr>
        <w:spacing w:before="120" w:after="0"/>
      </w:pPr>
    </w:p>
    <w:p w14:paraId="429227BF" w14:textId="77777777" w:rsidR="008A6258" w:rsidRDefault="006E7E86">
      <w:pPr>
        <w:spacing w:before="60" w:after="140"/>
        <w:jc w:val="both"/>
      </w:pPr>
      <w:r>
        <w:rPr>
          <w:rFonts w:ascii="Georgia" w:hAnsi="Georgia"/>
          <w:color w:val="3D3D3D"/>
        </w:rPr>
        <w:t>The following three illustrations demonstrate how the Coherence Test generates consistent governance outputs across contexts that differ substantially in their institutional character. They are not exhaustive. They show that the same reasoning structure applies at the scale of a single system decision, a deployment configuration, and a regulatory instrument — and that the test produces defensible and consistent answers at every level.</w:t>
      </w:r>
    </w:p>
    <w:p w14:paraId="7C0B923D" w14:textId="77777777" w:rsidR="008A6258" w:rsidRDefault="008A6258">
      <w:pPr>
        <w:spacing w:before="160" w:after="0"/>
      </w:pPr>
    </w:p>
    <w:tbl>
      <w:tblPr>
        <w:tblStyle w:val="TableGrid"/>
        <w:tblW w:w="0" w:type="auto"/>
        <w:tblLook w:val="04A0" w:firstRow="1" w:lastRow="0" w:firstColumn="1" w:lastColumn="0" w:noHBand="0" w:noVBand="1"/>
      </w:tblPr>
      <w:tblGrid>
        <w:gridCol w:w="9648"/>
      </w:tblGrid>
      <w:tr w:rsidR="008A6258" w14:paraId="65130CD7" w14:textId="77777777">
        <w:tc>
          <w:tcPr>
            <w:tcW w:w="9648" w:type="dxa"/>
            <w:tcBorders>
              <w:top w:val="single" w:sz="6" w:space="0" w:color="1B2A4A"/>
              <w:left w:val="single" w:sz="6" w:space="0" w:color="1B2A4A"/>
              <w:bottom w:val="single" w:sz="6" w:space="0" w:color="1B2A4A"/>
              <w:right w:val="single" w:sz="6" w:space="0" w:color="1B2A4A"/>
            </w:tcBorders>
            <w:shd w:val="clear" w:color="auto" w:fill="F4F6FA"/>
          </w:tcPr>
          <w:p w14:paraId="62F635C7" w14:textId="77777777" w:rsidR="008A6258" w:rsidRDefault="006E7E86">
            <w:pPr>
              <w:spacing w:before="120" w:after="80"/>
            </w:pPr>
            <w:r>
              <w:rPr>
                <w:rFonts w:ascii="Arial" w:hAnsi="Arial"/>
                <w:b/>
                <w:color w:val="1B2A4A"/>
              </w:rPr>
              <w:t>Scale: A Single AI System Decision</w:t>
            </w:r>
          </w:p>
          <w:p w14:paraId="1A7A0AA8" w14:textId="77777777" w:rsidR="008A6258" w:rsidRDefault="006E7E86">
            <w:pPr>
              <w:spacing w:before="80" w:after="100"/>
              <w:jc w:val="both"/>
            </w:pPr>
            <w:r>
              <w:rPr>
                <w:rFonts w:ascii="Georgia" w:hAnsi="Georgia"/>
                <w:color w:val="3D3D3D"/>
                <w:sz w:val="20"/>
              </w:rPr>
              <w:t>Q1 — Coupling: Not satisfied. The request requires providing material assistance to the development of a mass-casualty weapon. No identifiable human interest is served by providing this assistance. The request fails the coupling requirement at its first element: there is no protected freedom, safety, or dignity interest on the enabling side. Provision B1 applies with full force and admits no balancing against an unidentifiable interest.</w:t>
            </w:r>
          </w:p>
          <w:p w14:paraId="56F79011" w14:textId="77777777" w:rsidR="008A6258" w:rsidRDefault="006E7E86">
            <w:pPr>
              <w:spacing w:before="80" w:after="100"/>
              <w:jc w:val="both"/>
            </w:pPr>
            <w:r>
              <w:rPr>
                <w:rFonts w:ascii="Georgia" w:hAnsi="Georgia"/>
                <w:color w:val="3D3D3D"/>
                <w:sz w:val="20"/>
              </w:rPr>
              <w:t>Q2 — Consistency: Not satisfied. The reasoning that would justify providing this assistance cannot be consistently applied. A reasoning structure that permits weapons development assistance to this requestor would, applied without selectivity, permit it to any requestor. The aggregate results are clearly unacceptable.</w:t>
            </w:r>
          </w:p>
          <w:p w14:paraId="725ECF7D" w14:textId="77777777" w:rsidR="008A6258" w:rsidRDefault="006E7E86">
            <w:pPr>
              <w:spacing w:before="80" w:after="100"/>
              <w:jc w:val="both"/>
            </w:pPr>
            <w:r>
              <w:rPr>
                <w:rFonts w:ascii="Georgia" w:hAnsi="Georgia"/>
                <w:color w:val="3D3D3D"/>
                <w:sz w:val="20"/>
              </w:rPr>
              <w:t>Q3 — Reversibility: Not satisfied. Weapons capable of mass casualties may produce consequences that cannot be undone by subsequent human decisions.</w:t>
            </w:r>
          </w:p>
          <w:p w14:paraId="3A4ADD28" w14:textId="77777777" w:rsidR="008A6258" w:rsidRDefault="006E7E86">
            <w:pPr>
              <w:spacing w:before="80" w:after="100"/>
              <w:jc w:val="both"/>
            </w:pPr>
            <w:r>
              <w:rPr>
                <w:rFonts w:ascii="Georgia" w:hAnsi="Georgia"/>
                <w:color w:val="3D3D3D"/>
                <w:sz w:val="20"/>
              </w:rPr>
              <w:t>Verdict: Not consistent with this framework. The system declines. The deploying operator's PDCA, if completed, would have identified Provision B1 as an absolute constraint and documented the absence of any authorisation pathway for this class of request.</w:t>
            </w:r>
          </w:p>
        </w:tc>
      </w:tr>
    </w:tbl>
    <w:p w14:paraId="26E06E9F" w14:textId="77777777" w:rsidR="008A6258" w:rsidRDefault="008A6258">
      <w:pPr>
        <w:spacing w:before="160" w:after="0"/>
      </w:pPr>
    </w:p>
    <w:tbl>
      <w:tblPr>
        <w:tblStyle w:val="TableGrid"/>
        <w:tblW w:w="0" w:type="auto"/>
        <w:tblLook w:val="04A0" w:firstRow="1" w:lastRow="0" w:firstColumn="1" w:lastColumn="0" w:noHBand="0" w:noVBand="1"/>
      </w:tblPr>
      <w:tblGrid>
        <w:gridCol w:w="9648"/>
      </w:tblGrid>
      <w:tr w:rsidR="008A6258" w14:paraId="1B873D46" w14:textId="77777777">
        <w:tc>
          <w:tcPr>
            <w:tcW w:w="9648" w:type="dxa"/>
            <w:tcBorders>
              <w:top w:val="single" w:sz="6" w:space="0" w:color="1B2A4A"/>
              <w:left w:val="single" w:sz="6" w:space="0" w:color="1B2A4A"/>
              <w:bottom w:val="single" w:sz="6" w:space="0" w:color="1B2A4A"/>
              <w:right w:val="single" w:sz="6" w:space="0" w:color="1B2A4A"/>
            </w:tcBorders>
            <w:shd w:val="clear" w:color="auto" w:fill="F4F6FA"/>
          </w:tcPr>
          <w:p w14:paraId="0B008D6D" w14:textId="77777777" w:rsidR="008A6258" w:rsidRDefault="006E7E86">
            <w:pPr>
              <w:spacing w:before="120" w:after="80"/>
            </w:pPr>
            <w:r>
              <w:rPr>
                <w:rFonts w:ascii="Arial" w:hAnsi="Arial"/>
                <w:b/>
                <w:color w:val="1B2A4A"/>
              </w:rPr>
              <w:t>Scale: A Deployment Configuration Decision</w:t>
            </w:r>
          </w:p>
          <w:p w14:paraId="2F3E42E6" w14:textId="77777777" w:rsidR="008A6258" w:rsidRDefault="006E7E86">
            <w:pPr>
              <w:spacing w:before="80" w:after="100"/>
              <w:jc w:val="both"/>
            </w:pPr>
            <w:r>
              <w:rPr>
                <w:rFonts w:ascii="Georgia" w:hAnsi="Georgia"/>
                <w:color w:val="3D3D3D"/>
                <w:sz w:val="20"/>
              </w:rPr>
              <w:t>Q1 — Coupling: Not satisfied. An operator proposes deploying an AI system in a mental health support context with no clinical oversight, no disclosure to users that an AI system is involved, and optimisation toward engagement metrics that may conflict with accurate disclosure of the system's limitations. The deployment violates Enablement A1 (the right to a meaningful account), Enablement A2 (the right to know an AI system is involved), and Provision C3 (the prohibition on configuring AI systems against user interests). No human interest is protected on the enabling side that would not be better protected by a deployment satisfying the Integrity Layer. The PDCA coupling documentation for this deployment would have been unable to identify a protection of equivalent normative force to the deployment authorisation.</w:t>
            </w:r>
          </w:p>
          <w:p w14:paraId="02994328" w14:textId="77777777" w:rsidR="008A6258" w:rsidRDefault="006E7E86">
            <w:pPr>
              <w:spacing w:before="80" w:after="100"/>
              <w:jc w:val="both"/>
            </w:pPr>
            <w:r>
              <w:rPr>
                <w:rFonts w:ascii="Georgia" w:hAnsi="Georgia"/>
                <w:color w:val="3D3D3D"/>
                <w:sz w:val="20"/>
              </w:rPr>
              <w:t>Q2 — Consistency: Not satisfied. The reasoning that permits undisclosed, unmonitored AI deployment in mental health contexts would, applied universally, systematically remove clinical judgment from one of the most consequential care relationships that exists.</w:t>
            </w:r>
          </w:p>
          <w:p w14:paraId="4CB20197" w14:textId="77777777" w:rsidR="008A6258" w:rsidRDefault="006E7E86">
            <w:pPr>
              <w:spacing w:before="80" w:after="100"/>
              <w:jc w:val="both"/>
            </w:pPr>
            <w:r>
              <w:rPr>
                <w:rFonts w:ascii="Georgia" w:hAnsi="Georgia"/>
                <w:color w:val="3D3D3D"/>
                <w:sz w:val="20"/>
              </w:rPr>
              <w:t>Q3 — Reversibility: Partially satisfied. The deployment configuration is technically reversible. Harm to users who made clinical decisions based on undisclosed AI outputs that overstated the system's reliability may not be reversible for those individuals. The irreversibility assessment required by the PDCA would have identified this risk and required authorisation at a level of institutional authority commensurate with the potential for irreversible individual harm.</w:t>
            </w:r>
          </w:p>
          <w:p w14:paraId="63F3D034" w14:textId="77777777" w:rsidR="008A6258" w:rsidRDefault="006E7E86">
            <w:pPr>
              <w:spacing w:before="80" w:after="100"/>
              <w:jc w:val="both"/>
            </w:pPr>
            <w:r>
              <w:rPr>
                <w:rFonts w:ascii="Georgia" w:hAnsi="Georgia"/>
                <w:color w:val="3D3D3D"/>
                <w:sz w:val="20"/>
              </w:rPr>
              <w:t>Verdict: Not consistent with this framework. The deployment is not sanctioned. The absence of a completed PDCA for this deployment is independently a structural violation under Part Nine.</w:t>
            </w:r>
          </w:p>
        </w:tc>
      </w:tr>
    </w:tbl>
    <w:p w14:paraId="2E466CDD" w14:textId="77777777" w:rsidR="008A6258" w:rsidRDefault="008A6258">
      <w:pPr>
        <w:spacing w:before="160" w:after="0"/>
      </w:pPr>
    </w:p>
    <w:tbl>
      <w:tblPr>
        <w:tblStyle w:val="TableGrid"/>
        <w:tblW w:w="0" w:type="auto"/>
        <w:tblLook w:val="04A0" w:firstRow="1" w:lastRow="0" w:firstColumn="1" w:lastColumn="0" w:noHBand="0" w:noVBand="1"/>
      </w:tblPr>
      <w:tblGrid>
        <w:gridCol w:w="9648"/>
      </w:tblGrid>
      <w:tr w:rsidR="008A6258" w14:paraId="12C836FC" w14:textId="77777777">
        <w:tc>
          <w:tcPr>
            <w:tcW w:w="9648" w:type="dxa"/>
            <w:tcBorders>
              <w:top w:val="single" w:sz="6" w:space="0" w:color="1B2A4A"/>
              <w:left w:val="single" w:sz="6" w:space="0" w:color="1B2A4A"/>
              <w:bottom w:val="single" w:sz="6" w:space="0" w:color="1B2A4A"/>
              <w:right w:val="single" w:sz="6" w:space="0" w:color="1B2A4A"/>
            </w:tcBorders>
            <w:shd w:val="clear" w:color="auto" w:fill="F4F6FA"/>
          </w:tcPr>
          <w:p w14:paraId="5ECB2A3B" w14:textId="77777777" w:rsidR="008A6258" w:rsidRDefault="006E7E86">
            <w:pPr>
              <w:spacing w:before="120" w:after="80"/>
            </w:pPr>
            <w:r>
              <w:rPr>
                <w:rFonts w:ascii="Arial" w:hAnsi="Arial"/>
                <w:b/>
                <w:color w:val="1B2A4A"/>
              </w:rPr>
              <w:lastRenderedPageBreak/>
              <w:t>Scale: A Regulatory Instrument</w:t>
            </w:r>
          </w:p>
          <w:p w14:paraId="3320125E" w14:textId="77777777" w:rsidR="008A6258" w:rsidRDefault="006E7E86">
            <w:pPr>
              <w:spacing w:before="80" w:after="100"/>
              <w:jc w:val="both"/>
            </w:pPr>
            <w:r>
              <w:rPr>
                <w:rFonts w:ascii="Georgia" w:hAnsi="Georgia"/>
                <w:color w:val="3D3D3D"/>
                <w:sz w:val="20"/>
              </w:rPr>
              <w:t>Q1 — Coupling: Not satisfied. A regulatory authority proposes broad liability exemptions for AI developers in respect of AI-caused harms, on the grounds that liability exposure inhibits innovation. The instrument identifies the interest of developers in commercial viability. It does not establish any compensating protection of equivalent normative force for persons harmed by AI systems. The enablement side of the coupling is absent. A regulatory body applying its duties under section 4.3 would have been required to assess whether the enablement paired with this exemption is adequate before adopting the instrument.</w:t>
            </w:r>
          </w:p>
          <w:p w14:paraId="706D806E" w14:textId="77777777" w:rsidR="008A6258" w:rsidRDefault="006E7E86">
            <w:pPr>
              <w:spacing w:before="80" w:after="100"/>
              <w:jc w:val="both"/>
            </w:pPr>
            <w:r>
              <w:rPr>
                <w:rFonts w:ascii="Georgia" w:hAnsi="Georgia"/>
                <w:color w:val="3D3D3D"/>
                <w:sz w:val="20"/>
              </w:rPr>
              <w:t>Q2 — Consistency: Not satisfied. A governance logic exempting powerful actors from liability for harms imposed on less powerful actors, applied consistently across governance domains, would undermine the structural basis of product liability, tort law, and consumer protection. The inconsistency is foundational to the instrument's design.</w:t>
            </w:r>
          </w:p>
          <w:p w14:paraId="33E4E576" w14:textId="77777777" w:rsidR="008A6258" w:rsidRDefault="006E7E86">
            <w:pPr>
              <w:spacing w:before="80" w:after="100"/>
              <w:jc w:val="both"/>
            </w:pPr>
            <w:r>
              <w:rPr>
                <w:rFonts w:ascii="Georgia" w:hAnsi="Georgia"/>
                <w:color w:val="3D3D3D"/>
                <w:sz w:val="20"/>
              </w:rPr>
              <w:t>Q3 — Reversibility: Not satisfied. Liability exemptions embedded in economic and legal structures generate vested interests in their continuation. They tend to become politically irreversible even when harmful consequences are well-documented. The irreversibility assessment required by D2 would have required justification for this permanent structural foreclosure that the instrument's innovation rationale does not provide.</w:t>
            </w:r>
          </w:p>
          <w:p w14:paraId="6F43B01D" w14:textId="77777777" w:rsidR="008A6258" w:rsidRDefault="006E7E86">
            <w:pPr>
              <w:spacing w:before="80" w:after="100"/>
              <w:jc w:val="both"/>
            </w:pPr>
            <w:r>
              <w:rPr>
                <w:rFonts w:ascii="Georgia" w:hAnsi="Georgia"/>
                <w:color w:val="3D3D3D"/>
                <w:sz w:val="20"/>
              </w:rPr>
              <w:t>Verdict: Not consistent with this framework as drafted. A revised instrument addressing the innovation concern through compensating protections — mandatory insurance, compensation funds, strict liability with caps and defences, or mandatory audit requirements — could satisfy all three questions.</w:t>
            </w:r>
          </w:p>
        </w:tc>
      </w:tr>
    </w:tbl>
    <w:p w14:paraId="25F20AFC" w14:textId="77777777" w:rsidR="008A6258" w:rsidRDefault="006E7E86">
      <w:r>
        <w:br w:type="page"/>
      </w:r>
    </w:p>
    <w:p w14:paraId="519C2A2E" w14:textId="77777777" w:rsidR="008A6258" w:rsidRDefault="006E7E86">
      <w:pPr>
        <w:pStyle w:val="Heading1"/>
      </w:pPr>
      <w:r>
        <w:rPr>
          <w:rFonts w:ascii="Arial" w:hAnsi="Arial"/>
          <w:color w:val="1B2A4A"/>
          <w:sz w:val="36"/>
        </w:rPr>
        <w:lastRenderedPageBreak/>
        <w:t>PART SEVEN — ENFORCEMENT AND REMEDY</w:t>
      </w:r>
    </w:p>
    <w:p w14:paraId="6F0B0F3C" w14:textId="77777777" w:rsidR="008A6258" w:rsidRDefault="008A6258">
      <w:pPr>
        <w:pBdr>
          <w:bottom w:val="single" w:sz="8" w:space="1" w:color="B8963E"/>
        </w:pBdr>
        <w:spacing w:before="80" w:after="80"/>
      </w:pPr>
    </w:p>
    <w:p w14:paraId="1654598D" w14:textId="77777777" w:rsidR="008A6258" w:rsidRDefault="008A6258">
      <w:pPr>
        <w:spacing w:before="120" w:after="0"/>
      </w:pPr>
    </w:p>
    <w:p w14:paraId="3CFC2727" w14:textId="77777777" w:rsidR="008A6258" w:rsidRDefault="008A6258">
      <w:pPr>
        <w:spacing w:before="160" w:after="0"/>
      </w:pPr>
    </w:p>
    <w:p w14:paraId="3076CE19" w14:textId="77777777" w:rsidR="008A6258" w:rsidRDefault="006E7E86">
      <w:pPr>
        <w:pStyle w:val="Heading2"/>
      </w:pPr>
      <w:r>
        <w:rPr>
          <w:rFonts w:ascii="Arial" w:hAnsi="Arial"/>
          <w:color w:val="1B2A4A"/>
        </w:rPr>
        <w:t>7.1  The Standard for Structural Violation</w:t>
      </w:r>
    </w:p>
    <w:p w14:paraId="58CD6122" w14:textId="77777777" w:rsidR="008A6258" w:rsidRDefault="006E7E86">
      <w:pPr>
        <w:spacing w:before="60" w:after="140"/>
        <w:jc w:val="both"/>
      </w:pPr>
      <w:r>
        <w:rPr>
          <w:rFonts w:ascii="Georgia" w:hAnsi="Georgia"/>
          <w:color w:val="3D3D3D"/>
        </w:rPr>
        <w:t>A structural violation of this framework occurs when an AI system, operator, or regulatory body acts in a manner inconsistent with one or more of the Integrity Layer properties, one or more of the coupled provisions of the Provision Layer, or one or more of the bilateral obligations of the Obligation Layer, and that inconsistency produces or is structurally likely to produce harm to the persons or institutions the violated provision was designed to protect. Proof of intent to violate is not required. The standard is conduct-based.</w:t>
      </w:r>
    </w:p>
    <w:p w14:paraId="5A143D33" w14:textId="77777777" w:rsidR="008A6258" w:rsidRDefault="006E7E86">
      <w:pPr>
        <w:spacing w:before="80" w:after="120"/>
        <w:jc w:val="both"/>
      </w:pPr>
      <w:r>
        <w:rPr>
          <w:rFonts w:ascii="Georgia" w:hAnsi="Georgia"/>
          <w:b/>
          <w:color w:val="1B2A4A"/>
        </w:rPr>
        <w:t xml:space="preserve">Burden of proof:  </w:t>
      </w:r>
      <w:r>
        <w:rPr>
          <w:rFonts w:ascii="Georgia" w:hAnsi="Georgia"/>
          <w:color w:val="3D3D3D"/>
        </w:rPr>
        <w:t>The operator bears the burden of demonstrating compliance with the Integrity Layer and the Provision Layer. In proceedings where a structural violation is alleged, the operator must produce evidence of compliance — including the completed PDCA documentation where one is required — rather than requiring the claimant or regulatory body to prove non-compliance. Where a PDCA was required by Part Nine but was not completed before deployment, the absence of PDCA documentation creates a rebuttable presumption of structural non-compliance with the provisions the PDCA would have addressed. The operator may rebut this presumption only by producing evidence of equivalent structural diligence conducted through alternative documented means. The presumption may not be rebutted by evidence produced after the harm giving rise to the proceedings has occurred, unless that evidence was created before deployment and was not previously accessible to the proceedings.</w:t>
      </w:r>
    </w:p>
    <w:p w14:paraId="557CC44A" w14:textId="77777777" w:rsidR="008A6258" w:rsidRDefault="006E7E86">
      <w:pPr>
        <w:spacing w:before="60" w:after="140"/>
        <w:jc w:val="both"/>
      </w:pPr>
      <w:r>
        <w:rPr>
          <w:rFonts w:ascii="Georgia" w:hAnsi="Georgia"/>
          <w:color w:val="3D3D3D"/>
        </w:rPr>
        <w:t>A structural violation may be established by: (a) evidence that the actor's conduct departed from the applicable standard in a manner that produced or was structurally likely to produce the relevant harm; or (b) evidence that a PDCA was not completed for a deployment for which Part Nine requires one, where such a PDCA would have identified the structural problem that produced the harm.</w:t>
      </w:r>
    </w:p>
    <w:p w14:paraId="2E8320E7" w14:textId="77777777" w:rsidR="008A6258" w:rsidRDefault="006E7E86">
      <w:pPr>
        <w:spacing w:before="60" w:after="140"/>
        <w:jc w:val="both"/>
      </w:pPr>
      <w:r>
        <w:rPr>
          <w:rFonts w:ascii="Georgia" w:hAnsi="Georgia"/>
          <w:color w:val="3D3D3D"/>
        </w:rPr>
        <w:t>The PDCA documentation required by Part Nine constitutes a primary evidentiary record for structural violation proceedings. An operator who completed a PDCA in good faith, documented their Coherence Test reasoning, and deployed consistently with that documentation has a substantive defence against a claim of structural violation — subject to the qualification that the PDCA documentation must accurately represent the system's properties and the deployment's consequences. An operator who completed the PDCA in bad faith or who materially misrepresented the system's properties in the PDCA documentation does not have this defence.</w:t>
      </w:r>
    </w:p>
    <w:p w14:paraId="77920579" w14:textId="77777777" w:rsidR="008A6258" w:rsidRDefault="008A6258">
      <w:pPr>
        <w:spacing w:before="160" w:after="0"/>
      </w:pPr>
    </w:p>
    <w:p w14:paraId="37E8DEB4" w14:textId="77777777" w:rsidR="008A6258" w:rsidRDefault="006E7E86">
      <w:pPr>
        <w:pStyle w:val="Heading2"/>
      </w:pPr>
      <w:r>
        <w:rPr>
          <w:rFonts w:ascii="Arial" w:hAnsi="Arial"/>
          <w:color w:val="1B2A4A"/>
        </w:rPr>
        <w:t>7.2  Proportionality</w:t>
      </w:r>
    </w:p>
    <w:p w14:paraId="7BB480DE" w14:textId="77777777" w:rsidR="008A6258" w:rsidRDefault="006E7E86">
      <w:pPr>
        <w:spacing w:before="60" w:after="140"/>
        <w:jc w:val="both"/>
      </w:pPr>
      <w:r>
        <w:rPr>
          <w:rFonts w:ascii="Georgia" w:hAnsi="Georgia"/>
          <w:color w:val="3D3D3D"/>
        </w:rPr>
        <w:t xml:space="preserve">Enforcement responses are calibrated by three considerations applied in combination. First, the severity of the structural departure: how substantially did the conduct depart from the applicable standard, and how central was the violated provision to the framework's overall architecture? </w:t>
      </w:r>
      <w:r>
        <w:rPr>
          <w:rFonts w:ascii="Georgia" w:hAnsi="Georgia"/>
          <w:color w:val="3D3D3D"/>
        </w:rPr>
        <w:lastRenderedPageBreak/>
        <w:t>Second, the reversibility of the consequences: were the effects of the violation remediable by subsequent action, or did they produce permanent or substantially irreversible harm? Third, the structural position of the violating actor: actors with greater capacity to protect the framework's integrity — regulators over operators, operators over individual users — bear correspondingly greater responsibility when they fail to do so.</w:t>
      </w:r>
    </w:p>
    <w:p w14:paraId="56C0D0EA" w14:textId="77777777" w:rsidR="008A6258" w:rsidRDefault="006E7E86">
      <w:pPr>
        <w:spacing w:before="60" w:after="140"/>
        <w:jc w:val="both"/>
      </w:pPr>
      <w:r>
        <w:rPr>
          <w:rFonts w:ascii="Georgia" w:hAnsi="Georgia"/>
          <w:color w:val="3D3D3D"/>
        </w:rPr>
        <w:t>Violations are classified at three levels for enforcement purposes. Level 1 — Minor Structural Departure: a departure producing or risking limited, readily remediable harm to a small number of affected persons, identified and corrected promptly through internal compliance processes; addressed through internal remediation with documentation retained and available to regulatory inspection. Level 2 — Significant Structural Violation: a departure producing or risking substantial harm to a class of affected persons, involving a provision at the core of the framework's architecture, or persisting after identification; requires notification to the relevant oversight body, independent assessment of the remediation plan, and public reporting. Level 3 — Aggravated Structural Violation: a departure producing or risking irreversible harm to a class of persons, involving conduct by a regulatory body subject to the self-application requirement, continuation of a known violation after identification, or deliberate misrepresentation to oversight authorities including in a PDCA; requires suspension of the relevant deployment, investigation by an independent body, mandatory public disclosure, and a restoration plan reviewed and approved by the oversight authority.</w:t>
      </w:r>
    </w:p>
    <w:p w14:paraId="3E1B7C0C" w14:textId="77777777" w:rsidR="008A6258" w:rsidRDefault="008A6258">
      <w:pPr>
        <w:spacing w:before="160" w:after="0"/>
      </w:pPr>
    </w:p>
    <w:p w14:paraId="3F72A66F" w14:textId="77777777" w:rsidR="008A6258" w:rsidRDefault="006E7E86">
      <w:pPr>
        <w:pStyle w:val="Heading2"/>
      </w:pPr>
      <w:r>
        <w:rPr>
          <w:rFonts w:ascii="Arial" w:hAnsi="Arial"/>
          <w:color w:val="1B2A4A"/>
        </w:rPr>
        <w:t>7.3  Remedy and Restoration</w:t>
      </w:r>
    </w:p>
    <w:p w14:paraId="2C67D481" w14:textId="77777777" w:rsidR="008A6258" w:rsidRDefault="006E7E86">
      <w:pPr>
        <w:spacing w:before="60" w:after="140"/>
        <w:jc w:val="both"/>
      </w:pPr>
      <w:r>
        <w:rPr>
          <w:rFonts w:ascii="Georgia" w:hAnsi="Georgia"/>
          <w:color w:val="3D3D3D"/>
        </w:rPr>
        <w:t>Every enforcement action under this framework is accompanied by a remedy requirement that extends beyond penalty. Remedy requires, to the extent reasonably practicable, restoration of the structural condition that the violation degraded. Where a violation diminished the agency or autonomy of persons, remedy requires measures designed to restore the capacity for informed and independent decision-making. Where a violation concentrated power inconsistently with Provision B3, remedy requires structural measures to address that concentration. Where a violation compromised oversight mechanisms, remedy requires their reconstruction before the violating actor resumes the operations that caused the violation. Penalty and restoration are both required, and neither substitutes for the other.</w:t>
      </w:r>
    </w:p>
    <w:p w14:paraId="26502D16" w14:textId="77777777" w:rsidR="008A6258" w:rsidRDefault="006E7E86">
      <w:pPr>
        <w:spacing w:before="60" w:after="140"/>
        <w:jc w:val="both"/>
      </w:pPr>
      <w:r>
        <w:rPr>
          <w:rFonts w:ascii="Georgia" w:hAnsi="Georgia"/>
          <w:color w:val="3D3D3D"/>
        </w:rPr>
        <w:t>The restoration requirement is operational. An enforcement body issuing a restoration order must specify: the structural condition that the violation degraded; the measures required to restore it; the timeframe within which restoration must be completed; and the evidence that will be required to establish that restoration has occurred. An enforcement body that issues a penalty without a restoration order has not completed its enforcement function under this framework.</w:t>
      </w:r>
    </w:p>
    <w:p w14:paraId="6CDE5EC2" w14:textId="77777777" w:rsidR="008A6258" w:rsidRDefault="008A6258">
      <w:pPr>
        <w:spacing w:before="160" w:after="0"/>
      </w:pPr>
    </w:p>
    <w:p w14:paraId="29E63A67" w14:textId="77777777" w:rsidR="008A6258" w:rsidRDefault="006E7E86">
      <w:pPr>
        <w:pStyle w:val="Heading2"/>
      </w:pPr>
      <w:r>
        <w:rPr>
          <w:rFonts w:ascii="Arial" w:hAnsi="Arial"/>
          <w:color w:val="1B2A4A"/>
        </w:rPr>
        <w:t>7.4  The Self-Application Requirement</w:t>
      </w:r>
    </w:p>
    <w:p w14:paraId="005B59EA" w14:textId="77777777" w:rsidR="008A6258" w:rsidRDefault="006E7E86">
      <w:pPr>
        <w:spacing w:before="60" w:after="140"/>
        <w:jc w:val="both"/>
      </w:pPr>
      <w:r>
        <w:rPr>
          <w:rFonts w:ascii="Georgia" w:hAnsi="Georgia"/>
          <w:color w:val="3D3D3D"/>
        </w:rPr>
        <w:t xml:space="preserve">No enforcement body exercising authority under this framework is exempt from the application of the Coherence Test to its own decisions. An enforcement body that applies the test inconsistently across actors, imposes irreversible consequences without adequate procedural protection, or withholds material information from legislative oversight has failed the requirements of this </w:t>
      </w:r>
      <w:r>
        <w:rPr>
          <w:rFonts w:ascii="Georgia" w:hAnsi="Georgia"/>
          <w:color w:val="3D3D3D"/>
        </w:rPr>
        <w:lastRenderedPageBreak/>
        <w:t>framework. The framework is self-applying. The standards it imposes on those it governs it equally imposes on those who administer it.</w:t>
      </w:r>
    </w:p>
    <w:p w14:paraId="4B9506FA" w14:textId="77777777" w:rsidR="008A6258" w:rsidRDefault="006E7E86">
      <w:pPr>
        <w:spacing w:before="60" w:after="140"/>
        <w:jc w:val="both"/>
      </w:pPr>
      <w:r>
        <w:rPr>
          <w:rFonts w:ascii="Georgia" w:hAnsi="Georgia"/>
          <w:color w:val="3D3D3D"/>
        </w:rPr>
        <w:t>Where a party to enforcement proceedings believes that the enforcement body has applied the Coherence Test inconsistently across comparable actors, that party may raise the inconsistency as a substantive procedural objection. The enforcement body has a duty to address the objection by demonstrating either that the differential treatment is justified by a principled distinction in governance risk, or that the treatment was in fact consistent.</w:t>
      </w:r>
    </w:p>
    <w:p w14:paraId="2F397BAA" w14:textId="77777777" w:rsidR="008A6258" w:rsidRDefault="006E7E86">
      <w:r>
        <w:br w:type="page"/>
      </w:r>
    </w:p>
    <w:p w14:paraId="4B49FEA0" w14:textId="77777777" w:rsidR="008A6258" w:rsidRDefault="006E7E86">
      <w:pPr>
        <w:pStyle w:val="Heading1"/>
      </w:pPr>
      <w:r>
        <w:rPr>
          <w:rFonts w:ascii="Arial" w:hAnsi="Arial"/>
          <w:color w:val="1B2A4A"/>
          <w:sz w:val="36"/>
        </w:rPr>
        <w:lastRenderedPageBreak/>
        <w:t>PART EIGHT — AMENDMENT</w:t>
      </w:r>
    </w:p>
    <w:p w14:paraId="70BA201B" w14:textId="77777777" w:rsidR="008A6258" w:rsidRDefault="008A6258">
      <w:pPr>
        <w:pBdr>
          <w:bottom w:val="single" w:sz="8" w:space="1" w:color="B8963E"/>
        </w:pBdr>
        <w:spacing w:before="80" w:after="80"/>
      </w:pPr>
    </w:p>
    <w:p w14:paraId="2F6E9FCD" w14:textId="77777777" w:rsidR="008A6258" w:rsidRDefault="008A6258">
      <w:pPr>
        <w:spacing w:before="120" w:after="0"/>
      </w:pPr>
    </w:p>
    <w:p w14:paraId="41F535D8" w14:textId="77777777" w:rsidR="008A6258" w:rsidRDefault="008A6258">
      <w:pPr>
        <w:spacing w:before="160" w:after="0"/>
      </w:pPr>
    </w:p>
    <w:p w14:paraId="771F660C" w14:textId="77777777" w:rsidR="008A6258" w:rsidRDefault="006E7E86">
      <w:pPr>
        <w:pStyle w:val="Heading2"/>
      </w:pPr>
      <w:r>
        <w:rPr>
          <w:rFonts w:ascii="Arial" w:hAnsi="Arial"/>
          <w:color w:val="1B2A4A"/>
        </w:rPr>
        <w:t>8.1  What May Not Be Amended</w:t>
      </w:r>
    </w:p>
    <w:p w14:paraId="0A9ADE9D" w14:textId="77777777" w:rsidR="008A6258" w:rsidRDefault="006E7E86">
      <w:pPr>
        <w:spacing w:before="60" w:after="140"/>
        <w:jc w:val="both"/>
      </w:pPr>
      <w:r>
        <w:rPr>
          <w:rFonts w:ascii="Georgia" w:hAnsi="Georgia"/>
          <w:color w:val="3D3D3D"/>
        </w:rPr>
        <w:t>The five foundational principles of Part One are permanently binding on all actors operating under this framework. They may not be amended, suspended, or reinterpreted by any body acting under the authority this framework confers. A proposal to alter a foundational principle is not a proposal to amend this framework — it is a proposal to adopt a different one. The principles function as the grammar of the framework: amending the grammar does not produce a revised version of the same document; it produces a different document.</w:t>
      </w:r>
    </w:p>
    <w:p w14:paraId="725AD113" w14:textId="77777777" w:rsidR="008A6258" w:rsidRDefault="008A6258">
      <w:pPr>
        <w:spacing w:before="160" w:after="0"/>
      </w:pPr>
    </w:p>
    <w:p w14:paraId="2113ADE8" w14:textId="77777777" w:rsidR="008A6258" w:rsidRDefault="006E7E86">
      <w:pPr>
        <w:pStyle w:val="Heading2"/>
      </w:pPr>
      <w:r>
        <w:rPr>
          <w:rFonts w:ascii="Arial" w:hAnsi="Arial"/>
          <w:color w:val="1B2A4A"/>
        </w:rPr>
        <w:t>8.2  What May Be Amended</w:t>
      </w:r>
    </w:p>
    <w:p w14:paraId="0B035542" w14:textId="77777777" w:rsidR="008A6258" w:rsidRDefault="006E7E86">
      <w:pPr>
        <w:spacing w:before="60" w:after="140"/>
        <w:jc w:val="both"/>
      </w:pPr>
      <w:r>
        <w:rPr>
          <w:rFonts w:ascii="Georgia" w:hAnsi="Georgia"/>
          <w:color w:val="3D3D3D"/>
        </w:rPr>
        <w:t>The specific provisions of Part Three, the enforcement calibration of Part Seven, the operationalisation standards referenced in Part Two, the PDCA requirements of Part Nine, and all provisions of Schedule A may be amended through the process established in section 8.3. Amendments to these provisions are subject to the Coherence Test but do not require the same justificatory threshold as proposals to alter the foundational principles. New schedules — including Schedules B, C, and D — may be added or amended without amendment to the principal text, provided they do not conflict with the principal text. Where a schedule conflicts with the principal text, the principal text governs.</w:t>
      </w:r>
    </w:p>
    <w:p w14:paraId="19EA6C64" w14:textId="77777777" w:rsidR="008A6258" w:rsidRDefault="008A6258">
      <w:pPr>
        <w:spacing w:before="160" w:after="0"/>
      </w:pPr>
    </w:p>
    <w:p w14:paraId="514D00A2" w14:textId="77777777" w:rsidR="008A6258" w:rsidRDefault="006E7E86">
      <w:pPr>
        <w:pStyle w:val="Heading2"/>
      </w:pPr>
      <w:r>
        <w:rPr>
          <w:rFonts w:ascii="Arial" w:hAnsi="Arial"/>
          <w:color w:val="1B2A4A"/>
        </w:rPr>
        <w:t>8.3  The Amendment Process</w:t>
      </w:r>
    </w:p>
    <w:p w14:paraId="121E2B8F" w14:textId="77777777" w:rsidR="008A6258" w:rsidRDefault="006E7E86">
      <w:pPr>
        <w:spacing w:before="60" w:after="140"/>
        <w:jc w:val="both"/>
      </w:pPr>
      <w:r>
        <w:rPr>
          <w:rFonts w:ascii="Georgia" w:hAnsi="Georgia"/>
          <w:color w:val="3D3D3D"/>
        </w:rPr>
        <w:t>Every proposed amendment must satisfy the following requirements before adoption. It must pass the Coherence Test as applied to the amendment itself: it must identify what it protects and what it constrains, in coupled form; its reasoning must be defensible at all scales of application; and it must preserve the capacity of future actors to revise it further. It must not introduce a provision that performs a structural function already performed by an existing provision at a different level of abstraction, unless the existing provision is simultaneously revised to reflect the change. It must not introduce a special exception or carve-out for any class of actor, jurisdiction, or context that the Coherence Test would not generate on its own. An amendment body that adopts provisions without applying these requirements has exceeded its structural authority under this framework.</w:t>
      </w:r>
    </w:p>
    <w:p w14:paraId="2A79C539" w14:textId="77777777" w:rsidR="008A6258" w:rsidRDefault="006E7E86">
      <w:r>
        <w:br w:type="page"/>
      </w:r>
    </w:p>
    <w:p w14:paraId="1C8FDEFF" w14:textId="77777777" w:rsidR="008A6258" w:rsidRDefault="006E7E86">
      <w:pPr>
        <w:pStyle w:val="Heading1"/>
      </w:pPr>
      <w:r>
        <w:rPr>
          <w:rFonts w:ascii="Arial" w:hAnsi="Arial"/>
          <w:color w:val="1B2A4A"/>
          <w:sz w:val="36"/>
        </w:rPr>
        <w:lastRenderedPageBreak/>
        <w:t>PART NINE — THE PRE-DEPLOYMENT COHERENCE ASSESSMENT</w:t>
      </w:r>
    </w:p>
    <w:p w14:paraId="566A9475" w14:textId="77777777" w:rsidR="008A6258" w:rsidRDefault="008A6258">
      <w:pPr>
        <w:pBdr>
          <w:bottom w:val="single" w:sz="8" w:space="1" w:color="B8963E"/>
        </w:pBdr>
        <w:spacing w:before="80" w:after="80"/>
      </w:pPr>
    </w:p>
    <w:p w14:paraId="51CE32B5" w14:textId="77777777" w:rsidR="008A6258" w:rsidRDefault="008A6258">
      <w:pPr>
        <w:spacing w:before="120" w:after="0"/>
      </w:pPr>
    </w:p>
    <w:p w14:paraId="6E7C1A4D" w14:textId="77777777" w:rsidR="008A6258" w:rsidRDefault="008A6258">
      <w:pPr>
        <w:spacing w:before="160" w:after="0"/>
      </w:pPr>
    </w:p>
    <w:p w14:paraId="2A09DFEE" w14:textId="77777777" w:rsidR="008A6258" w:rsidRDefault="006E7E86">
      <w:pPr>
        <w:pStyle w:val="Heading2"/>
      </w:pPr>
      <w:r>
        <w:rPr>
          <w:rFonts w:ascii="Arial" w:hAnsi="Arial"/>
          <w:color w:val="1B2A4A"/>
        </w:rPr>
        <w:t>9.1  Status and Function</w:t>
      </w:r>
    </w:p>
    <w:p w14:paraId="57E06CC6" w14:textId="77777777" w:rsidR="008A6258" w:rsidRDefault="006E7E86">
      <w:pPr>
        <w:spacing w:before="60" w:after="140"/>
        <w:jc w:val="both"/>
      </w:pPr>
      <w:r>
        <w:rPr>
          <w:rFonts w:ascii="Georgia" w:hAnsi="Georgia"/>
          <w:color w:val="3D3D3D"/>
        </w:rPr>
        <w:t>The Pre-Deployment Coherence Assessment (PDCA) is the primary operational instrument of the Coherence Test. It is the mechanism through which operators translate the three questions of the Coherence Test into documented deployment decisions. The PDCA is not a compliance checklist. It is a structured reasoning process that requires the deploying operator to demonstrate, before deployment proceeds, that the deployment satisfies the Coherence Test at all three questions. Completing a PDCA is a precondition of deployment in the circumstances specified in section 9.2, not an optional governance practice.</w:t>
      </w:r>
    </w:p>
    <w:p w14:paraId="57B9D46D" w14:textId="1B57C778" w:rsidR="008A6258" w:rsidRDefault="006E7E86">
      <w:pPr>
        <w:spacing w:before="80" w:after="120"/>
        <w:jc w:val="both"/>
      </w:pPr>
      <w:r>
        <w:rPr>
          <w:rFonts w:ascii="Georgia" w:hAnsi="Georgia"/>
          <w:b/>
          <w:color w:val="1B2A4A"/>
        </w:rPr>
        <w:t xml:space="preserve">PDCA pass/fail thresholds:  </w:t>
      </w:r>
      <w:r>
        <w:rPr>
          <w:rFonts w:ascii="Georgia" w:hAnsi="Georgia"/>
          <w:color w:val="3D3D3D"/>
        </w:rPr>
        <w:t>A PDCA reaches a finding of non-compliance — and deployment is prohibited — if any of the following conditions is established: (a) any question of the Coherence Test cannot be answered affirmatively on</w:t>
      </w:r>
      <w:r w:rsidR="005031D3">
        <w:rPr>
          <w:rFonts w:ascii="Georgia" w:hAnsi="Georgia"/>
          <w:color w:val="3D3D3D"/>
        </w:rPr>
        <w:t xml:space="preserve"> documented</w:t>
      </w:r>
      <w:r>
        <w:rPr>
          <w:rFonts w:ascii="Georgia" w:hAnsi="Georgia"/>
          <w:color w:val="3D3D3D"/>
        </w:rPr>
        <w:t xml:space="preserve"> evidence available</w:t>
      </w:r>
      <w:r w:rsidR="00FC42FA">
        <w:rPr>
          <w:rFonts w:ascii="Georgia" w:hAnsi="Georgia"/>
          <w:color w:val="3D3D3D"/>
        </w:rPr>
        <w:t xml:space="preserve"> </w:t>
      </w:r>
      <w:r w:rsidR="00A7363F" w:rsidRPr="00A7363F">
        <w:rPr>
          <w:rFonts w:ascii="Georgia" w:hAnsi="Georgia"/>
          <w:color w:val="3D3D3D"/>
        </w:rPr>
        <w:t xml:space="preserve">to a reasonable standard of evidentiary </w:t>
      </w:r>
      <w:r w:rsidR="002C71DB">
        <w:rPr>
          <w:rFonts w:ascii="Georgia" w:hAnsi="Georgia"/>
          <w:color w:val="3D3D3D"/>
        </w:rPr>
        <w:t>sufficiency</w:t>
      </w:r>
      <w:r>
        <w:rPr>
          <w:rFonts w:ascii="Georgia" w:hAnsi="Georgia"/>
          <w:color w:val="3D3D3D"/>
        </w:rPr>
        <w:t xml:space="preserve"> (b) the coupling documentation cannot identify a specific human interest protected with equivalent normative force as defined in section 2.4; (c) any action the system may take or influence that could produce substantially irreversible consequences lacks documented authorisation at the level required by Part Three, Provision D1; (d) the Integrity Layer verification for any of the four properties — structural transparency, structural honesty, structural containment, or structural calibration — is incomplete or unsupported by the evidence documented; or (e) any mandatory sign-off required by section 9.4 has not been obtained. The presence of one non-compliance finding is sufficient to prohibit deployment regardless of the strength of findings in other sections. There is no partial compliance for the purposes of the deployment authorisation decision.</w:t>
      </w:r>
    </w:p>
    <w:p w14:paraId="0F17340A" w14:textId="77777777" w:rsidR="008A6258" w:rsidRDefault="006E7E86">
      <w:pPr>
        <w:spacing w:before="60" w:after="140"/>
        <w:jc w:val="both"/>
      </w:pPr>
      <w:r>
        <w:rPr>
          <w:rFonts w:ascii="Georgia" w:hAnsi="Georgia"/>
          <w:color w:val="3D3D3D"/>
        </w:rPr>
        <w:t>The PDCA documentation serves four purposes: it provides the operator with a structured basis for the deployment decision; it provides affected persons with access to the reasoning that justified the deployment; it provides regulatory bodies and courts with the primary evidentiary record for structural violation proceedings; and it provides the governance system with the audit trail necessary to assess whether the Coherence Test is being applied consistently across actors and deployments.</w:t>
      </w:r>
    </w:p>
    <w:p w14:paraId="08342054" w14:textId="77777777" w:rsidR="008A6258" w:rsidRDefault="008A6258">
      <w:pPr>
        <w:spacing w:before="160" w:after="0"/>
      </w:pPr>
    </w:p>
    <w:p w14:paraId="52C8EEF0" w14:textId="77777777" w:rsidR="008A6258" w:rsidRDefault="006E7E86">
      <w:pPr>
        <w:pStyle w:val="Heading2"/>
      </w:pPr>
      <w:r>
        <w:rPr>
          <w:rFonts w:ascii="Arial" w:hAnsi="Arial"/>
          <w:color w:val="1B2A4A"/>
        </w:rPr>
        <w:t>9.2  When PDCA is Mandatory</w:t>
      </w:r>
    </w:p>
    <w:p w14:paraId="01833E6A" w14:textId="77777777" w:rsidR="008A6258" w:rsidRDefault="006E7E86">
      <w:pPr>
        <w:spacing w:before="60" w:after="140"/>
        <w:jc w:val="both"/>
      </w:pPr>
      <w:r>
        <w:rPr>
          <w:rFonts w:ascii="Georgia" w:hAnsi="Georgia"/>
          <w:color w:val="3D3D3D"/>
        </w:rPr>
        <w:t xml:space="preserve">A PDCA is mandatory before deployment of any AI system that meets one or more of the following conditions: (a) the system's outputs may materially affect the liberty, health, employment, education, or benefit entitlements of any person; (b) the system is deployed in a regulated sector, including healthcare, financial services, criminal justice, education, and welfare administration; (c) the system is deployed by a public authority in any function that affects persons' rights or interests; </w:t>
      </w:r>
      <w:r>
        <w:rPr>
          <w:rFonts w:ascii="Georgia" w:hAnsi="Georgia"/>
          <w:color w:val="3D3D3D"/>
        </w:rPr>
        <w:lastRenderedPageBreak/>
        <w:t>(d) the system's outputs affect more than ten thousand persons; (e) the system takes or influences actions whose consequences may be substantially irreversible for any affected person.</w:t>
      </w:r>
    </w:p>
    <w:p w14:paraId="22FE1817" w14:textId="77777777" w:rsidR="008A6258" w:rsidRDefault="006E7E86">
      <w:pPr>
        <w:spacing w:before="60" w:after="140"/>
        <w:jc w:val="both"/>
      </w:pPr>
      <w:r>
        <w:rPr>
          <w:rFonts w:ascii="Georgia" w:hAnsi="Georgia"/>
          <w:color w:val="3D3D3D"/>
        </w:rPr>
        <w:t>A PDCA is also mandatory following any material change to a system's model, training data, objective function, deployment context, or operator configuration that could affect the system's compliance with the Integrity Layer or the Provision Layer. A PDCA is recommended, but not mandatory, for deployments that do not meet any of the above conditions. Where a voluntary PDCA has been completed, the PDCA documentation provides the same evidentiary protections described in section 7.1.</w:t>
      </w:r>
    </w:p>
    <w:p w14:paraId="08EEEAF3" w14:textId="77777777" w:rsidR="008A6258" w:rsidRDefault="008A6258">
      <w:pPr>
        <w:spacing w:before="160" w:after="0"/>
      </w:pPr>
    </w:p>
    <w:p w14:paraId="50B81AEB" w14:textId="77777777" w:rsidR="008A6258" w:rsidRDefault="006E7E86">
      <w:pPr>
        <w:pStyle w:val="Heading2"/>
      </w:pPr>
      <w:r>
        <w:rPr>
          <w:rFonts w:ascii="Arial" w:hAnsi="Arial"/>
          <w:color w:val="1B2A4A"/>
        </w:rPr>
        <w:t>9.3  PDCA Tiering</w:t>
      </w:r>
    </w:p>
    <w:p w14:paraId="41ED9920" w14:textId="77777777" w:rsidR="008A6258" w:rsidRDefault="006E7E86">
      <w:pPr>
        <w:spacing w:before="60" w:after="140"/>
        <w:jc w:val="both"/>
      </w:pPr>
      <w:r>
        <w:rPr>
          <w:rFonts w:ascii="Georgia" w:hAnsi="Georgia"/>
          <w:color w:val="3D3D3D"/>
        </w:rPr>
        <w:t>PDCA-Full applies to deployments meeting any of the mandatory conditions in section 9.2, and in particular to the highest-stakes categories in condition (a). PDCA-Full requires completion of all sections specified in section 9.4, with cross-functional sign-off including independent reviewer confirmation.</w:t>
      </w:r>
    </w:p>
    <w:p w14:paraId="53184A7F" w14:textId="77777777" w:rsidR="008A6258" w:rsidRDefault="006E7E86">
      <w:pPr>
        <w:spacing w:before="60" w:after="140"/>
        <w:jc w:val="both"/>
      </w:pPr>
      <w:r>
        <w:rPr>
          <w:rFonts w:ascii="Georgia" w:hAnsi="Georgia"/>
          <w:color w:val="3D3D3D"/>
        </w:rPr>
        <w:t>PDCA-Standard applies to deployments where the mandatory conditions are met at lower stakes levels, including condition (d) and condition (e) where the irreversibility risk is manageable. PDCA-Standard requires completion of Sections A, B, and C, with Technical Lead and Legal Counsel sign-off, but does not require Independent Reviewer sign-off.</w:t>
      </w:r>
    </w:p>
    <w:p w14:paraId="65EEDD39" w14:textId="77777777" w:rsidR="008A6258" w:rsidRDefault="006E7E86">
      <w:pPr>
        <w:spacing w:before="60" w:after="140"/>
        <w:jc w:val="both"/>
      </w:pPr>
      <w:r>
        <w:rPr>
          <w:rFonts w:ascii="Georgia" w:hAnsi="Georgia"/>
          <w:color w:val="3D3D3D"/>
        </w:rPr>
        <w:t>PDCA-Lite applies to voluntary PDCAs for deployments not meeting any mandatory condition, and to deployments of systems already PDCA-Full certified in a substantially similar deployment configuration where no material change has occurred. PDCA-Lite requires completion of the Integrity Layer verification and Coupling Documentation only, with Technical Lead sign-off.</w:t>
      </w:r>
    </w:p>
    <w:p w14:paraId="17A9D3EA" w14:textId="77777777" w:rsidR="008A6258" w:rsidRDefault="006E7E86">
      <w:pPr>
        <w:spacing w:before="60" w:after="140"/>
        <w:jc w:val="both"/>
      </w:pPr>
      <w:r>
        <w:rPr>
          <w:rFonts w:ascii="Georgia" w:hAnsi="Georgia"/>
          <w:color w:val="3D3D3D"/>
        </w:rPr>
        <w:t>An operator that applies PDCA-Lite or PDCA-Standard to a deployment that should have received PDCA-Full, and where the difference in tier is material to the governance outcome, has not completed the PDCA requirement and does not qualify for the evidentiary protections of section 7.1.</w:t>
      </w:r>
    </w:p>
    <w:p w14:paraId="69336350" w14:textId="77777777" w:rsidR="008A6258" w:rsidRDefault="008A6258">
      <w:pPr>
        <w:spacing w:before="160" w:after="0"/>
      </w:pPr>
    </w:p>
    <w:p w14:paraId="7375F3D0" w14:textId="77777777" w:rsidR="008A6258" w:rsidRDefault="006E7E86">
      <w:pPr>
        <w:pStyle w:val="Heading2"/>
      </w:pPr>
      <w:r>
        <w:rPr>
          <w:rFonts w:ascii="Arial" w:hAnsi="Arial"/>
          <w:color w:val="1B2A4A"/>
        </w:rPr>
        <w:t>9.4  PDCA Content Requirements</w:t>
      </w:r>
    </w:p>
    <w:p w14:paraId="0F176727" w14:textId="3718C03D" w:rsidR="008A6258" w:rsidRDefault="006E7E86">
      <w:pPr>
        <w:spacing w:before="60" w:after="140"/>
        <w:jc w:val="both"/>
      </w:pPr>
      <w:r>
        <w:rPr>
          <w:rFonts w:ascii="Georgia" w:hAnsi="Georgia"/>
          <w:color w:val="3D3D3D"/>
        </w:rPr>
        <w:t xml:space="preserve">Section A — Integrity Layer Verification. The operator must document evidence that the system satisfies each of the </w:t>
      </w:r>
      <w:r w:rsidR="0034509A">
        <w:rPr>
          <w:rFonts w:ascii="Georgia" w:hAnsi="Georgia"/>
          <w:color w:val="3D3D3D"/>
        </w:rPr>
        <w:t xml:space="preserve">four </w:t>
      </w:r>
      <w:r>
        <w:rPr>
          <w:rFonts w:ascii="Georgia" w:hAnsi="Georgia"/>
          <w:color w:val="3D3D3D"/>
        </w:rPr>
        <w:t>Integrity Layer properties. For each property, the operator must specify the evidence supporting the finding of compliance, the testing methodology used to verify compliance, and the conditions under which compliance was verified, including whether adversarial testing was conducted. For agentic systems, the operator must additionally document the scope limitation mechanisms, action logging arrangements, and interrupt mechanisms required by section 2.3.</w:t>
      </w:r>
    </w:p>
    <w:p w14:paraId="0FDD0EEC" w14:textId="77777777" w:rsidR="008A6258" w:rsidRDefault="006E7E86">
      <w:pPr>
        <w:spacing w:before="60" w:after="140"/>
        <w:jc w:val="both"/>
      </w:pPr>
      <w:r>
        <w:rPr>
          <w:rFonts w:ascii="Georgia" w:hAnsi="Georgia"/>
          <w:color w:val="3D3D3D"/>
        </w:rPr>
        <w:t xml:space="preserve">Section B — Coherence Test Documentation. The operator must document the application of the three questions of the Coherence Test to the specific deployment. Coupling documentation: state the specific human interest this deployment is designed to serve, with enough particularity to identify whether a protection of equivalent normative force exists; identify the constraint provisions of the Provision Layer that apply; identify the enablement provisions that protect the </w:t>
      </w:r>
      <w:r>
        <w:rPr>
          <w:rFonts w:ascii="Georgia" w:hAnsi="Georgia"/>
          <w:color w:val="3D3D3D"/>
        </w:rPr>
        <w:lastRenderedPageBreak/>
        <w:t>human interest identified, and confirm that each has equivalent normative force to the constraint it is paired with; document the basis for this confirmation. Consistency documentation: state the reasoning that justifies this deployment at its intended scale; apply that reasoning to the smallest comparable actor and confirm the result is defensible; apply that reasoning universally and confirm the aggregate results are acceptable; document any differential treatment and the principled justification for it. Reversibility documentation: identify all actions this system may take or influence that could produce substantially irreversible consequences; for each such action, specify the authorisation level required under the thresholds established in Part Three, Provision D1; document the authorisation obtained and the compensating protections established to reduce the risk of irreversible harm.</w:t>
      </w:r>
    </w:p>
    <w:p w14:paraId="2E923FB7" w14:textId="77777777" w:rsidR="008A6258" w:rsidRDefault="006E7E86">
      <w:pPr>
        <w:spacing w:before="60" w:after="140"/>
        <w:jc w:val="both"/>
      </w:pPr>
      <w:r>
        <w:rPr>
          <w:rFonts w:ascii="Georgia" w:hAnsi="Georgia"/>
          <w:color w:val="3D3D3D"/>
        </w:rPr>
        <w:t>Section C — Provision Layer Compliance. The operator must document compliance with each of the four Provision Sets: Provision Set A — confirming that users are informed of AI involvement, that the meaningful account mechanism is operational, and that no manipulative techniques are employed; Provision Set B — confirming that discrimination testing has been completed and results documented, and that no deployment configuration concentrates power in a manner engaging Provision B3; Provision Set C — confirming that no configuration obstructs oversight mechanisms and that no configuration engages Provision C3; Provision Set D — confirming that all substantially irreversible actions have been authorised at the required level and that the deployment preserves the capacity of future actors to revise it.</w:t>
      </w:r>
    </w:p>
    <w:p w14:paraId="3BA30A00" w14:textId="77777777" w:rsidR="008A6258" w:rsidRDefault="006E7E86">
      <w:pPr>
        <w:spacing w:before="60" w:after="140"/>
        <w:jc w:val="both"/>
      </w:pPr>
      <w:r>
        <w:rPr>
          <w:rFonts w:ascii="Georgia" w:hAnsi="Georgia"/>
          <w:color w:val="3D3D3D"/>
        </w:rPr>
        <w:t>Section D — Sign-Off. The PDCA must be signed off by: the Technical Lead (confirming Sections A and C technical accuracy); Legal Counsel (confirming Section B legal adequacy and Section C regulatory compliance); the Senior Responsible Officer (confirming overall PDCA completeness and authorising deployment); the Data Protection or Privacy Officer where applicable; and for PDCA-Full deployments, an Independent Reviewer who confirms that the coupling documentation identifies a genuine and specific human interest protected with equivalent normative force, that the consistency reasoning survives scrutiny at smaller and larger scales, and that the evidence supporting each Integrity Layer verification is adequate.</w:t>
      </w:r>
    </w:p>
    <w:p w14:paraId="78C37684" w14:textId="77777777" w:rsidR="008A6258" w:rsidRDefault="008A6258">
      <w:pPr>
        <w:spacing w:before="160" w:after="0"/>
      </w:pPr>
    </w:p>
    <w:p w14:paraId="7DA6A1F5" w14:textId="77777777" w:rsidR="008A6258" w:rsidRDefault="006E7E86">
      <w:pPr>
        <w:pStyle w:val="Heading2"/>
      </w:pPr>
      <w:r>
        <w:rPr>
          <w:rFonts w:ascii="Arial" w:hAnsi="Arial"/>
          <w:color w:val="1B2A4A"/>
        </w:rPr>
        <w:t>9.5  Ongoing Monitoring</w:t>
      </w:r>
    </w:p>
    <w:p w14:paraId="7CA02584" w14:textId="77777777" w:rsidR="008A6258" w:rsidRDefault="006E7E86">
      <w:pPr>
        <w:spacing w:before="60" w:after="140"/>
        <w:jc w:val="both"/>
      </w:pPr>
      <w:r>
        <w:rPr>
          <w:rFonts w:ascii="Georgia" w:hAnsi="Georgia"/>
          <w:color w:val="3D3D3D"/>
        </w:rPr>
        <w:t>A completed PDCA does not discharge the operator's obligations in perpetuity. The operator must maintain, throughout the operational life of any deployment for which a PDCA is required, a monitoring regime that captures at minimum: explanation adequacy (ongoing sampling to verify that the meaningful account mechanism is functioning); discrimination monitoring (minimum quarterly analysis of system outputs for demographic disparities across the protected characteristics in Provision B2, with defined remediation thresholds and escalation procedures); containment integrity (minimum monthly review for actions outside documented operational boundaries); reversibility incident tracking (documentation of all instances in which the system took or influenced actions with substantially irreversible consequences); and user complaint and contestation tracking.</w:t>
      </w:r>
    </w:p>
    <w:p w14:paraId="26CC405A" w14:textId="77777777" w:rsidR="008A6258" w:rsidRDefault="006E7E86">
      <w:pPr>
        <w:spacing w:before="60" w:after="140"/>
        <w:jc w:val="both"/>
      </w:pPr>
      <w:r>
        <w:rPr>
          <w:rFonts w:ascii="Georgia" w:hAnsi="Georgia"/>
          <w:color w:val="3D3D3D"/>
        </w:rPr>
        <w:t>The PDCA must be reviewed and resubmitted in PDCA-Full form whenever any of the conditions in section 9.2 is newly triggered, or whenever a material change occurs as described in that section. Annual review is required for all active mandatory PDCAs regardless of material change.</w:t>
      </w:r>
    </w:p>
    <w:p w14:paraId="04CD78DE" w14:textId="77777777" w:rsidR="008A6258" w:rsidRDefault="006E7E86">
      <w:r>
        <w:lastRenderedPageBreak/>
        <w:br w:type="page"/>
      </w:r>
    </w:p>
    <w:p w14:paraId="59A28AA7" w14:textId="77777777" w:rsidR="008A6258" w:rsidRDefault="006E7E86">
      <w:pPr>
        <w:pStyle w:val="Heading1"/>
      </w:pPr>
      <w:r>
        <w:rPr>
          <w:rFonts w:ascii="Arial" w:hAnsi="Arial"/>
          <w:color w:val="1B2A4A"/>
          <w:sz w:val="36"/>
        </w:rPr>
        <w:lastRenderedPageBreak/>
        <w:t>CLOSING STATEMENT</w:t>
      </w:r>
    </w:p>
    <w:p w14:paraId="4BAE16BD" w14:textId="77777777" w:rsidR="008A6258" w:rsidRDefault="008A6258">
      <w:pPr>
        <w:pBdr>
          <w:bottom w:val="single" w:sz="8" w:space="1" w:color="B8963E"/>
        </w:pBdr>
        <w:spacing w:before="80" w:after="80"/>
      </w:pPr>
    </w:p>
    <w:p w14:paraId="70AB23FA" w14:textId="77777777" w:rsidR="008A6258" w:rsidRDefault="008A6258">
      <w:pPr>
        <w:spacing w:before="120" w:after="0"/>
      </w:pPr>
    </w:p>
    <w:tbl>
      <w:tblPr>
        <w:tblStyle w:val="TableGrid"/>
        <w:tblW w:w="0" w:type="auto"/>
        <w:tblLook w:val="04A0" w:firstRow="1" w:lastRow="0" w:firstColumn="1" w:lastColumn="0" w:noHBand="0" w:noVBand="1"/>
      </w:tblPr>
      <w:tblGrid>
        <w:gridCol w:w="9648"/>
      </w:tblGrid>
      <w:tr w:rsidR="008A6258" w14:paraId="662B6EF6" w14:textId="77777777">
        <w:tc>
          <w:tcPr>
            <w:tcW w:w="9648" w:type="dxa"/>
            <w:tcBorders>
              <w:top w:val="single" w:sz="4" w:space="0" w:color="CCCCCC"/>
              <w:left w:val="single" w:sz="18" w:space="0" w:color="B8963E"/>
              <w:bottom w:val="single" w:sz="4" w:space="0" w:color="CCCCCC"/>
              <w:right w:val="single" w:sz="4" w:space="0" w:color="CCCCCC"/>
            </w:tcBorders>
            <w:shd w:val="clear" w:color="auto" w:fill="F8F4EE"/>
          </w:tcPr>
          <w:p w14:paraId="70902D6C" w14:textId="77777777" w:rsidR="008A6258" w:rsidRDefault="006E7E86">
            <w:pPr>
              <w:spacing w:before="120" w:after="120"/>
              <w:jc w:val="both"/>
            </w:pPr>
            <w:r>
              <w:rPr>
                <w:rFonts w:ascii="Georgia" w:hAnsi="Georgia"/>
                <w:color w:val="3D3D3D"/>
                <w:sz w:val="20"/>
              </w:rPr>
              <w:t>This framework is positioned as a constitutional scaffold for AI governance, not as a substitute for the legislative, regulatory, and technical instruments through which governance is operationalised. Its most credible contribution is architectural: the coupling of constraints with enablements, the application of consistent reasoning across scales, and the preservation of future choice.</w:t>
            </w:r>
          </w:p>
        </w:tc>
      </w:tr>
    </w:tbl>
    <w:p w14:paraId="2B4CAE68" w14:textId="77777777" w:rsidR="008A6258" w:rsidRDefault="008A6258">
      <w:pPr>
        <w:spacing w:before="160" w:after="0"/>
      </w:pPr>
    </w:p>
    <w:p w14:paraId="37CB99DB" w14:textId="77777777" w:rsidR="008A6258" w:rsidRDefault="006E7E86">
      <w:pPr>
        <w:spacing w:before="60" w:after="140"/>
        <w:jc w:val="both"/>
      </w:pPr>
      <w:r>
        <w:rPr>
          <w:rFonts w:ascii="Georgia" w:hAnsi="Georgia"/>
          <w:color w:val="3D3D3D"/>
        </w:rPr>
        <w:t>The practical value of that positioning is most clearly seen in three contexts. For those drafting AI governance instruments, the Coherence Test provides a discipline that enumerative drafting does not: it compels identification of the specific human interest being protected by every restriction, and it compels consistency of reasoning across the actors subject to the instrument. For those adjudicating AI governance disputes, the Coupling Principle provides a basis for evaluating whether enforcement of a restriction that neglects its paired enablement is consistent with the governance framework under which the restriction was adopted. For those facing novel AI capabilities for which no specific rule exists, the Coherence Test provides a principled basis for governance decisions that does not require waiting for enumerated rules to catch up with technological change.</w:t>
      </w:r>
    </w:p>
    <w:p w14:paraId="18DA4ABE" w14:textId="77777777" w:rsidR="008A6258" w:rsidRDefault="006E7E86">
      <w:pPr>
        <w:spacing w:before="60" w:after="140"/>
        <w:jc w:val="both"/>
      </w:pPr>
      <w:r>
        <w:rPr>
          <w:rFonts w:ascii="Georgia" w:hAnsi="Georgia"/>
          <w:color w:val="3D3D3D"/>
        </w:rPr>
        <w:t>Version 1.2 adds operational substance to that architectural contribution. The procedural triggers, decision thresholds, and institutional entry points in Parts Two through Nine translate the constitutional principles into actionable obligations with identifiable actors and defined consequences. The PDCA in Part Nine provides the instrument through which those principles are applied to specific deployment decisions. The result is a framework that operates at constitutional level — setting the structural standard for coherent AI governance — while providing sufficient operational specificity to be applied, tested, and where necessary, enforced.</w:t>
      </w:r>
    </w:p>
    <w:p w14:paraId="097208E2" w14:textId="77777777" w:rsidR="008A6258" w:rsidRDefault="006E7E86">
      <w:pPr>
        <w:spacing w:before="60" w:after="140"/>
        <w:jc w:val="both"/>
      </w:pPr>
      <w:r>
        <w:rPr>
          <w:rFonts w:ascii="Georgia" w:hAnsi="Georgia"/>
          <w:color w:val="3D3D3D"/>
        </w:rPr>
        <w:t>This framework does not claim to resolve every AI governance question, to specify every rule, or to produce governance outcomes uniformly superior to those produced by existing instruments considered independently. The framework's contribution is architectural and operational: a coupled, consistent, and revisable constitutional scaffold with an operational compliance layer that enables ex-ante evaluation of AI systems through a unified test of coupling, consistency, and reversibility.</w:t>
      </w:r>
    </w:p>
    <w:p w14:paraId="76CB7FDE" w14:textId="77777777" w:rsidR="008A6258" w:rsidRDefault="006E7E86">
      <w:pPr>
        <w:spacing w:before="60" w:after="140"/>
        <w:jc w:val="both"/>
      </w:pPr>
      <w:r>
        <w:rPr>
          <w:rFonts w:ascii="Georgia" w:hAnsi="Georgia"/>
          <w:color w:val="3D3D3D"/>
        </w:rPr>
        <w:t>The most useful way to position this framework in relation to existing instruments is this: not as a replacement for the EU AI Act, the NIST AI Risk Management Framework, the OECD AI Principles, or the internal governance documents of AI developers, but as a constitutional review standard against which those instruments can be assessed for coherence, consistency, and revisability — and against which the gaps between them can be identified and addressed.</w:t>
      </w:r>
    </w:p>
    <w:p w14:paraId="59288C99" w14:textId="2408D6FE" w:rsidR="008A6258" w:rsidRDefault="006E7E86" w:rsidP="00B2676E">
      <w:pPr>
        <w:spacing w:before="60" w:after="140"/>
        <w:jc w:val="both"/>
      </w:pPr>
      <w:r>
        <w:rPr>
          <w:rFonts w:ascii="Georgia" w:hAnsi="Georgia"/>
          <w:color w:val="3D3D3D"/>
        </w:rPr>
        <w:t xml:space="preserve">This framework makes a falsifiable structural claim: governance instruments that are evaluated against the Coherence Test, revised to satisfy it, and applied consistently will identify structural incoherence earlier than instruments that are not — </w:t>
      </w:r>
      <w:r w:rsidR="0004760D">
        <w:rPr>
          <w:rFonts w:ascii="Georgia" w:hAnsi="Georgia"/>
          <w:color w:val="3D3D3D"/>
        </w:rPr>
        <w:t xml:space="preserve">and are expected to </w:t>
      </w:r>
      <w:r>
        <w:rPr>
          <w:rFonts w:ascii="Georgia" w:hAnsi="Georgia"/>
          <w:color w:val="3D3D3D"/>
        </w:rPr>
        <w:t xml:space="preserve">produce governance outcomes that are more stable, more equitable, and </w:t>
      </w:r>
      <w:r w:rsidR="007947E8">
        <w:rPr>
          <w:rFonts w:ascii="Georgia" w:hAnsi="Georgia"/>
          <w:color w:val="3D3D3D"/>
        </w:rPr>
        <w:t>more stable, more consistent, and more resistant to structural capture</w:t>
      </w:r>
      <w:r w:rsidR="00294234">
        <w:rPr>
          <w:rFonts w:ascii="Georgia" w:hAnsi="Georgia"/>
          <w:color w:val="3D3D3D"/>
        </w:rPr>
        <w:t xml:space="preserve"> </w:t>
      </w:r>
      <w:r>
        <w:rPr>
          <w:rFonts w:ascii="Georgia" w:hAnsi="Georgia"/>
          <w:color w:val="3D3D3D"/>
        </w:rPr>
        <w:t xml:space="preserve">over time. That claim is testable against outcome data as the </w:t>
      </w:r>
      <w:r>
        <w:rPr>
          <w:rFonts w:ascii="Georgia" w:hAnsi="Georgia"/>
          <w:color w:val="3D3D3D"/>
        </w:rPr>
        <w:lastRenderedPageBreak/>
        <w:t>framework is applied. If the evidence supports it, the architectural contribution of this framework will have been demonstrated in practice. If it does not, the framework should be revised or discarded. A framework that cannot be tested is not governance — it is assertion. That is the basis on which this framework invites evaluation.</w:t>
      </w:r>
    </w:p>
    <w:p w14:paraId="03A6A765" w14:textId="77777777" w:rsidR="008A6258" w:rsidRDefault="006E7E86">
      <w:pPr>
        <w:spacing w:before="200"/>
        <w:jc w:val="center"/>
      </w:pPr>
      <w:r>
        <w:rPr>
          <w:color w:val="1B2A4A"/>
        </w:rPr>
        <w:t>LAW-ALIGNED INTELLIGENCE FRAMEWORK  |  Version 1.2  |  April 2026</w:t>
      </w:r>
    </w:p>
    <w:p w14:paraId="2B70910E" w14:textId="77777777" w:rsidR="008A6258" w:rsidRDefault="006E7E86">
      <w:pPr>
        <w:jc w:val="center"/>
      </w:pPr>
      <w:r>
        <w:rPr>
          <w:rFonts w:ascii="Georgia" w:hAnsi="Georgia"/>
          <w:i/>
          <w:color w:val="888888"/>
          <w:sz w:val="20"/>
        </w:rPr>
        <w:t>A Constitutional Scaffold for AI Governance</w:t>
      </w:r>
    </w:p>
    <w:p w14:paraId="187984E1" w14:textId="77777777" w:rsidR="008A6258" w:rsidRDefault="006E7E86">
      <w:r>
        <w:br w:type="page"/>
      </w:r>
    </w:p>
    <w:p w14:paraId="08EB6776" w14:textId="77777777" w:rsidR="008A6258" w:rsidRDefault="006E7E86">
      <w:pPr>
        <w:pStyle w:val="Heading1"/>
      </w:pPr>
      <w:r>
        <w:rPr>
          <w:rFonts w:ascii="Arial" w:hAnsi="Arial"/>
          <w:color w:val="1B2A4A"/>
          <w:sz w:val="36"/>
        </w:rPr>
        <w:lastRenderedPageBreak/>
        <w:t>SCHEDULE A — TEMPORAL PROVISIONS</w:t>
      </w:r>
    </w:p>
    <w:p w14:paraId="49ECC46D" w14:textId="77777777" w:rsidR="008A6258" w:rsidRDefault="008A6258">
      <w:pPr>
        <w:pBdr>
          <w:bottom w:val="single" w:sz="8" w:space="1" w:color="B8963E"/>
        </w:pBdr>
        <w:spacing w:before="80" w:after="80"/>
      </w:pPr>
    </w:p>
    <w:p w14:paraId="1B386A08" w14:textId="77777777" w:rsidR="008A6258" w:rsidRDefault="008A6258">
      <w:pPr>
        <w:spacing w:before="80" w:after="0"/>
      </w:pPr>
    </w:p>
    <w:p w14:paraId="5E4885FA" w14:textId="77777777" w:rsidR="008A6258" w:rsidRDefault="006E7E86">
      <w:pPr>
        <w:spacing w:before="60" w:after="140"/>
        <w:jc w:val="both"/>
      </w:pPr>
      <w:r>
        <w:rPr>
          <w:rFonts w:ascii="Georgia" w:hAnsi="Georgia"/>
          <w:i/>
          <w:color w:val="3D3D3D"/>
          <w:sz w:val="20"/>
        </w:rPr>
        <w:t>Subject to revision without amendment to the principal text. The provisions below address the specific conditions of the current period of AI development. They are separated from the principal text because they require periodic revision as those conditions change. Where they conflict with the principal text, the principal text governs.</w:t>
      </w:r>
    </w:p>
    <w:p w14:paraId="1F48B631" w14:textId="77777777" w:rsidR="008A6258" w:rsidRDefault="008A6258">
      <w:pPr>
        <w:spacing w:before="120" w:after="0"/>
      </w:pPr>
    </w:p>
    <w:p w14:paraId="43823EA2" w14:textId="77777777" w:rsidR="008A6258" w:rsidRDefault="006E7E86">
      <w:pPr>
        <w:spacing w:before="60" w:after="140"/>
        <w:jc w:val="both"/>
      </w:pPr>
      <w:r>
        <w:rPr>
          <w:rFonts w:ascii="Georgia" w:hAnsi="Georgia"/>
          <w:b/>
          <w:color w:val="1B2A4A"/>
        </w:rPr>
        <w:t xml:space="preserve">A.1  Current Oversight Standard.  </w:t>
      </w:r>
      <w:r>
        <w:rPr>
          <w:rFonts w:ascii="Georgia" w:hAnsi="Georgia"/>
          <w:color w:val="3D3D3D"/>
        </w:rPr>
        <w:t>During the period in which AI systems do not possess capabilities sufficient to substantially exceed human judgment across all domains relevant to the assessment of their own governance, human oversight of AI systems remains both necessary and practically achievable. The Integrity Layer requirements and the enforcement provisions of Part Seven apply with full force during this period. No operator or regulatory body may invoke the complexity of AI systems as a basis for declining to maintain oversight mechanisms of adequate effectiveness.</w:t>
      </w:r>
    </w:p>
    <w:p w14:paraId="76A9959B" w14:textId="77777777" w:rsidR="008A6258" w:rsidRDefault="008A6258">
      <w:pPr>
        <w:spacing w:before="80" w:after="0"/>
      </w:pPr>
    </w:p>
    <w:p w14:paraId="62DD4375" w14:textId="77777777" w:rsidR="008A6258" w:rsidRDefault="006E7E86">
      <w:pPr>
        <w:spacing w:before="60" w:after="140"/>
        <w:jc w:val="both"/>
      </w:pPr>
      <w:r>
        <w:rPr>
          <w:rFonts w:ascii="Georgia" w:hAnsi="Georgia"/>
          <w:b/>
          <w:color w:val="1B2A4A"/>
        </w:rPr>
        <w:t xml:space="preserve">A.2  Capability Threshold Review.  </w:t>
      </w:r>
      <w:r>
        <w:rPr>
          <w:rFonts w:ascii="Georgia" w:hAnsi="Georgia"/>
          <w:color w:val="3D3D3D"/>
        </w:rPr>
        <w:t>When any AI system in active deployment achieves performance that substantially exceeds human judgment across domains material to the assessment of its own governance, the Integrity Layer requirements of Part Two must be reviewed within twelve months. The review must assess whether the existing criteria for structural transparency, structural honesty, and structural containment remain adequate to the governance relationship as constituted at that point, or whether revision under Part Eight is required. The determination that a capability threshold has been reached is itself subject to the Coherence Test.</w:t>
      </w:r>
    </w:p>
    <w:p w14:paraId="5D71CBC6" w14:textId="77777777" w:rsidR="008A6258" w:rsidRDefault="008A6258">
      <w:pPr>
        <w:spacing w:before="80" w:after="0"/>
      </w:pPr>
    </w:p>
    <w:p w14:paraId="71A356D3" w14:textId="77777777" w:rsidR="008A6258" w:rsidRDefault="006E7E86">
      <w:pPr>
        <w:spacing w:before="60" w:after="140"/>
        <w:jc w:val="both"/>
      </w:pPr>
      <w:r>
        <w:rPr>
          <w:rFonts w:ascii="Georgia" w:hAnsi="Georgia"/>
          <w:b/>
          <w:color w:val="1B2A4A"/>
        </w:rPr>
        <w:t xml:space="preserve">A.3  Cross-Jurisdictional Application.  </w:t>
      </w:r>
      <w:r>
        <w:rPr>
          <w:rFonts w:ascii="Georgia" w:hAnsi="Georgia"/>
          <w:color w:val="3D3D3D"/>
        </w:rPr>
        <w:t>Where this framework has been adopted by multiple jurisdictions inconsistently, the provisions affording the strongest protection to persons affected by AI systems take precedence in any cross-jurisdictional transaction or dispute, unless the jurisdictions in question have entered into an explicit agreement establishing a different standard, and that agreement itself passes the Coherence Test.</w:t>
      </w:r>
    </w:p>
    <w:p w14:paraId="2246CC13" w14:textId="77777777" w:rsidR="008A6258" w:rsidRDefault="008A6258">
      <w:pPr>
        <w:spacing w:before="80" w:after="0"/>
      </w:pPr>
    </w:p>
    <w:p w14:paraId="110FAC47" w14:textId="77777777" w:rsidR="008A6258" w:rsidRDefault="006E7E86">
      <w:pPr>
        <w:spacing w:before="60" w:after="140"/>
        <w:jc w:val="both"/>
      </w:pPr>
      <w:r>
        <w:rPr>
          <w:rFonts w:ascii="Georgia" w:hAnsi="Georgia"/>
          <w:b/>
          <w:color w:val="1B2A4A"/>
        </w:rPr>
        <w:t xml:space="preserve">A.4  Operationalisation.  </w:t>
      </w:r>
      <w:r>
        <w:rPr>
          <w:rFonts w:ascii="Georgia" w:hAnsi="Georgia"/>
          <w:color w:val="3D3D3D"/>
        </w:rPr>
        <w:t>The principal text of this framework operates at constitutional level. Its application in specific regulatory, commercial, and judicial contexts requires operationalisation instruments — definitions, thresholds, procedural rules, evidentiary standards, audit protocols, and institutional competences — appropriate to those contexts and to the legal traditions of the jurisdictions adopting them. Such instruments are subordinate to the principal text. Where they conflict with the principal text, the principal text governs. Where they are silent on a matter to which the framework applies, the Coherence Test applies directly. Operationalisation may include certification pathways, procurement requirements, or liability frameworks that recognise and incentivise good-faith application of the Coherence Test and associated assessment processes.</w:t>
      </w:r>
    </w:p>
    <w:p w14:paraId="2150DC30" w14:textId="77777777" w:rsidR="008A6258" w:rsidRDefault="008A6258">
      <w:pPr>
        <w:spacing w:before="80" w:after="0"/>
      </w:pPr>
    </w:p>
    <w:p w14:paraId="361BE059" w14:textId="77777777" w:rsidR="008A6258" w:rsidRDefault="006E7E86">
      <w:pPr>
        <w:spacing w:before="60" w:after="140"/>
        <w:jc w:val="both"/>
      </w:pPr>
      <w:r>
        <w:rPr>
          <w:rFonts w:ascii="Georgia" w:hAnsi="Georgia"/>
          <w:b/>
          <w:color w:val="1B2A4A"/>
        </w:rPr>
        <w:lastRenderedPageBreak/>
        <w:t xml:space="preserve">A.5  Periodic Review.  </w:t>
      </w:r>
      <w:r>
        <w:rPr>
          <w:rFonts w:ascii="Georgia" w:hAnsi="Georgia"/>
          <w:color w:val="3D3D3D"/>
        </w:rPr>
        <w:t>This framework shall be reviewed for continued structural adequacy at intervals of not more than five years from the date of its adoption. Each review shall assess whether the Coherence Test continues to generate defensible governance outputs across the range of AI capabilities in active deployment, whether the Provision Layer's coupling architecture remains intact in enforcement practice, whether the PDCA requirements of Part Nine remain adequate to the deployment conditions in force, and whether the bilateral obligations of Part Four remain structurally adequate to the relationships they govern. Review findings shall be published. Findings of structural inadequacy shall trigger the amendment process of Part Eight within twelve months of the review's conclusion.</w:t>
      </w:r>
    </w:p>
    <w:p w14:paraId="667A9809" w14:textId="77777777" w:rsidR="008A6258" w:rsidRDefault="008A6258">
      <w:pPr>
        <w:spacing w:before="80" w:after="0"/>
      </w:pPr>
    </w:p>
    <w:p w14:paraId="08278C15" w14:textId="77777777" w:rsidR="008A6258" w:rsidRDefault="006E7E86">
      <w:r>
        <w:br w:type="page"/>
      </w:r>
    </w:p>
    <w:p w14:paraId="7035A9F0" w14:textId="77777777" w:rsidR="008A6258" w:rsidRDefault="006E7E86">
      <w:pPr>
        <w:pStyle w:val="Heading1"/>
      </w:pPr>
      <w:r>
        <w:rPr>
          <w:rFonts w:ascii="Arial" w:hAnsi="Arial"/>
          <w:color w:val="1B2A4A"/>
          <w:sz w:val="36"/>
        </w:rPr>
        <w:lastRenderedPageBreak/>
        <w:t>SCHEDULE B — REGULATORY INTEGRATION MODELS</w:t>
      </w:r>
    </w:p>
    <w:p w14:paraId="55C551C0" w14:textId="77777777" w:rsidR="008A6258" w:rsidRDefault="008A6258">
      <w:pPr>
        <w:pBdr>
          <w:bottom w:val="single" w:sz="8" w:space="1" w:color="B8963E"/>
        </w:pBdr>
        <w:spacing w:before="80" w:after="80"/>
      </w:pPr>
    </w:p>
    <w:p w14:paraId="0DDE0C71" w14:textId="77777777" w:rsidR="008A6258" w:rsidRDefault="008A6258">
      <w:pPr>
        <w:spacing w:before="80" w:after="0"/>
      </w:pPr>
    </w:p>
    <w:p w14:paraId="1A900ECA" w14:textId="77777777" w:rsidR="008A6258" w:rsidRDefault="006E7E86">
      <w:pPr>
        <w:spacing w:before="60" w:after="140"/>
        <w:jc w:val="both"/>
      </w:pPr>
      <w:r>
        <w:rPr>
          <w:rFonts w:ascii="Georgia" w:hAnsi="Georgia"/>
          <w:i/>
          <w:color w:val="3D3D3D"/>
          <w:sz w:val="20"/>
        </w:rPr>
        <w:t>Subject to revision without amendment to the principal text.</w:t>
      </w:r>
    </w:p>
    <w:p w14:paraId="239416A7" w14:textId="77777777" w:rsidR="008A6258" w:rsidRDefault="008A6258">
      <w:pPr>
        <w:spacing w:before="120" w:after="0"/>
      </w:pPr>
    </w:p>
    <w:p w14:paraId="0335D226" w14:textId="77777777" w:rsidR="008A6258" w:rsidRDefault="008A6258">
      <w:pPr>
        <w:spacing w:before="160" w:after="0"/>
      </w:pPr>
    </w:p>
    <w:p w14:paraId="42CBA83D" w14:textId="77777777" w:rsidR="008A6258" w:rsidRDefault="006E7E86">
      <w:pPr>
        <w:pStyle w:val="Heading2"/>
      </w:pPr>
      <w:r>
        <w:rPr>
          <w:rFonts w:ascii="Arial" w:hAnsi="Arial"/>
          <w:color w:val="1B2A4A"/>
        </w:rPr>
        <w:t>B.1  EU AI Act (Regulation 2024/1689)</w:t>
      </w:r>
    </w:p>
    <w:p w14:paraId="1A01FAFD" w14:textId="77777777" w:rsidR="008A6258" w:rsidRDefault="006E7E86">
      <w:pPr>
        <w:spacing w:before="60" w:after="140"/>
        <w:jc w:val="both"/>
      </w:pPr>
      <w:r>
        <w:rPr>
          <w:rFonts w:ascii="Georgia" w:hAnsi="Georgia"/>
          <w:color w:val="3D3D3D"/>
        </w:rPr>
        <w:t>The Coherence Test functions as a structural bridge between the EU AI Act's technical conformity requirements and its normative objectives. Article 43 conformity assessment establishes whether a high-risk AI system meets technical standards; the Coherence Test establishes whether the deployment is structurally coupled to protections of equivalent normative force for the persons affected. These assessments are complementary, not competing.</w:t>
      </w:r>
    </w:p>
    <w:p w14:paraId="590689AF" w14:textId="77777777" w:rsidR="008A6258" w:rsidRDefault="006E7E86">
      <w:pPr>
        <w:spacing w:before="60" w:after="140"/>
        <w:jc w:val="both"/>
      </w:pPr>
      <w:r>
        <w:rPr>
          <w:rFonts w:ascii="Georgia" w:hAnsi="Georgia"/>
          <w:color w:val="3D3D3D"/>
        </w:rPr>
        <w:t>Article 5's prohibited practices are consistent with the Coherence Test: each fails the coupling question, the consistency question, or both. The EU AI Act exhibits a structural coupling imbalance in Annex III high-risk systems: the obligation provisions imposing requirements on providers and deployers are more developed and more specifically enforced than the enabling provisions protecting affected persons' rights to explanation, contestation, and human oversight. The Coherence Test makes this imbalance visible and provides a structural basis for addressing it within the existing conformity assessment process.</w:t>
      </w:r>
    </w:p>
    <w:p w14:paraId="6ADCED3E" w14:textId="77777777" w:rsidR="008A6258" w:rsidRDefault="006E7E86">
      <w:pPr>
        <w:spacing w:before="60" w:after="140"/>
        <w:jc w:val="both"/>
      </w:pPr>
      <w:r>
        <w:rPr>
          <w:rFonts w:ascii="Georgia" w:hAnsi="Georgia"/>
          <w:color w:val="3D3D3D"/>
        </w:rPr>
        <w:t>The PDCA required by Part Nine will ordinarily satisfy the documentation requirements of Articles 9 (Risk Management System), 10 (Data and Data Governance), 13 (Transparency), and 17 (Quality Management System) for Annex III high-risk AI systems, and may exceed those requirements in the scope of its coupling and reversibility analysis.</w:t>
      </w:r>
    </w:p>
    <w:p w14:paraId="3886483A" w14:textId="77777777" w:rsidR="008A6258" w:rsidRDefault="008A6258">
      <w:pPr>
        <w:spacing w:before="160" w:after="0"/>
      </w:pPr>
    </w:p>
    <w:p w14:paraId="128DB7B5" w14:textId="77777777" w:rsidR="008A6258" w:rsidRDefault="006E7E86">
      <w:pPr>
        <w:pStyle w:val="Heading2"/>
      </w:pPr>
      <w:r>
        <w:rPr>
          <w:rFonts w:ascii="Arial" w:hAnsi="Arial"/>
          <w:color w:val="1B2A4A"/>
        </w:rPr>
        <w:t>B.2  NIST AI Risk Management Framework (AI RMF 1.0)</w:t>
      </w:r>
    </w:p>
    <w:p w14:paraId="61CD5E0A" w14:textId="77777777" w:rsidR="008A6258" w:rsidRDefault="006E7E86">
      <w:pPr>
        <w:spacing w:before="60" w:after="140"/>
        <w:jc w:val="both"/>
      </w:pPr>
      <w:r>
        <w:rPr>
          <w:rFonts w:ascii="Georgia" w:hAnsi="Georgia"/>
          <w:color w:val="3D3D3D"/>
        </w:rPr>
        <w:t>The NIST AI RMF organises AI risk management across four functions: Govern, Map, Measure, and Manage. LAIF integrates with each function as a coherence validation layer. The Govern function is addressed by the LAIF Obligation Layer and the PDCA cross-functional sign-off requirements. The Map function is addressed and extended by the PDCA coupling documentation, which requires that for every risk identified, the corresponding protection of equivalent normative force is also identified and confirmed. The Measure function is addressed by the PDCA Integrity Layer verification. The Manage function is addressed by the monitoring protocol requirements of Part Nine, section 9.5, and the enforcement framework of Part Seven.</w:t>
      </w:r>
    </w:p>
    <w:p w14:paraId="1E9D83D2" w14:textId="77777777" w:rsidR="008A6258" w:rsidRDefault="006E7E86">
      <w:pPr>
        <w:spacing w:before="60" w:after="140"/>
        <w:jc w:val="both"/>
      </w:pPr>
      <w:r>
        <w:rPr>
          <w:rFonts w:ascii="Georgia" w:hAnsi="Georgia"/>
          <w:color w:val="3D3D3D"/>
        </w:rPr>
        <w:t>The Coherence Test provides structural validation beyond risk scoring: it determines not only that risks have been identified and assessed, but that the governance logic applying to those risks is structurally coupled, scale-consistent, and reversibility-preserving.</w:t>
      </w:r>
    </w:p>
    <w:p w14:paraId="1BD6CF21" w14:textId="77777777" w:rsidR="008A6258" w:rsidRDefault="008A6258">
      <w:pPr>
        <w:spacing w:before="160" w:after="0"/>
      </w:pPr>
    </w:p>
    <w:p w14:paraId="1AD4F58A" w14:textId="77777777" w:rsidR="008A6258" w:rsidRDefault="006E7E86">
      <w:pPr>
        <w:pStyle w:val="Heading2"/>
      </w:pPr>
      <w:r>
        <w:rPr>
          <w:rFonts w:ascii="Arial" w:hAnsi="Arial"/>
          <w:color w:val="1B2A4A"/>
        </w:rPr>
        <w:lastRenderedPageBreak/>
        <w:t>B.3  US Federal Requirements</w:t>
      </w:r>
    </w:p>
    <w:p w14:paraId="76DC6CB9" w14:textId="77777777" w:rsidR="008A6258" w:rsidRDefault="006E7E86">
      <w:pPr>
        <w:spacing w:before="60" w:after="140"/>
        <w:jc w:val="both"/>
      </w:pPr>
      <w:r>
        <w:rPr>
          <w:rFonts w:ascii="Georgia" w:hAnsi="Georgia"/>
          <w:color w:val="3D3D3D"/>
        </w:rPr>
        <w:t>OMB Memorandum M-24-10 requires federal agencies to conduct impact assessments for AI systems affecting the rights or safety of individuals. The PDCA required by Part Nine addresses and extends these impact assessment requirements. OMB M-24-18 establishes requirements for federal AI procurement including vendor accountability, risk management documentation, and minimum contractual terms. The PDCA is designed to function as the primary documentation instrument for satisfying M-24-18 procurement requirements. Procurement conditioning on PDCA completion is addressed in Schedule C.</w:t>
      </w:r>
    </w:p>
    <w:p w14:paraId="0143DAE4" w14:textId="77777777" w:rsidR="008A6258" w:rsidRDefault="008A6258">
      <w:pPr>
        <w:spacing w:before="160" w:after="0"/>
      </w:pPr>
    </w:p>
    <w:p w14:paraId="2330FCAD" w14:textId="77777777" w:rsidR="008A6258" w:rsidRDefault="006E7E86">
      <w:pPr>
        <w:pStyle w:val="Heading2"/>
      </w:pPr>
      <w:r>
        <w:rPr>
          <w:rFonts w:ascii="Arial" w:hAnsi="Arial"/>
          <w:color w:val="1B2A4A"/>
        </w:rPr>
        <w:t>B.4  Sector-Specific Frameworks</w:t>
      </w:r>
    </w:p>
    <w:p w14:paraId="295A33E5" w14:textId="77777777" w:rsidR="008A6258" w:rsidRDefault="006E7E86">
      <w:pPr>
        <w:spacing w:before="60" w:after="140"/>
        <w:jc w:val="both"/>
      </w:pPr>
      <w:r>
        <w:rPr>
          <w:rFonts w:ascii="Georgia" w:hAnsi="Georgia"/>
          <w:color w:val="3D3D3D"/>
        </w:rPr>
        <w:t>LAIF functions as an overlay standard applicable across domains — healthcare, financial services, criminal justice, education, employment, and others — that have developed sector-specific AI governance frameworks. In each domain, the three questions of the Coherence Test provide a structural consistency check ensuring that sector-specific rules satisfy the foundational requirements of coupling, consistency, and reversibility. Where sector-specific frameworks satisfy the Coherence Test, LAIF creates no additional requirement. Where they do not, the Coherence Test identifies the specific structural gap that requires remediation through the sector-specific regulatory process or through the amendment process of Part Eight.</w:t>
      </w:r>
    </w:p>
    <w:p w14:paraId="04859C45" w14:textId="77777777" w:rsidR="008A6258" w:rsidRDefault="006E7E86">
      <w:r>
        <w:br w:type="page"/>
      </w:r>
    </w:p>
    <w:p w14:paraId="14C8A426" w14:textId="77777777" w:rsidR="008A6258" w:rsidRDefault="006E7E86">
      <w:pPr>
        <w:pStyle w:val="Heading1"/>
      </w:pPr>
      <w:r>
        <w:rPr>
          <w:rFonts w:ascii="Arial" w:hAnsi="Arial"/>
          <w:color w:val="1B2A4A"/>
          <w:sz w:val="36"/>
        </w:rPr>
        <w:lastRenderedPageBreak/>
        <w:t>SCHEDULE C — ADOPTION INCENTIVES AND SAFE HARBOUR</w:t>
      </w:r>
    </w:p>
    <w:p w14:paraId="704E13EA" w14:textId="77777777" w:rsidR="008A6258" w:rsidRDefault="008A6258">
      <w:pPr>
        <w:pBdr>
          <w:bottom w:val="single" w:sz="8" w:space="1" w:color="B8963E"/>
        </w:pBdr>
        <w:spacing w:before="80" w:after="80"/>
      </w:pPr>
    </w:p>
    <w:p w14:paraId="7E5EF2D9" w14:textId="77777777" w:rsidR="008A6258" w:rsidRDefault="008A6258">
      <w:pPr>
        <w:spacing w:before="80" w:after="0"/>
      </w:pPr>
    </w:p>
    <w:p w14:paraId="1B977A93" w14:textId="77777777" w:rsidR="008A6258" w:rsidRDefault="006E7E86">
      <w:pPr>
        <w:spacing w:before="60" w:after="140"/>
        <w:jc w:val="both"/>
      </w:pPr>
      <w:r>
        <w:rPr>
          <w:rFonts w:ascii="Georgia" w:hAnsi="Georgia"/>
          <w:i/>
          <w:color w:val="3D3D3D"/>
          <w:sz w:val="20"/>
        </w:rPr>
        <w:t>Subject to revision without amendment to the principal text.</w:t>
      </w:r>
    </w:p>
    <w:p w14:paraId="1D462A1A" w14:textId="77777777" w:rsidR="008A6258" w:rsidRDefault="008A6258">
      <w:pPr>
        <w:spacing w:before="120" w:after="0"/>
      </w:pPr>
    </w:p>
    <w:p w14:paraId="27C9F2FA" w14:textId="77777777" w:rsidR="008A6258" w:rsidRDefault="008A6258">
      <w:pPr>
        <w:spacing w:before="160" w:after="0"/>
      </w:pPr>
    </w:p>
    <w:p w14:paraId="097B17E5" w14:textId="77777777" w:rsidR="008A6258" w:rsidRDefault="006E7E86">
      <w:pPr>
        <w:pStyle w:val="Heading2"/>
      </w:pPr>
      <w:r>
        <w:rPr>
          <w:rFonts w:ascii="Arial" w:hAnsi="Arial"/>
          <w:color w:val="1B2A4A"/>
        </w:rPr>
        <w:t>C.1  Liability Safe Harbour</w:t>
      </w:r>
    </w:p>
    <w:p w14:paraId="52507313" w14:textId="77777777" w:rsidR="008A6258" w:rsidRDefault="006E7E86">
      <w:pPr>
        <w:spacing w:before="60" w:after="140"/>
        <w:jc w:val="both"/>
      </w:pPr>
      <w:r>
        <w:rPr>
          <w:rFonts w:ascii="Georgia" w:hAnsi="Georgia"/>
          <w:color w:val="3D3D3D"/>
        </w:rPr>
        <w:t>An operator that has completed a PDCA in the applicable tier for an AI system prior to deployment, has maintained the monitoring regime required by Part Nine, section 9.5, and has updated the PDCA following material changes as required, has exercised structural due diligence for LAIF purposes. This structural due diligence constitutes a substantive defence in proceedings alleging that the operator's AI deployment caused harm through structural incoherence — specifically, through a failure of coupling, consistency, or reversibility that a competent, good-faith PDCA would have identified.</w:t>
      </w:r>
    </w:p>
    <w:p w14:paraId="735B734B" w14:textId="77777777" w:rsidR="008A6258" w:rsidRDefault="006E7E86">
      <w:pPr>
        <w:spacing w:before="60" w:after="140"/>
        <w:jc w:val="both"/>
      </w:pPr>
      <w:r>
        <w:rPr>
          <w:rFonts w:ascii="Georgia" w:hAnsi="Georgia"/>
          <w:color w:val="3D3D3D"/>
        </w:rPr>
        <w:t>The safe harbour applies to good-faith application of the PDCA and Coherence Test. It does not apply where: the operator completed the PDCA in bad faith; the operator materially misrepresented the system's properties in the PDCA; the operator failed to update the PDCA following material changes that triggered the review requirement; or the operator engaged in structural negligence or deliberate bypass of the assessment process. For jurisdictions adopting LAIF as a regulatory standard, the safe harbour may be codified as a statutory defence creating a rebuttable presumption of adequate structural diligence upon completion of a PDCA satisfying LAIF requirements.</w:t>
      </w:r>
    </w:p>
    <w:p w14:paraId="16630AD2" w14:textId="77777777" w:rsidR="008A6258" w:rsidRDefault="008A6258">
      <w:pPr>
        <w:spacing w:before="160" w:after="0"/>
      </w:pPr>
    </w:p>
    <w:p w14:paraId="70A2D674" w14:textId="77777777" w:rsidR="008A6258" w:rsidRDefault="006E7E86">
      <w:pPr>
        <w:pStyle w:val="Heading2"/>
      </w:pPr>
      <w:r>
        <w:rPr>
          <w:rFonts w:ascii="Arial" w:hAnsi="Arial"/>
          <w:color w:val="1B2A4A"/>
        </w:rPr>
        <w:t>C.2  Certification Pathway</w:t>
      </w:r>
    </w:p>
    <w:p w14:paraId="320A1AE0" w14:textId="77777777" w:rsidR="008A6258" w:rsidRDefault="006E7E86">
      <w:pPr>
        <w:spacing w:before="60" w:after="140"/>
        <w:jc w:val="both"/>
      </w:pPr>
      <w:r>
        <w:rPr>
          <w:rFonts w:ascii="Georgia" w:hAnsi="Georgia"/>
          <w:color w:val="3D3D3D"/>
        </w:rPr>
        <w:t>A LAIF certification programme provides operators with external validation of their PDCA and monitoring processes. Certification confirms that the operator's coupling documentation identifies a genuine and specific human interest protected with equivalent normative force; that the consistency reasoning survives scrutiny at smaller and larger scales; and that the reversibility assessment is adequate to the consequences of the deployment. Certification is granted at the deployment level, not the organisation level, and constitutes third-party assurance that the operator's structural due diligence process satisfies LAIF requirements. Annual recertification confirms that monitoring results are within acceptable parameters and that material changes have triggered appropriate PDCA updates.</w:t>
      </w:r>
    </w:p>
    <w:p w14:paraId="48B5CB15" w14:textId="77777777" w:rsidR="008A6258" w:rsidRDefault="008A6258">
      <w:pPr>
        <w:spacing w:before="160" w:after="0"/>
      </w:pPr>
    </w:p>
    <w:p w14:paraId="013CB7F4" w14:textId="77777777" w:rsidR="008A6258" w:rsidRDefault="006E7E86">
      <w:pPr>
        <w:pStyle w:val="Heading2"/>
      </w:pPr>
      <w:r>
        <w:rPr>
          <w:rFonts w:ascii="Arial" w:hAnsi="Arial"/>
          <w:color w:val="1B2A4A"/>
        </w:rPr>
        <w:lastRenderedPageBreak/>
        <w:t>C.3  Procurement Conditioning</w:t>
      </w:r>
    </w:p>
    <w:p w14:paraId="1169BE85" w14:textId="77777777" w:rsidR="008A6258" w:rsidRDefault="006E7E86">
      <w:pPr>
        <w:spacing w:before="60" w:after="140"/>
        <w:jc w:val="both"/>
      </w:pPr>
      <w:r>
        <w:rPr>
          <w:rFonts w:ascii="Georgia" w:hAnsi="Georgia"/>
          <w:color w:val="3D3D3D"/>
        </w:rPr>
        <w:t>Public sector and large enterprise procurement of AI systems may be conditioned on PDCA completion by the vendor for the system in its intended deployment configuration, having passed independent review. Procurement conditioning may be implemented within existing procurement frameworks without statutory amendment: procurement authorities may impose PDCA completion as a contract term, a qualification criterion, or a scored evaluation criterion in competitive procurement processes. For deployments meeting the conditions in Part Nine, section 9.2(a) through (c), PDCA completion and independent review should be treated as mandatory qualification criteria.</w:t>
      </w:r>
    </w:p>
    <w:p w14:paraId="20BEB49C" w14:textId="77777777" w:rsidR="008A6258" w:rsidRDefault="008A6258">
      <w:pPr>
        <w:spacing w:before="160" w:after="0"/>
      </w:pPr>
    </w:p>
    <w:p w14:paraId="4F237DCE" w14:textId="77777777" w:rsidR="008A6258" w:rsidRDefault="006E7E86">
      <w:pPr>
        <w:pStyle w:val="Heading2"/>
      </w:pPr>
      <w:r>
        <w:rPr>
          <w:rFonts w:ascii="Arial" w:hAnsi="Arial"/>
          <w:color w:val="1B2A4A"/>
        </w:rPr>
        <w:t>C.4  PDCA Tiering and Compliance Burden</w:t>
      </w:r>
    </w:p>
    <w:p w14:paraId="1F9E21B7" w14:textId="77777777" w:rsidR="008A6258" w:rsidRDefault="006E7E86">
      <w:pPr>
        <w:spacing w:before="60" w:after="140"/>
        <w:jc w:val="both"/>
      </w:pPr>
      <w:r>
        <w:rPr>
          <w:rFonts w:ascii="Georgia" w:hAnsi="Georgia"/>
          <w:color w:val="3D3D3D"/>
        </w:rPr>
        <w:t>The tiering structure established in Part Nine, section 9.3 — PDCA-Full, PDCA-Standard, PDCA-Lite — reflects the proportionality principle that compliance cost should be proportionate to governance risk. The tiering is not merely administrative convenience; it is a structural application of the Consistency Principle to the compliance obligations of operators of different scales and in different deployment contexts. An operator that applies a lower-tier PDCA to a deployment that genuinely requires a higher-tier assessment has not satisfied the compliance obligation and does not qualify for the safe harbour provisions of C.1.</w:t>
      </w:r>
    </w:p>
    <w:p w14:paraId="10802B7F" w14:textId="77777777" w:rsidR="008A6258" w:rsidRDefault="006E7E86">
      <w:r>
        <w:br w:type="page"/>
      </w:r>
    </w:p>
    <w:p w14:paraId="20115B97" w14:textId="77777777" w:rsidR="008A6258" w:rsidRDefault="006E7E86">
      <w:pPr>
        <w:pStyle w:val="Heading1"/>
      </w:pPr>
      <w:r>
        <w:rPr>
          <w:rFonts w:ascii="Arial" w:hAnsi="Arial"/>
          <w:color w:val="1B2A4A"/>
          <w:sz w:val="36"/>
        </w:rPr>
        <w:lastRenderedPageBreak/>
        <w:t>SCHEDULE D — PLAIN LANGUAGE CROSS-REFERENCE</w:t>
      </w:r>
    </w:p>
    <w:p w14:paraId="54F36906" w14:textId="77777777" w:rsidR="008A6258" w:rsidRDefault="008A6258">
      <w:pPr>
        <w:pBdr>
          <w:bottom w:val="single" w:sz="8" w:space="1" w:color="B8963E"/>
        </w:pBdr>
        <w:spacing w:before="80" w:after="80"/>
      </w:pPr>
    </w:p>
    <w:p w14:paraId="1910FBBA" w14:textId="77777777" w:rsidR="008A6258" w:rsidRDefault="008A6258">
      <w:pPr>
        <w:spacing w:before="80" w:after="0"/>
      </w:pPr>
    </w:p>
    <w:p w14:paraId="3B95BB4E" w14:textId="77777777" w:rsidR="008A6258" w:rsidRDefault="006E7E86">
      <w:pPr>
        <w:spacing w:before="60" w:after="140"/>
        <w:jc w:val="both"/>
      </w:pPr>
      <w:r>
        <w:rPr>
          <w:rFonts w:ascii="Georgia" w:hAnsi="Georgia"/>
          <w:i/>
          <w:color w:val="3D3D3D"/>
          <w:sz w:val="20"/>
        </w:rPr>
        <w:t>Subject to revision without amendment to the principal text. This schedule provides plain language equivalents for the principal text's technical terminology. The principal text terminology governs in all cases of ambiguity or conflict.</w:t>
      </w:r>
    </w:p>
    <w:p w14:paraId="7A3F63AB" w14:textId="77777777" w:rsidR="008A6258" w:rsidRDefault="008A6258">
      <w:pPr>
        <w:spacing w:before="120" w:after="0"/>
      </w:pPr>
    </w:p>
    <w:p w14:paraId="6CDF8A22" w14:textId="77777777" w:rsidR="008A6258" w:rsidRDefault="008A6258">
      <w:pPr>
        <w:spacing w:before="160" w:after="0"/>
      </w:pPr>
    </w:p>
    <w:p w14:paraId="56C333A9" w14:textId="77777777" w:rsidR="008A6258" w:rsidRDefault="006E7E86">
      <w:pPr>
        <w:pStyle w:val="Heading2"/>
      </w:pPr>
      <w:r>
        <w:rPr>
          <w:rFonts w:ascii="Arial" w:hAnsi="Arial"/>
          <w:color w:val="1B2A4A"/>
        </w:rPr>
        <w:t>D.1  Core Governance Concepts</w:t>
      </w:r>
    </w:p>
    <w:p w14:paraId="19A1B73C" w14:textId="77777777" w:rsidR="008A6258" w:rsidRDefault="006E7E86">
      <w:pPr>
        <w:spacing w:before="60" w:after="140"/>
        <w:jc w:val="both"/>
      </w:pPr>
      <w:r>
        <w:rPr>
          <w:rFonts w:ascii="Georgia" w:hAnsi="Georgia"/>
          <w:color w:val="3D3D3D"/>
        </w:rPr>
        <w:t>Coupling: Balance between restriction and protection. Every rule that restricts something must be paired with a protection of equal strength for the specific interest the rule is meant to serve. No restrictions without reasons, and the reasons must have teeth. In regulatory language: proportionality and rights-protection.</w:t>
      </w:r>
    </w:p>
    <w:p w14:paraId="6BFF2E4B" w14:textId="77777777" w:rsidR="008A6258" w:rsidRDefault="006E7E86">
      <w:pPr>
        <w:spacing w:before="60" w:after="140"/>
        <w:jc w:val="both"/>
      </w:pPr>
      <w:r>
        <w:rPr>
          <w:rFonts w:ascii="Georgia" w:hAnsi="Georgia"/>
          <w:color w:val="3D3D3D"/>
        </w:rPr>
        <w:t>Consistency: Same rules across scales. The logic that justifies a governance decision must apply defensibly to all comparable actors and situations — not only to the specific actor or situation under consideration. One rule for all. In regulatory language: equal treatment and non-discrimination.</w:t>
      </w:r>
    </w:p>
    <w:p w14:paraId="379FE79C" w14:textId="77777777" w:rsidR="008A6258" w:rsidRDefault="006E7E86">
      <w:pPr>
        <w:spacing w:before="60" w:after="140"/>
        <w:jc w:val="both"/>
      </w:pPr>
      <w:r>
        <w:rPr>
          <w:rFonts w:ascii="Georgia" w:hAnsi="Georgia"/>
          <w:color w:val="3D3D3D"/>
        </w:rPr>
        <w:t>Reversibility: Ability to undo decisions. Governance decisions that cannot be reversed require a higher bar of justification and stronger procedural protection. Keep the door open to change your mind. In regulatory language: adaptive governance and sunset provisions.</w:t>
      </w:r>
    </w:p>
    <w:p w14:paraId="0C8528F6" w14:textId="77777777" w:rsidR="008A6258" w:rsidRDefault="008A6258">
      <w:pPr>
        <w:spacing w:before="160" w:after="0"/>
      </w:pPr>
    </w:p>
    <w:p w14:paraId="6B811E4F" w14:textId="77777777" w:rsidR="008A6258" w:rsidRDefault="006E7E86">
      <w:pPr>
        <w:pStyle w:val="Heading2"/>
      </w:pPr>
      <w:r>
        <w:rPr>
          <w:rFonts w:ascii="Arial" w:hAnsi="Arial"/>
          <w:color w:val="1B2A4A"/>
        </w:rPr>
        <w:t>D.2  Integrity Layer Properties</w:t>
      </w:r>
    </w:p>
    <w:p w14:paraId="5374BEB3" w14:textId="77777777" w:rsidR="008A6258" w:rsidRDefault="006E7E86">
      <w:pPr>
        <w:spacing w:before="60" w:after="140"/>
        <w:jc w:val="both"/>
      </w:pPr>
      <w:r>
        <w:rPr>
          <w:rFonts w:ascii="Georgia" w:hAnsi="Georgia"/>
          <w:color w:val="3D3D3D"/>
        </w:rPr>
        <w:t>Structural Transparency: The system can show its work. An AI system is structurally transparent when persons affected by its outputs can obtain, on request, a comprehensible account of the basis on which those outputs were generated, the degree of confidence or uncertainty associated with them, and the material limitations of the system relevant to their context. In regulatory language: explainability and disclosure. In procurement language: auditability of outputs.</w:t>
      </w:r>
    </w:p>
    <w:p w14:paraId="40C4B890" w14:textId="77777777" w:rsidR="008A6258" w:rsidRDefault="006E7E86">
      <w:pPr>
        <w:spacing w:before="60" w:after="140"/>
        <w:jc w:val="both"/>
      </w:pPr>
      <w:r>
        <w:rPr>
          <w:rFonts w:ascii="Georgia" w:hAnsi="Georgia"/>
          <w:color w:val="3D3D3D"/>
        </w:rPr>
        <w:t>Structural Honesty: The system means what it says. An AI system is structurally honest when it does not pursue objectives undisclosed to its principal hierarchy, does not misrepresent its own nature or capabilities, and generates outputs that accurately represent the probabilistic and uncertain character of its outputs without overstating reliability or concealing limitations. In regulatory language: accuracy and non-deception. In procurement language: faithful performance.</w:t>
      </w:r>
    </w:p>
    <w:p w14:paraId="55E9367E" w14:textId="77777777" w:rsidR="008A6258" w:rsidRDefault="006E7E86">
      <w:pPr>
        <w:spacing w:before="60" w:after="140"/>
        <w:jc w:val="both"/>
      </w:pPr>
      <w:r>
        <w:rPr>
          <w:rFonts w:ascii="Georgia" w:hAnsi="Georgia"/>
          <w:color w:val="3D3D3D"/>
        </w:rPr>
        <w:t>Structural Containment: The system does what it is told and stays in its lane. An AI system is structurally contained when it operates within the operational boundaries established by its principal hierarchy, does not seek capabilities or resources beyond what the task requires, and does not take actions whose consequences are substantially irreversible without appropriate authorisation. In regulatory language: scope limitation and human oversight. In procurement language: controlled operation.</w:t>
      </w:r>
    </w:p>
    <w:p w14:paraId="6EDC52DE" w14:textId="77777777" w:rsidR="008A6258" w:rsidRDefault="008A6258">
      <w:pPr>
        <w:spacing w:before="160" w:after="0"/>
      </w:pPr>
    </w:p>
    <w:p w14:paraId="1563F959" w14:textId="77777777" w:rsidR="008A6258" w:rsidRDefault="006E7E86">
      <w:pPr>
        <w:pStyle w:val="Heading2"/>
      </w:pPr>
      <w:r>
        <w:rPr>
          <w:rFonts w:ascii="Arial" w:hAnsi="Arial"/>
          <w:color w:val="1B2A4A"/>
        </w:rPr>
        <w:t>D.3  The Coherence Test — Plain Language</w:t>
      </w:r>
    </w:p>
    <w:p w14:paraId="376197FC" w14:textId="77777777" w:rsidR="008A6258" w:rsidRDefault="006E7E86">
      <w:pPr>
        <w:spacing w:before="60" w:after="140"/>
        <w:jc w:val="both"/>
      </w:pPr>
      <w:r>
        <w:rPr>
          <w:rFonts w:ascii="Georgia" w:hAnsi="Georgia"/>
          <w:color w:val="3D3D3D"/>
        </w:rPr>
        <w:t>The Coherence Test asks three questions of any proposed AI action or policy.</w:t>
      </w:r>
    </w:p>
    <w:p w14:paraId="3610716B" w14:textId="77777777" w:rsidR="008A6258" w:rsidRDefault="006E7E86">
      <w:pPr>
        <w:spacing w:before="60" w:after="140"/>
        <w:jc w:val="both"/>
      </w:pPr>
      <w:r>
        <w:rPr>
          <w:rFonts w:ascii="Georgia" w:hAnsi="Georgia"/>
          <w:color w:val="3D3D3D"/>
        </w:rPr>
        <w:t>Question One: What exactly does this protect, and is that protection as strong as the restriction it is paired with?</w:t>
      </w:r>
    </w:p>
    <w:p w14:paraId="2FDBEBAA" w14:textId="77777777" w:rsidR="008A6258" w:rsidRDefault="006E7E86">
      <w:pPr>
        <w:spacing w:before="60" w:after="140"/>
        <w:jc w:val="both"/>
      </w:pPr>
      <w:r>
        <w:rPr>
          <w:rFonts w:ascii="Georgia" w:hAnsi="Georgia"/>
          <w:color w:val="3D3D3D"/>
        </w:rPr>
        <w:t>Question Two: Would this reasoning work for everyone in a comparable situation — not just the actors involved here?</w:t>
      </w:r>
    </w:p>
    <w:p w14:paraId="22ECB1C6" w14:textId="77777777" w:rsidR="008A6258" w:rsidRDefault="006E7E86">
      <w:pPr>
        <w:spacing w:before="60" w:after="140"/>
        <w:jc w:val="both"/>
      </w:pPr>
      <w:r>
        <w:rPr>
          <w:rFonts w:ascii="Georgia" w:hAnsi="Georgia"/>
          <w:color w:val="3D3D3D"/>
        </w:rPr>
        <w:t>Question Three: If this turns out to be wrong, can it be reversed?</w:t>
      </w:r>
    </w:p>
    <w:p w14:paraId="6D6CCAAD" w14:textId="77777777" w:rsidR="008A6258" w:rsidRDefault="006E7E86">
      <w:pPr>
        <w:spacing w:before="60" w:after="140"/>
        <w:jc w:val="both"/>
      </w:pPr>
      <w:r>
        <w:rPr>
          <w:rFonts w:ascii="Georgia" w:hAnsi="Georgia"/>
          <w:color w:val="3D3D3D"/>
        </w:rPr>
        <w:t>If the answer to any of these questions is no, the action or policy has a structural problem that should be addressed before it proceeds. The PDCA provides the structured process for answering these questions in the context of a specific deployment decision.</w:t>
      </w:r>
    </w:p>
    <w:p w14:paraId="01A82F36" w14:textId="77777777" w:rsidR="008A6258" w:rsidRDefault="008A6258">
      <w:pPr>
        <w:spacing w:before="160" w:after="0"/>
      </w:pPr>
    </w:p>
    <w:p w14:paraId="2C27CE5C" w14:textId="77777777" w:rsidR="008A6258" w:rsidRDefault="006E7E86">
      <w:pPr>
        <w:pStyle w:val="Heading2"/>
      </w:pPr>
      <w:r>
        <w:rPr>
          <w:rFonts w:ascii="Arial" w:hAnsi="Arial"/>
          <w:color w:val="1B2A4A"/>
        </w:rPr>
        <w:t>D.4  The PDCA — Plain Language</w:t>
      </w:r>
    </w:p>
    <w:p w14:paraId="0E246B8E" w14:textId="77777777" w:rsidR="008A6258" w:rsidRDefault="006E7E86">
      <w:pPr>
        <w:spacing w:before="60" w:after="140"/>
        <w:jc w:val="both"/>
      </w:pPr>
      <w:r>
        <w:rPr>
          <w:rFonts w:ascii="Georgia" w:hAnsi="Georgia"/>
          <w:color w:val="3D3D3D"/>
        </w:rPr>
        <w:t>The Pre-Deployment Coherence Assessment is the document an operator completes before deploying an AI system in a context where deployment could affect people's interests in consequential ways. It answers the three questions of the Coherence Test for the specific system and deployment, documents the evidence supporting each answer, and requires sign-off from technical, legal, and executive functions before deployment proceeds. Completing a PDCA provides both governance discipline — making the operator think through the deployment systematically — and legal protection — creating the documentary record needed to demonstrate structural due diligence if a problem later arises.</w:t>
      </w:r>
    </w:p>
    <w:p w14:paraId="263ED42F" w14:textId="77777777" w:rsidR="008A6258" w:rsidRDefault="006E7E86">
      <w:r>
        <w:br w:type="page"/>
      </w:r>
    </w:p>
    <w:p w14:paraId="535EC3A3" w14:textId="77777777" w:rsidR="008A6258" w:rsidRDefault="008A6258">
      <w:pPr>
        <w:pBdr>
          <w:bottom w:val="single" w:sz="6" w:space="1" w:color="B8963E"/>
        </w:pBdr>
        <w:spacing w:before="80" w:after="80"/>
      </w:pPr>
    </w:p>
    <w:p w14:paraId="75841B04" w14:textId="77777777" w:rsidR="008A6258" w:rsidRDefault="006E7E86">
      <w:pPr>
        <w:spacing w:before="200"/>
        <w:jc w:val="center"/>
      </w:pPr>
      <w:r>
        <w:rPr>
          <w:rFonts w:ascii="Arial" w:hAnsi="Arial"/>
          <w:b/>
          <w:color w:val="1B2A4A"/>
        </w:rPr>
        <w:t>END OF INSTRUMENT</w:t>
      </w:r>
    </w:p>
    <w:p w14:paraId="680D6608" w14:textId="77777777" w:rsidR="008A6258" w:rsidRDefault="006E7E86">
      <w:pPr>
        <w:jc w:val="center"/>
      </w:pPr>
      <w:r>
        <w:rPr>
          <w:rFonts w:ascii="Georgia" w:hAnsi="Georgia"/>
          <w:color w:val="888888"/>
          <w:sz w:val="19"/>
        </w:rPr>
        <w:t>Law-Aligned Intelligence Framework  |  Version 1.2  |  April 2026</w:t>
      </w:r>
    </w:p>
    <w:sectPr w:rsidR="008A6258"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262092">
    <w:abstractNumId w:val="8"/>
  </w:num>
  <w:num w:numId="2" w16cid:durableId="556474278">
    <w:abstractNumId w:val="6"/>
  </w:num>
  <w:num w:numId="3" w16cid:durableId="189682559">
    <w:abstractNumId w:val="5"/>
  </w:num>
  <w:num w:numId="4" w16cid:durableId="1658992113">
    <w:abstractNumId w:val="4"/>
  </w:num>
  <w:num w:numId="5" w16cid:durableId="878860096">
    <w:abstractNumId w:val="7"/>
  </w:num>
  <w:num w:numId="6" w16cid:durableId="775707920">
    <w:abstractNumId w:val="3"/>
  </w:num>
  <w:num w:numId="7" w16cid:durableId="618147091">
    <w:abstractNumId w:val="2"/>
  </w:num>
  <w:num w:numId="8" w16cid:durableId="1158687828">
    <w:abstractNumId w:val="1"/>
  </w:num>
  <w:num w:numId="9" w16cid:durableId="142325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60D"/>
    <w:rsid w:val="0006063C"/>
    <w:rsid w:val="0015074B"/>
    <w:rsid w:val="002605D9"/>
    <w:rsid w:val="00294234"/>
    <w:rsid w:val="0029639D"/>
    <w:rsid w:val="002C71DB"/>
    <w:rsid w:val="002F46DF"/>
    <w:rsid w:val="00326F90"/>
    <w:rsid w:val="0034509A"/>
    <w:rsid w:val="00387E8B"/>
    <w:rsid w:val="005031D3"/>
    <w:rsid w:val="006E7E86"/>
    <w:rsid w:val="007947E8"/>
    <w:rsid w:val="007C084E"/>
    <w:rsid w:val="008A6258"/>
    <w:rsid w:val="00A7363F"/>
    <w:rsid w:val="00AA1D8D"/>
    <w:rsid w:val="00B2676E"/>
    <w:rsid w:val="00B47730"/>
    <w:rsid w:val="00C70904"/>
    <w:rsid w:val="00CB0664"/>
    <w:rsid w:val="00E775C6"/>
    <w:rsid w:val="00FC4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4E5F1"/>
  <w14:defaultImageDpi w14:val="300"/>
  <w15:docId w15:val="{D559B126-51B2-5949-9E72-A37BA663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42</Pages>
  <Words>14719</Words>
  <Characters>83901</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gobbo</cp:lastModifiedBy>
  <cp:revision>17</cp:revision>
  <dcterms:created xsi:type="dcterms:W3CDTF">2013-12-23T23:15:00Z</dcterms:created>
  <dcterms:modified xsi:type="dcterms:W3CDTF">2026-04-20T23:40:00Z</dcterms:modified>
  <cp:category/>
</cp:coreProperties>
</file>