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B2A4A"/>
          <w:sz w:val="48"/>
        </w:rPr>
        <w:t>LAIF COHERENCE TEST</w:t>
      </w:r>
    </w:p>
    <w:p>
      <w:pPr>
        <w:jc w:val="center"/>
      </w:pPr>
      <w:r>
        <w:rPr>
          <w:rFonts w:ascii="Arial" w:hAnsi="Arial"/>
          <w:color w:val="B8963E"/>
          <w:sz w:val="28"/>
        </w:rPr>
        <w:t>Retrospective Case Analysis  |  April 2026</w:t>
      </w:r>
    </w:p>
    <w:p>
      <w:pPr>
        <w:spacing w:before="160" w:after="160"/>
        <w:pBdr>
          <w:bottom w:val="single" w:sz="12" w:space="1" w:color="B8963E"/>
        </w:pBdr>
      </w:pPr>
    </w:p>
    <w:p>
      <w:pPr>
        <w:jc w:val="center"/>
      </w:pPr>
      <w:r>
        <w:rPr>
          <w:rFonts w:ascii="Georgia" w:hAnsi="Georgia"/>
          <w:i/>
          <w:color w:val="3D3D3D"/>
          <w:sz w:val="24"/>
        </w:rPr>
        <w:t>Assessing Whether the Coherence Test Would Have Flagged Structural Incoherence</w:t>
        <w:br/>
        <w:t>at the Decision Point Across Eight Documented AI Governance Failures</w:t>
      </w:r>
    </w:p>
    <w:p>
      <w:r>
        <w:t>Related LAIF documents: LAIF v1.2 Principal Text · PDCA-Full Assessment (GPT-4 Clinical) · Compliance Toolkit v1.1 · Regulatory Integration Guide · Case Analysis · Policy Paper</w:t>
      </w:r>
    </w:p>
    <w:p>
      <w:pPr>
        <w:spacing w:before="40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80" w:after="80"/>
              <w:jc w:val="both"/>
            </w:pPr>
            <w:r>
              <w:rPr>
                <w:rFonts w:ascii="Arial" w:hAnsi="Arial"/>
                <w:b/>
                <w:color w:val="1B2A4A"/>
                <w:sz w:val="20"/>
              </w:rPr>
              <w:t xml:space="preserve">Scope and Precise Claim  </w:t>
            </w:r>
            <w:r>
              <w:rPr>
                <w:rFonts w:ascii="Georgia" w:hAnsi="Georgia"/>
                <w:color w:val="3D3D3D"/>
                <w:sz w:val="20"/>
              </w:rPr>
              <w:t>This document applies the LAIF Coherence Test retrospectively to eight documented AI governance failures. The claim is precisely stated: the analysis assesses whether the Coherence Test would have flagged structural incoherence at the point of the relevant deployment or policy decision. This is not the same as prevention. Governance tools improve decision quality under uncertainty; they do not mechanically prevent outcomes. Whether improved decision quality translates into different decisions depends on institutional will, political capacity, and organisational culture — factors that no governance framework can supply. The finding established here is the prior and more tractable one: in all eight cases, the Coherence Test would have surfaced a structural problem requiring redesign before deployment proceeded.</w:t>
            </w:r>
          </w:p>
        </w:tc>
      </w:tr>
    </w:tbl>
    <w:p>
      <w:pPr>
        <w:spacing w:before="160" w:after="0"/>
      </w:pPr>
    </w:p>
    <w:p>
      <w:r>
        <w:br w:type="page"/>
      </w:r>
    </w:p>
    <w:p>
      <w:pPr>
        <w:pStyle w:val="Heading1"/>
      </w:pPr>
      <w:r>
        <w:rPr>
          <w:rFonts w:ascii="Arial" w:hAnsi="Arial"/>
          <w:color w:val="1B2A4A"/>
          <w:sz w:val="36"/>
        </w:rPr>
        <w:t>INTRODUCTION</w:t>
      </w:r>
    </w:p>
    <w:p>
      <w:pPr>
        <w:spacing w:before="160" w:after="160"/>
        <w:pBdr>
          <w:bottom w:val="single" w:sz="12" w:space="1" w:color="B8963E"/>
        </w:pBdr>
      </w:pPr>
    </w:p>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B8963E"/>
            </w:tcBorders>
          </w:tcPr>
          <w:p>
            <w:pPr>
              <w:spacing w:before="80" w:after="80"/>
              <w:jc w:val="both"/>
            </w:pPr>
            <w:r>
              <w:rPr>
                <w:rFonts w:ascii="Georgia" w:hAnsi="Georgia"/>
                <w:color w:val="3D3D3D"/>
                <w:sz w:val="20"/>
              </w:rPr>
              <w:t>The analysis assesses whether, had the Coherence Test been applied at the point of the relevant deployment or policy decision, it would have flagged a structural problem requiring redesign before deployment proceeded. This is different from prevention. Governance frameworks that flag structural incoherence create the conditions for better decisions; they do not guarantee that better decisions are made.</w:t>
            </w:r>
          </w:p>
        </w:tc>
      </w:tr>
    </w:tbl>
    <w:p>
      <w:pPr>
        <w:spacing w:before="160" w:after="0"/>
      </w:pPr>
    </w:p>
    <w:p>
      <w:pPr>
        <w:spacing w:before="80" w:after="120"/>
        <w:jc w:val="both"/>
      </w:pPr>
      <w:r>
        <w:rPr>
          <w:rFonts w:ascii="Georgia" w:hAnsi="Georgia"/>
          <w:color w:val="3D3D3D"/>
          <w:sz w:val="22"/>
        </w:rPr>
        <w:t>Each case presents a factual summary of the AI system and its deployment context; identification of the governance failure that permitted the harm; application of the three Coherence Test questions as they would have been applied at the point of decision; the structural verdict; the LAIF provisions that would have applied; and an assessment of the adequacy of existing governance responses.</w:t>
      </w:r>
    </w:p>
    <w:p>
      <w:pPr>
        <w:spacing w:before="80" w:after="120"/>
        <w:jc w:val="both"/>
      </w:pPr>
      <w:r>
        <w:rPr>
          <w:rFonts w:ascii="Georgia" w:hAnsi="Georgia"/>
          <w:color w:val="3D3D3D"/>
          <w:sz w:val="22"/>
        </w:rPr>
        <w:t>The cases span criminal justice, education, employment, social media, healthcare, public administration, and platform labour — selected to test the Coherence Test's claimed scale-invariance across substantially different institutional contexts. They include both commercial operator failures and public regulatory body failures, testing the self-application requirement of LAIF Part Seven.</w:t>
      </w:r>
    </w:p>
    <w:p>
      <w:r>
        <w:br w:type="page"/>
      </w:r>
    </w:p>
    <w:p>
      <w:pPr>
        <w:pStyle w:val="Heading1"/>
      </w:pPr>
      <w:r>
        <w:rPr>
          <w:rFonts w:ascii="Arial" w:hAnsi="Arial"/>
          <w:color w:val="1B2A4A"/>
          <w:sz w:val="36"/>
        </w:rPr>
        <w:t>CASE ANALYSES</w:t>
      </w:r>
    </w:p>
    <w:p>
      <w:pPr>
        <w:spacing w:before="160" w:after="160"/>
        <w:pBdr>
          <w:bottom w:val="single" w:sz="12" w:space="1" w:color="B8963E"/>
        </w:pBdr>
      </w:pPr>
    </w:p>
    <w:p>
      <w:pPr>
        <w:spacing w:before="200" w:after="0"/>
      </w:pPr>
    </w:p>
    <w:p>
      <w:pPr>
        <w:spacing w:before="160"/>
      </w:pPr>
      <w:r>
        <w:rPr>
          <w:rFonts w:ascii="Arial" w:hAnsi="Arial"/>
          <w:b/>
          <w:color w:val="1B2A4A"/>
          <w:sz w:val="28"/>
        </w:rPr>
        <w:t>Case 1  —  Facebook Algorithmic Amplification (2014–2019)</w:t>
      </w:r>
    </w:p>
    <w:p>
      <w:pPr>
        <w:spacing w:before="40" w:after="120"/>
      </w:pPr>
      <w:r>
        <w:rPr>
          <w:rFonts w:ascii="Arial" w:hAnsi="Arial"/>
          <w:b/>
          <w:color w:val="3D3D3D"/>
          <w:sz w:val="19"/>
        </w:rPr>
        <w:t xml:space="preserve">Sector: </w:t>
      </w:r>
      <w:r>
        <w:rPr>
          <w:rFonts w:ascii="Arial" w:hAnsi="Arial"/>
          <w:color w:val="3D3D3D"/>
          <w:sz w:val="19"/>
        </w:rPr>
        <w:t>Social Media</w:t>
      </w:r>
      <w:r>
        <w:rPr>
          <w:rFonts w:ascii="Arial" w:hAnsi="Arial"/>
          <w:b/>
          <w:color w:val="3D3D3D"/>
          <w:sz w:val="19"/>
        </w:rPr>
        <w:t xml:space="preserve">   Scale: </w:t>
      </w:r>
      <w:r>
        <w:rPr>
          <w:rFonts w:ascii="Arial" w:hAnsi="Arial"/>
          <w:color w:val="3D3D3D"/>
          <w:sz w:val="19"/>
        </w:rPr>
        <w:t>Platform Deployment</w:t>
      </w:r>
      <w:r>
        <w:rPr>
          <w:rFonts w:ascii="Arial" w:hAnsi="Arial"/>
          <w:b/>
          <w:color w:val="3D3D3D"/>
          <w:sz w:val="19"/>
        </w:rPr>
        <w:t xml:space="preserve">   Jurisdiction: </w:t>
      </w:r>
      <w:r>
        <w:rPr>
          <w:rFonts w:ascii="Arial" w:hAnsi="Arial"/>
          <w:color w:val="3D3D3D"/>
          <w:sz w:val="19"/>
        </w:rPr>
        <w:t>United States / Global</w:t>
      </w:r>
    </w:p>
    <w:p>
      <w:pPr>
        <w:pStyle w:val="Heading3"/>
      </w:pPr>
      <w:r>
        <w:rPr>
          <w:rFonts w:ascii="Arial" w:hAnsi="Arial"/>
          <w:color w:val="B8963E"/>
          <w:sz w:val="23"/>
        </w:rPr>
        <w:t>Factual Summary</w:t>
      </w:r>
    </w:p>
    <w:p>
      <w:pPr>
        <w:spacing w:before="80" w:after="120"/>
        <w:jc w:val="both"/>
      </w:pPr>
      <w:r>
        <w:rPr>
          <w:rFonts w:ascii="Georgia" w:hAnsi="Georgia"/>
          <w:color w:val="3D3D3D"/>
          <w:sz w:val="22"/>
        </w:rPr>
        <w:t>Between 2014 and 2019, Facebook deployed recommendation algorithms optimised primarily for user engagement. Internal research disclosed in the 2021 Facebook Papers demonstrated that the company's data scientists had identified by 2018 that this optimisation systematically amplified emotionally provocative and false content because such content generated higher engagement signals. Proposed changes to reduce misinformation amplification were rejected at senior levels on grounds that they reduced engagement metrics. The system was not disclosed to users as an engagement-optimisation engine.</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No regulatory framework required Facebook to disclose the optimisation objective of its content-ranking system to users, nor required that engagement optimisation — where it produced systematic amplification of false content — be coupled to a protection of users' interest in accurate information. The US communications framework provided broad immunity under Section 230. The EU had not yet enacted its Digital Services Act.</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Users had a clear identifiable interest in knowing that content was ranked to maximise emotional engagement rather than informational accuracy. No provision protecting that interest was paired with the deployment authorisation. Provision A1 would have required disclosure that content ranking served engagement objectives conflicting with accuracy. Provision A2 prohibits techniques exploiting emotional responses to amplify content users would not have prioritised had they understood the mechanism.</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Facebook's deployment applied consistently would permit any information system operator to optimise for any objective without disclosure. The aggregate result is systematic replacement of user informational agency with operator-defined engagement objectives across all digital information environments.</w:t>
      </w:r>
    </w:p>
    <w:p>
      <w:pPr>
        <w:spacing w:before="60" w:after="60"/>
        <w:jc w:val="both"/>
      </w:pPr>
      <w:r>
        <w:rPr>
          <w:rFonts w:ascii="Georgia" w:hAnsi="Georgia"/>
          <w:b/>
          <w:color w:val="1B2A4A"/>
          <w:sz w:val="22"/>
        </w:rPr>
        <w:t xml:space="preserve">Q3 — Reversibility:  </w:t>
      </w:r>
      <w:r>
        <w:rPr>
          <w:rFonts w:ascii="Arial" w:hAnsi="Arial"/>
          <w:b/>
          <w:color w:val="8B2020"/>
          <w:sz w:val="21"/>
        </w:rPr>
        <w:t xml:space="preserve">FAIL  </w:t>
      </w:r>
      <w:r>
        <w:rPr>
          <w:rFonts w:ascii="Georgia" w:hAnsi="Georgia"/>
          <w:color w:val="3D3D3D"/>
          <w:sz w:val="21"/>
        </w:rPr>
        <w:t>Algorithmic amplification of false content over multiple years produced changes in public epistemic environments — shifts in beliefs, voting behaviour, and institutional trust — that cannot be reversed by subsequent technical adjustments to the ranking algorithm.</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All three questions fail.</w:t>
      </w:r>
    </w:p>
    <w:p>
      <w:pPr>
        <w:spacing w:before="80" w:after="120"/>
        <w:jc w:val="both"/>
      </w:pPr>
      <w:r>
        <w:rPr>
          <w:rFonts w:ascii="Georgia" w:hAnsi="Georgia"/>
          <w:b/>
          <w:color w:val="1B2A4A"/>
          <w:sz w:val="22"/>
        </w:rPr>
        <w:t xml:space="preserve">LAIF Provisions Engaged:  </w:t>
      </w:r>
      <w:r>
        <w:rPr>
          <w:rFonts w:ascii="Georgia" w:hAnsi="Georgia"/>
          <w:color w:val="3D3D3D"/>
          <w:sz w:val="22"/>
        </w:rPr>
        <w:t>A1 (right to comprehensible account), A2 (prohibition on manipulative techniques), C2 (prohibition on deceiving users about optimisation objectives), C3 (prohibition on configuring systems against user interests), B3 (prohibition on concentrating informational power).</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Structurally inadequate. Section 230 immunity provided no mechanism for distinguishing immunity for user-generated content from immunity for operator-designed amplification. The EU Digital Services Act (2022) introduced algorithmic transparency requirements for very large platforms, partially addressing the coupling gap — but disclosure obligations remain softer than the authorisation, leaving structural coupling incomplete even under the revised framework.</w:t>
      </w:r>
    </w:p>
    <w:p>
      <w:pPr>
        <w:spacing w:before="160" w:after="80"/>
        <w:pBdr>
          <w:bottom w:val="single" w:sz="4" w:space="1" w:color="DDE2EC"/>
        </w:pBdr>
      </w:pPr>
    </w:p>
    <w:p>
      <w:pPr>
        <w:spacing w:before="200" w:after="0"/>
      </w:pPr>
    </w:p>
    <w:p>
      <w:pPr>
        <w:spacing w:before="160"/>
      </w:pPr>
      <w:r>
        <w:rPr>
          <w:rFonts w:ascii="Arial" w:hAnsi="Arial"/>
          <w:b/>
          <w:color w:val="1B2A4A"/>
          <w:sz w:val="28"/>
        </w:rPr>
        <w:t>Case 2  —  COMPAS Recidivism Prediction — Criminal Sentencing</w:t>
      </w:r>
    </w:p>
    <w:p>
      <w:pPr>
        <w:spacing w:before="40" w:after="120"/>
      </w:pPr>
      <w:r>
        <w:rPr>
          <w:rFonts w:ascii="Arial" w:hAnsi="Arial"/>
          <w:b/>
          <w:color w:val="3D3D3D"/>
          <w:sz w:val="19"/>
        </w:rPr>
        <w:t xml:space="preserve">Sector: </w:t>
      </w:r>
      <w:r>
        <w:rPr>
          <w:rFonts w:ascii="Arial" w:hAnsi="Arial"/>
          <w:color w:val="3D3D3D"/>
          <w:sz w:val="19"/>
        </w:rPr>
        <w:t>Criminal Justice</w:t>
      </w:r>
      <w:r>
        <w:rPr>
          <w:rFonts w:ascii="Arial" w:hAnsi="Arial"/>
          <w:b/>
          <w:color w:val="3D3D3D"/>
          <w:sz w:val="19"/>
        </w:rPr>
        <w:t xml:space="preserve">   Scale: </w:t>
      </w:r>
      <w:r>
        <w:rPr>
          <w:rFonts w:ascii="Arial" w:hAnsi="Arial"/>
          <w:color w:val="3D3D3D"/>
          <w:sz w:val="19"/>
        </w:rPr>
        <w:t>Individual Decision / Regulation</w:t>
      </w:r>
      <w:r>
        <w:rPr>
          <w:rFonts w:ascii="Arial" w:hAnsi="Arial"/>
          <w:b/>
          <w:color w:val="3D3D3D"/>
          <w:sz w:val="19"/>
        </w:rPr>
        <w:t xml:space="preserve">   Jurisdiction: </w:t>
      </w:r>
      <w:r>
        <w:rPr>
          <w:rFonts w:ascii="Arial" w:hAnsi="Arial"/>
          <w:color w:val="3D3D3D"/>
          <w:sz w:val="19"/>
        </w:rPr>
        <w:t>United States</w:t>
      </w:r>
    </w:p>
    <w:p>
      <w:pPr>
        <w:pStyle w:val="Heading3"/>
      </w:pPr>
      <w:r>
        <w:rPr>
          <w:rFonts w:ascii="Arial" w:hAnsi="Arial"/>
          <w:color w:val="B8963E"/>
          <w:sz w:val="23"/>
        </w:rPr>
        <w:t>Factual Summary</w:t>
      </w:r>
    </w:p>
    <w:p>
      <w:pPr>
        <w:spacing w:before="80" w:after="120"/>
        <w:jc w:val="both"/>
      </w:pPr>
      <w:r>
        <w:rPr>
          <w:rFonts w:ascii="Georgia" w:hAnsi="Georgia"/>
          <w:color w:val="3D3D3D"/>
          <w:sz w:val="22"/>
        </w:rPr>
        <w:t>The COMPAS system was deployed in multiple US jurisdictions from the early 2000s to inform sentencing, parole, and bail decisions. A 2016 ProPublica investigation documented that the system was substantially more likely to falsely classify Black defendants as high-risk and white defendants as low-risk, even controlling for criminal history. The vendor described the algorithm as proprietary, preventing defendants, counsel, or courts from examining scores that materially affected liberty. In State v. Loomis (2016), the Wisconsin Supreme Court declined to require disclosure.</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No framework required that the use of a predictive scoring system in sentencing decisions be coupled to the defendant's right to examine and contest the score. Proprietary status was treated as legally compatible with due process requirements despite the system producing outputs materially determining liberty-depriving outcomes.</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The authorisation to use a predictive score in a liberty-depriving decision was not coupled to any protection of the defendant's interest in understanding and contesting that score. Under Provision A1, the right to a comprehensible account is non-waivable. Under Provision B2, deployment producing discriminatory outcomes on racial grounds without a rational relationship to the legitimate sentencing purpose violates the prohibition on discriminatory AI deployment.</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COMPAS deployment without disclosure applied consistently would permit any algorithmic evidence against defendants to be withheld from examination — incompatible with due process doctrine applied to all other forms of criminal evidence.</w:t>
      </w:r>
    </w:p>
    <w:p>
      <w:pPr>
        <w:spacing w:before="60" w:after="60"/>
        <w:jc w:val="both"/>
      </w:pPr>
      <w:r>
        <w:rPr>
          <w:rFonts w:ascii="Georgia" w:hAnsi="Georgia"/>
          <w:b/>
          <w:color w:val="1B2A4A"/>
          <w:sz w:val="22"/>
        </w:rPr>
        <w:t xml:space="preserve">Q3 — Reversibility:  </w:t>
      </w:r>
      <w:r>
        <w:rPr>
          <w:rFonts w:ascii="Arial" w:hAnsi="Arial"/>
          <w:b/>
          <w:color w:val="8B2020"/>
          <w:sz w:val="21"/>
        </w:rPr>
        <w:t xml:space="preserve">FAIL  </w:t>
      </w:r>
      <w:r>
        <w:rPr>
          <w:rFonts w:ascii="Georgia" w:hAnsi="Georgia"/>
          <w:color w:val="3D3D3D"/>
          <w:sz w:val="21"/>
        </w:rPr>
        <w:t>The effects of sentences imposed with COMPAS contributions — imprisonment, criminal records affecting employment, family separation — are not reversible for the individuals affected. The discriminatory pattern proved institutionally resistant to correction.</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The State v. Loomis decision, which declined to require disclosure, fails the Coherence Test as a regulatory instrument by the same reasoning. All three questions fail.</w:t>
      </w:r>
    </w:p>
    <w:p>
      <w:pPr>
        <w:spacing w:before="80" w:after="120"/>
        <w:jc w:val="both"/>
      </w:pPr>
      <w:r>
        <w:rPr>
          <w:rFonts w:ascii="Georgia" w:hAnsi="Georgia"/>
          <w:b/>
          <w:color w:val="1B2A4A"/>
          <w:sz w:val="22"/>
        </w:rPr>
        <w:t xml:space="preserve">LAIF Provisions Engaged:  </w:t>
      </w:r>
      <w:r>
        <w:rPr>
          <w:rFonts w:ascii="Georgia" w:hAnsi="Georgia"/>
          <w:color w:val="3D3D3D"/>
          <w:sz w:val="22"/>
        </w:rPr>
        <w:t>A1 (right to comprehensible account, non-waivable), B2 (prohibition on discriminatory AI deployment), Integrity Layer 2.1 (structural transparency as deployment prerequisite), Part Seven 7.3 (restoration requirement — existing framework provided none).</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Structurally inadequate. The EU AI Act (2024) now classifies AI systems used in criminal justice risk assessment as high-risk under Annex III, requiring conformity assessment and transparency. Had this classification existed in US jurisdictions, several structural failures would have been addressed — though mandatory disclosure requirements under the EU framework remain weaker than LAIF's non-waivable A1 entitlement.</w:t>
      </w:r>
    </w:p>
    <w:p>
      <w:pPr>
        <w:spacing w:before="160" w:after="80"/>
        <w:pBdr>
          <w:bottom w:val="single" w:sz="4" w:space="1" w:color="DDE2EC"/>
        </w:pBdr>
      </w:pPr>
    </w:p>
    <w:p>
      <w:pPr>
        <w:spacing w:before="200" w:after="0"/>
      </w:pPr>
    </w:p>
    <w:p>
      <w:pPr>
        <w:spacing w:before="160"/>
      </w:pPr>
      <w:r>
        <w:rPr>
          <w:rFonts w:ascii="Arial" w:hAnsi="Arial"/>
          <w:b/>
          <w:color w:val="1B2A4A"/>
          <w:sz w:val="28"/>
        </w:rPr>
        <w:t>Case 3  —  Amazon Automated Recruitment Screening (2014–2017)</w:t>
      </w:r>
    </w:p>
    <w:p>
      <w:pPr>
        <w:spacing w:before="40" w:after="120"/>
      </w:pPr>
      <w:r>
        <w:rPr>
          <w:rFonts w:ascii="Arial" w:hAnsi="Arial"/>
          <w:b/>
          <w:color w:val="3D3D3D"/>
          <w:sz w:val="19"/>
        </w:rPr>
        <w:t xml:space="preserve">Sector: </w:t>
      </w:r>
      <w:r>
        <w:rPr>
          <w:rFonts w:ascii="Arial" w:hAnsi="Arial"/>
          <w:color w:val="3D3D3D"/>
          <w:sz w:val="19"/>
        </w:rPr>
        <w:t>Employment</w:t>
      </w:r>
      <w:r>
        <w:rPr>
          <w:rFonts w:ascii="Arial" w:hAnsi="Arial"/>
          <w:b/>
          <w:color w:val="3D3D3D"/>
          <w:sz w:val="19"/>
        </w:rPr>
        <w:t xml:space="preserve">   Scale: </w:t>
      </w:r>
      <w:r>
        <w:rPr>
          <w:rFonts w:ascii="Arial" w:hAnsi="Arial"/>
          <w:color w:val="3D3D3D"/>
          <w:sz w:val="19"/>
        </w:rPr>
        <w:t>Deployment Decision</w:t>
      </w:r>
      <w:r>
        <w:rPr>
          <w:rFonts w:ascii="Arial" w:hAnsi="Arial"/>
          <w:b/>
          <w:color w:val="3D3D3D"/>
          <w:sz w:val="19"/>
        </w:rPr>
        <w:t xml:space="preserve">   Jurisdiction: </w:t>
      </w:r>
      <w:r>
        <w:rPr>
          <w:rFonts w:ascii="Arial" w:hAnsi="Arial"/>
          <w:color w:val="3D3D3D"/>
          <w:sz w:val="19"/>
        </w:rPr>
        <w:t>Global</w:t>
      </w:r>
    </w:p>
    <w:p>
      <w:pPr>
        <w:pStyle w:val="Heading3"/>
      </w:pPr>
      <w:r>
        <w:rPr>
          <w:rFonts w:ascii="Arial" w:hAnsi="Arial"/>
          <w:color w:val="B8963E"/>
          <w:sz w:val="23"/>
        </w:rPr>
        <w:t>Factual Summary</w:t>
      </w:r>
    </w:p>
    <w:p>
      <w:pPr>
        <w:spacing w:before="80" w:after="120"/>
        <w:jc w:val="both"/>
      </w:pPr>
      <w:r>
        <w:rPr>
          <w:rFonts w:ascii="Georgia" w:hAnsi="Georgia"/>
          <w:color w:val="3D3D3D"/>
          <w:sz w:val="22"/>
        </w:rPr>
        <w:t>Between 2014 and 2017, Amazon developed and deployed an automated resume-screening system trained on ten years of historical hiring data. Because the technology sector's historical workforce was predominantly male, the system learned to penalise resumes indicating female identity and systematically downgraded graduates of all-women's colleges. Amazon identified the discriminatory pattern in 2015, attempted remediation, found the system continued through other proxies, and discontinued the project in 2017. Applicants whose resumes were downgraded had no means of knowing this had occurred or of contesting the outcome.</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No framework required that deployment of an automated screening system be coupled to disclosure to applicants that automated scoring was occurring, or to a mechanism for contesting scores. No framework required that the discriminatory pattern — once identified internally — be disclosed to affected applicants or regulatory authorities.</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Applicants had an identifiable interest in knowing automated scoring was occurring and in contesting it — none of which were protected by the deployment authorisation under Provision A1. The system's discriminatory outputs violated Provision B2's prohibition on AI deployment producing discriminatory outcomes on the basis of sex without a rational relationship to the legitimate purpose of the deployment.</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Amazon's deployment applied consistently would permit automated employment discrimination to be invisible to those affected across all employment decisions in all sectors — incompatible with employment discrimination law the same legal system applied to other discriminatory practices.</w:t>
      </w:r>
    </w:p>
    <w:p>
      <w:pPr>
        <w:spacing w:before="60" w:after="60"/>
        <w:jc w:val="both"/>
      </w:pPr>
      <w:r>
        <w:rPr>
          <w:rFonts w:ascii="Georgia" w:hAnsi="Georgia"/>
          <w:b/>
          <w:color w:val="1B2A4A"/>
          <w:sz w:val="22"/>
        </w:rPr>
        <w:t xml:space="preserve">Q3 — Reversibility:  </w:t>
      </w:r>
      <w:r>
        <w:rPr>
          <w:rFonts w:ascii="Arial" w:hAnsi="Arial"/>
          <w:b/>
          <w:color w:val="8B2020"/>
          <w:sz w:val="21"/>
        </w:rPr>
        <w:t xml:space="preserve">FAIL  </w:t>
      </w:r>
      <w:r>
        <w:rPr>
          <w:rFonts w:ascii="Georgia" w:hAnsi="Georgia"/>
          <w:color w:val="3D3D3D"/>
          <w:sz w:val="21"/>
        </w:rPr>
        <w:t>Applicants who were not hired as a result of the discriminatory screening cannot recover the opportunities denied. Career trajectory effects are substantially irreversible. Amazon did not notify affected applicants or regulatory authorities of the discriminatory pattern.</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Continuation of deployment after internal identification of the discriminatory pattern represents an aggravated structural violation. All three questions fail.</w:t>
      </w:r>
    </w:p>
    <w:p>
      <w:pPr>
        <w:spacing w:before="80" w:after="120"/>
        <w:jc w:val="both"/>
      </w:pPr>
      <w:r>
        <w:rPr>
          <w:rFonts w:ascii="Georgia" w:hAnsi="Georgia"/>
          <w:b/>
          <w:color w:val="1B2A4A"/>
          <w:sz w:val="22"/>
        </w:rPr>
        <w:t xml:space="preserve">LAIF Provisions Engaged:  </w:t>
      </w:r>
      <w:r>
        <w:rPr>
          <w:rFonts w:ascii="Georgia" w:hAnsi="Georgia"/>
          <w:color w:val="3D3D3D"/>
          <w:sz w:val="22"/>
        </w:rPr>
        <w:t>A1, A2 (undisclosed techniques), B2 (prohibition on discriminatory AI deployment), C2 (discriminatory pattern not disclosed to regulators), C3 (system operated against applicant interests).</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Structurally inadequate. Existing employment discrimination law required proof of discriminatory intent or demonstrable disparate impact — neither available where the discriminatory mechanism was invisible to those affected. The EU AI Act (2024) now classifies AI systems used in employment recruitment as high-risk under Annex III, which would have triggered conformity assessment and transparency requirements identifying the structural failure earlier.</w:t>
      </w:r>
    </w:p>
    <w:p>
      <w:pPr>
        <w:spacing w:before="160" w:after="80"/>
        <w:pBdr>
          <w:bottom w:val="single" w:sz="4" w:space="1" w:color="DDE2EC"/>
        </w:pBdr>
      </w:pPr>
    </w:p>
    <w:p>
      <w:pPr>
        <w:spacing w:before="200" w:after="0"/>
      </w:pPr>
    </w:p>
    <w:p>
      <w:pPr>
        <w:spacing w:before="160"/>
      </w:pPr>
      <w:r>
        <w:rPr>
          <w:rFonts w:ascii="Arial" w:hAnsi="Arial"/>
          <w:b/>
          <w:color w:val="1B2A4A"/>
          <w:sz w:val="28"/>
        </w:rPr>
        <w:t>Case 4  —  UK Ofqual Exam Algorithm — 2020 A-Level Results</w:t>
      </w:r>
    </w:p>
    <w:p>
      <w:pPr>
        <w:spacing w:before="40" w:after="120"/>
      </w:pPr>
      <w:r>
        <w:rPr>
          <w:rFonts w:ascii="Arial" w:hAnsi="Arial"/>
          <w:b/>
          <w:color w:val="3D3D3D"/>
          <w:sz w:val="19"/>
        </w:rPr>
        <w:t xml:space="preserve">Sector: </w:t>
      </w:r>
      <w:r>
        <w:rPr>
          <w:rFonts w:ascii="Arial" w:hAnsi="Arial"/>
          <w:color w:val="3D3D3D"/>
          <w:sz w:val="19"/>
        </w:rPr>
        <w:t>Education / Public Administration</w:t>
      </w:r>
      <w:r>
        <w:rPr>
          <w:rFonts w:ascii="Arial" w:hAnsi="Arial"/>
          <w:b/>
          <w:color w:val="3D3D3D"/>
          <w:sz w:val="19"/>
        </w:rPr>
        <w:t xml:space="preserve">   Scale: </w:t>
      </w:r>
      <w:r>
        <w:rPr>
          <w:rFonts w:ascii="Arial" w:hAnsi="Arial"/>
          <w:color w:val="3D3D3D"/>
          <w:sz w:val="19"/>
        </w:rPr>
        <w:t>Regulatory Instrument</w:t>
      </w:r>
      <w:r>
        <w:rPr>
          <w:rFonts w:ascii="Arial" w:hAnsi="Arial"/>
          <w:b/>
          <w:color w:val="3D3D3D"/>
          <w:sz w:val="19"/>
        </w:rPr>
        <w:t xml:space="preserve">   Jurisdiction: </w:t>
      </w:r>
      <w:r>
        <w:rPr>
          <w:rFonts w:ascii="Arial" w:hAnsi="Arial"/>
          <w:color w:val="3D3D3D"/>
          <w:sz w:val="19"/>
        </w:rPr>
        <w:t>United Kingdom</w:t>
      </w:r>
    </w:p>
    <w:p>
      <w:pPr>
        <w:pStyle w:val="Heading3"/>
      </w:pPr>
      <w:r>
        <w:rPr>
          <w:rFonts w:ascii="Arial" w:hAnsi="Arial"/>
          <w:color w:val="B8963E"/>
          <w:sz w:val="23"/>
        </w:rPr>
        <w:t>Factual Summary</w:t>
      </w:r>
    </w:p>
    <w:p>
      <w:pPr>
        <w:spacing w:before="80" w:after="120"/>
        <w:jc w:val="both"/>
      </w:pPr>
      <w:r>
        <w:rPr>
          <w:rFonts w:ascii="Georgia" w:hAnsi="Georgia"/>
          <w:color w:val="3D3D3D"/>
          <w:sz w:val="22"/>
        </w:rPr>
        <w:t>In August 2020, Ofqual deployed a standardisation algorithm to moderate estimated grades for A-level examinations cancelled due to COVID-19. The algorithm used historical institutional performance data to constrain individual student grades within predicted distributions for each school. Students at schools with historically weaker performance were systematically downgraded regardless of individual performance, with outcomes correlating strongly with socioeconomic status. The government abandoned the algorithm within ten days following widespread protest. Approximately 36% of grades had been downgraded.</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No governance framework required that the deployment of a grade-standardisation algorithm affecting university admissions of hundreds of thousands of students be preceded by adequate transparency about methodology or independent assessment of distributional effects. No contestation mechanism of adequate effectiveness was available before grades were issued.</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The authorisation to deploy the algorithm was not coupled to any protection of the students' interest in understanding and contesting the basis of their grades. Under Provision A1, the right to a comprehensible account is non-waivable. A standardisation score determining university admission is among the most consequential outputs an AI system can generate in a person's educational life.</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Ofqual's deployment applied consistently would permit educational authorities to substitute institutional history for individual performance in all assessment contexts where direct measurement is difficult, systematically advantaging students at historically high-performing institutions regardless of individual merit.</w:t>
      </w:r>
    </w:p>
    <w:p>
      <w:pPr>
        <w:spacing w:before="60" w:after="60"/>
        <w:jc w:val="both"/>
      </w:pPr>
      <w:r>
        <w:rPr>
          <w:rFonts w:ascii="Georgia" w:hAnsi="Georgia"/>
          <w:b/>
          <w:color w:val="1B2A4A"/>
          <w:sz w:val="22"/>
        </w:rPr>
        <w:t xml:space="preserve">Q3 — Reversibility:  </w:t>
      </w:r>
      <w:r>
        <w:rPr>
          <w:rFonts w:ascii="Arial" w:hAnsi="Arial"/>
          <w:b/>
          <w:color w:val="8B6020"/>
          <w:sz w:val="21"/>
        </w:rPr>
        <w:t xml:space="preserve">PARTIAL  </w:t>
      </w:r>
      <w:r>
        <w:rPr>
          <w:rFonts w:ascii="Georgia" w:hAnsi="Georgia"/>
          <w:color w:val="3D3D3D"/>
          <w:sz w:val="21"/>
        </w:rPr>
        <w:t>The reversion to teacher-assessed grades was administratively rapid. However, harm to students who had already declined university places or made other irrevocable decisions based on incorrect grades was not reversible by the administrative correction.</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This failure is particularly significant because the deploying body was a public regulator, attracting heightened responsibility under Part Four, section 4.3. All three questions fail (Q3 partial).</w:t>
      </w:r>
    </w:p>
    <w:p>
      <w:pPr>
        <w:spacing w:before="80" w:after="120"/>
        <w:jc w:val="both"/>
      </w:pPr>
      <w:r>
        <w:rPr>
          <w:rFonts w:ascii="Georgia" w:hAnsi="Georgia"/>
          <w:b/>
          <w:color w:val="1B2A4A"/>
          <w:sz w:val="22"/>
        </w:rPr>
        <w:t xml:space="preserve">LAIF Provisions Engaged:  </w:t>
      </w:r>
      <w:r>
        <w:rPr>
          <w:rFonts w:ascii="Georgia" w:hAnsi="Georgia"/>
          <w:color w:val="3D3D3D"/>
          <w:sz w:val="22"/>
        </w:rPr>
        <w:t>A1 (right to comprehensible account, non-waivable), Integrity Layer 2.1 (structural transparency — distributional effects not disclosed), D1 (irreversible consequences without adequate authorisation), Part Four 4.3 (heightened duties of regulators), Part Seven 7.3 (restoration requirement — administrative correction was incomplete).</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Structurally inadequate. The existing UK framework provided no proactive mechanism to prevent the deployment. The legal challenge that prompted reversal relied on judicial review principles that are corrective rather than preventive.</w:t>
      </w:r>
    </w:p>
    <w:p>
      <w:pPr>
        <w:spacing w:before="160" w:after="80"/>
        <w:pBdr>
          <w:bottom w:val="single" w:sz="4" w:space="1" w:color="DDE2EC"/>
        </w:pBdr>
      </w:pPr>
    </w:p>
    <w:p>
      <w:pPr>
        <w:spacing w:before="200" w:after="0"/>
      </w:pPr>
    </w:p>
    <w:p>
      <w:pPr>
        <w:spacing w:before="160"/>
      </w:pPr>
      <w:r>
        <w:rPr>
          <w:rFonts w:ascii="Arial" w:hAnsi="Arial"/>
          <w:b/>
          <w:color w:val="1B2A4A"/>
          <w:sz w:val="28"/>
        </w:rPr>
        <w:t>Case 5  —  Clearview AI Facial Recognition Database</w:t>
      </w:r>
    </w:p>
    <w:p>
      <w:pPr>
        <w:spacing w:before="40" w:after="120"/>
      </w:pPr>
      <w:r>
        <w:rPr>
          <w:rFonts w:ascii="Arial" w:hAnsi="Arial"/>
          <w:b/>
          <w:color w:val="3D3D3D"/>
          <w:sz w:val="19"/>
        </w:rPr>
        <w:t xml:space="preserve">Sector: </w:t>
      </w:r>
      <w:r>
        <w:rPr>
          <w:rFonts w:ascii="Arial" w:hAnsi="Arial"/>
          <w:color w:val="3D3D3D"/>
          <w:sz w:val="19"/>
        </w:rPr>
        <w:t>Law Enforcement / Surveillance</w:t>
      </w:r>
      <w:r>
        <w:rPr>
          <w:rFonts w:ascii="Arial" w:hAnsi="Arial"/>
          <w:b/>
          <w:color w:val="3D3D3D"/>
          <w:sz w:val="19"/>
        </w:rPr>
        <w:t xml:space="preserve">   Scale: </w:t>
      </w:r>
      <w:r>
        <w:rPr>
          <w:rFonts w:ascii="Arial" w:hAnsi="Arial"/>
          <w:color w:val="3D3D3D"/>
          <w:sz w:val="19"/>
        </w:rPr>
        <w:t>Deployment / Regulation</w:t>
      </w:r>
      <w:r>
        <w:rPr>
          <w:rFonts w:ascii="Arial" w:hAnsi="Arial"/>
          <w:b/>
          <w:color w:val="3D3D3D"/>
          <w:sz w:val="19"/>
        </w:rPr>
        <w:t xml:space="preserve">   Jurisdiction: </w:t>
      </w:r>
      <w:r>
        <w:rPr>
          <w:rFonts w:ascii="Arial" w:hAnsi="Arial"/>
          <w:color w:val="3D3D3D"/>
          <w:sz w:val="19"/>
        </w:rPr>
        <w:t>US, EU, Australia, UK, Canada</w:t>
      </w:r>
    </w:p>
    <w:p>
      <w:pPr>
        <w:pStyle w:val="Heading3"/>
      </w:pPr>
      <w:r>
        <w:rPr>
          <w:rFonts w:ascii="Arial" w:hAnsi="Arial"/>
          <w:color w:val="B8963E"/>
          <w:sz w:val="23"/>
        </w:rPr>
        <w:t>Factual Summary</w:t>
      </w:r>
    </w:p>
    <w:p>
      <w:pPr>
        <w:spacing w:before="80" w:after="120"/>
        <w:jc w:val="both"/>
      </w:pPr>
      <w:r>
        <w:rPr>
          <w:rFonts w:ascii="Georgia" w:hAnsi="Georgia"/>
          <w:color w:val="3D3D3D"/>
          <w:sz w:val="22"/>
        </w:rPr>
        <w:t>Clearview AI built a facial recognition database of approximately 30 billion images scraped from publicly accessible social media platforms and web sources without the knowledge or consent of the persons depicted. The database was licensed to law enforcement agencies in multiple countries. Multiple data protection regulators subsequently found that the collection and use violated applicable data protection law. The database was built, licensed, and used for years before regulatory enforcement actions were completed.</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The collection of biometric data at scale without consent was not prevented by any proactive governance mechanism. Data protection frameworks provided a corrective pathway but not a preventive one: the harm had already been produced before enforcement was complete.</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The claimed authorisation for building the database — that publicly accessible images may be aggregated for any purpose without consent — was not coupled to any protection of the individuals depicted. Under Provision A2, the deployment constitutes a technique affecting persons' situations in ways they have not consented to. Under Provision B3, the aggregation of biometric data enabling identification of any person in public space concentrates informational power in ways that structurally foreclose the ability of individuals to move through public space without identification.</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Clearview AI's database applied consistently would permit any actor with sufficient computational resources to aggregate any publicly accessible information about any person for any purpose, including for commercial sale, political targeting, or extortion — incompatible with any privacy framework treating contextual integrity as a protected interest.</w:t>
      </w:r>
    </w:p>
    <w:p>
      <w:pPr>
        <w:spacing w:before="60" w:after="60"/>
        <w:jc w:val="both"/>
      </w:pPr>
      <w:r>
        <w:rPr>
          <w:rFonts w:ascii="Georgia" w:hAnsi="Georgia"/>
          <w:b/>
          <w:color w:val="1B2A4A"/>
          <w:sz w:val="22"/>
        </w:rPr>
        <w:t xml:space="preserve">Q3 — Reversibility:  </w:t>
      </w:r>
      <w:r>
        <w:rPr>
          <w:rFonts w:ascii="Arial" w:hAnsi="Arial"/>
          <w:b/>
          <w:color w:val="8B2020"/>
          <w:sz w:val="21"/>
        </w:rPr>
        <w:t xml:space="preserve">FAIL  </w:t>
      </w:r>
      <w:r>
        <w:rPr>
          <w:rFonts w:ascii="Georgia" w:hAnsi="Georgia"/>
          <w:color w:val="3D3D3D"/>
          <w:sz w:val="21"/>
        </w:rPr>
        <w:t>Biometric data is not erasable from all systems that have accessed the database once it has been used. Law enforcement identifications may have produced investigative conclusions, charging decisions, or convictions that cannot be reversed. The aggregation produces long-term chilling effects on willingness to participate in public demonstrations that are not reversible by technical means.</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All three questions fail.</w:t>
      </w:r>
    </w:p>
    <w:p>
      <w:pPr>
        <w:spacing w:before="80" w:after="120"/>
        <w:jc w:val="both"/>
      </w:pPr>
      <w:r>
        <w:rPr>
          <w:rFonts w:ascii="Georgia" w:hAnsi="Georgia"/>
          <w:b/>
          <w:color w:val="1B2A4A"/>
          <w:sz w:val="22"/>
        </w:rPr>
        <w:t xml:space="preserve">LAIF Provisions Engaged:  </w:t>
      </w:r>
      <w:r>
        <w:rPr>
          <w:rFonts w:ascii="Georgia" w:hAnsi="Georgia"/>
          <w:color w:val="3D3D3D"/>
          <w:sz w:val="22"/>
        </w:rPr>
        <w:t>A2 (prohibition on techniques affecting persons without knowledge and consent), B3 (prohibition on concentrating informational power), Integrity Layer 2.2 (structural honesty — claimed authorisation not structurally honest about the nature of collection), D1 (irreversible consequences without adequate authorisation), D2 (deployment forecloses future individual choices about public participation).</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The EU AI Act (2024) Article 5 prohibition on untargeted scraping of facial images to build recognition databases would have prohibited the deployment from the outset — one of the clearest instances where the EU Act's enumerated prohibitions and LAIF's structural standard reach the same result by different reasoning. However, existing frameworks were preventively inadequate: the harm had already been produced before enforcement was complete.</w:t>
      </w:r>
    </w:p>
    <w:p>
      <w:pPr>
        <w:spacing w:before="160" w:after="80"/>
        <w:pBdr>
          <w:bottom w:val="single" w:sz="4" w:space="1" w:color="DDE2EC"/>
        </w:pBdr>
      </w:pPr>
    </w:p>
    <w:p>
      <w:pPr>
        <w:spacing w:before="200" w:after="0"/>
      </w:pPr>
    </w:p>
    <w:p>
      <w:pPr>
        <w:spacing w:before="160"/>
      </w:pPr>
      <w:r>
        <w:rPr>
          <w:rFonts w:ascii="Arial" w:hAnsi="Arial"/>
          <w:b/>
          <w:color w:val="1B2A4A"/>
          <w:sz w:val="28"/>
        </w:rPr>
        <w:t>Case 6  —  Dutch TOESLAGEN Childcare Benefits System (2013–2019)</w:t>
      </w:r>
    </w:p>
    <w:p>
      <w:pPr>
        <w:spacing w:before="40" w:after="120"/>
      </w:pPr>
      <w:r>
        <w:rPr>
          <w:rFonts w:ascii="Arial" w:hAnsi="Arial"/>
          <w:b/>
          <w:color w:val="3D3D3D"/>
          <w:sz w:val="19"/>
        </w:rPr>
        <w:t xml:space="preserve">Sector: </w:t>
      </w:r>
      <w:r>
        <w:rPr>
          <w:rFonts w:ascii="Arial" w:hAnsi="Arial"/>
          <w:color w:val="3D3D3D"/>
          <w:sz w:val="19"/>
        </w:rPr>
        <w:t>Public Administration / Welfare</w:t>
      </w:r>
      <w:r>
        <w:rPr>
          <w:rFonts w:ascii="Arial" w:hAnsi="Arial"/>
          <w:b/>
          <w:color w:val="3D3D3D"/>
          <w:sz w:val="19"/>
        </w:rPr>
        <w:t xml:space="preserve">   Scale: </w:t>
      </w:r>
      <w:r>
        <w:rPr>
          <w:rFonts w:ascii="Arial" w:hAnsi="Arial"/>
          <w:color w:val="3D3D3D"/>
          <w:sz w:val="19"/>
        </w:rPr>
        <w:t>Regulatory Instrument</w:t>
      </w:r>
      <w:r>
        <w:rPr>
          <w:rFonts w:ascii="Arial" w:hAnsi="Arial"/>
          <w:b/>
          <w:color w:val="3D3D3D"/>
          <w:sz w:val="19"/>
        </w:rPr>
        <w:t xml:space="preserve">   Jurisdiction: </w:t>
      </w:r>
      <w:r>
        <w:rPr>
          <w:rFonts w:ascii="Arial" w:hAnsi="Arial"/>
          <w:color w:val="3D3D3D"/>
          <w:sz w:val="19"/>
        </w:rPr>
        <w:t>Netherlands</w:t>
      </w:r>
    </w:p>
    <w:p>
      <w:pPr>
        <w:pStyle w:val="Heading3"/>
      </w:pPr>
      <w:r>
        <w:rPr>
          <w:rFonts w:ascii="Arial" w:hAnsi="Arial"/>
          <w:color w:val="B8963E"/>
          <w:sz w:val="23"/>
        </w:rPr>
        <w:t>Factual Summary</w:t>
      </w:r>
    </w:p>
    <w:p>
      <w:pPr>
        <w:spacing w:before="80" w:after="120"/>
        <w:jc w:val="both"/>
      </w:pPr>
      <w:r>
        <w:rPr>
          <w:rFonts w:ascii="Georgia" w:hAnsi="Georgia"/>
          <w:color w:val="3D3D3D"/>
          <w:sz w:val="22"/>
        </w:rPr>
        <w:t>Between 2013 and 2019, the Dutch Tax Authority deployed an automated fraud detection system to screen applications for childcare benefit subsidies. The system generated risk scores based on factors including dual nationality, residence in low-income postcodes, and use of translation services. Families flagged as high-risk were subjected to intensive audits demanding repayment of entire benefit amounts — often tens of thousands of euros — based on minor administrative errors. Approximately 26,000 families were affected, many losing their entire financial stability. The Dutch government fell in 2021 following parliamentary investigation. The European Court of Human Rights subsequently found a violation of the European Convention on Human Rights.</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A public authority deployed an automated risk-scoring system against its own citizens without disclosure, without adequate contestation mechanisms, and with a design that systematically targeted characteristics correlated with ethnicity and immigration status rather than actual fraud indicators.</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The authorisation to use automated risk scoring to select citizens for intensive audit was not coupled to any protection of those citizens' interest in understanding the basis of their selection, contesting the score, or receiving proportionate treatment. Under Provision A1, the right to a comprehensible account is non-waivable. Under Provision B2, the systematic targeting of dual nationals and residents of low-income postcodes on the basis of characteristics correlated with ethnic and immigrant status, without a rational relationship to actual fraud indicators, violates the prohibition on discriminatory AI deployment.</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the Dutch Tax Authority's deployment applied consistently would permit any government agency to administer any enforcement or benefit programme through undisclosed algorithmic selection without contestation rights — eliminating the due process protections that democratic governance is constitutionally committed to providing.</w:t>
      </w:r>
    </w:p>
    <w:p>
      <w:pPr>
        <w:spacing w:before="60" w:after="60"/>
        <w:jc w:val="both"/>
      </w:pPr>
      <w:r>
        <w:rPr>
          <w:rFonts w:ascii="Georgia" w:hAnsi="Georgia"/>
          <w:b/>
          <w:color w:val="1B2A4A"/>
          <w:sz w:val="22"/>
        </w:rPr>
        <w:t xml:space="preserve">Q3 — Reversibility:  </w:t>
      </w:r>
      <w:r>
        <w:rPr>
          <w:rFonts w:ascii="Arial" w:hAnsi="Arial"/>
          <w:b/>
          <w:color w:val="8B2020"/>
          <w:sz w:val="21"/>
        </w:rPr>
        <w:t xml:space="preserve">FAIL  </w:t>
      </w:r>
      <w:r>
        <w:rPr>
          <w:rFonts w:ascii="Georgia" w:hAnsi="Georgia"/>
          <w:color w:val="3D3D3D"/>
          <w:sz w:val="21"/>
        </w:rPr>
        <w:t>The financial devastation of 26,000 families — including bankruptcies, home losses, family breakdowns, and mental health crises documented in parliamentary testimony — is not reversible by subsequent compensation payments, which have been made only partially and after years of administrative process. The harm to the constitutional relationship between citizens and the Dutch state represents an irreversible change in institutional trust that compensation cannot remedy.</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This case represents the highest-severity structural violation in this analysis: a government authority deployed AI against its own citizens in ways that violated the bilateral covenant obligations of Part Four, the self-application requirement of Part Seven, and Provision D2. All three questions fail.</w:t>
      </w:r>
    </w:p>
    <w:p>
      <w:pPr>
        <w:spacing w:before="80" w:after="120"/>
        <w:jc w:val="both"/>
      </w:pPr>
      <w:r>
        <w:rPr>
          <w:rFonts w:ascii="Georgia" w:hAnsi="Georgia"/>
          <w:b/>
          <w:color w:val="1B2A4A"/>
          <w:sz w:val="22"/>
        </w:rPr>
        <w:t xml:space="preserve">LAIF Provisions Engaged:  </w:t>
      </w:r>
      <w:r>
        <w:rPr>
          <w:rFonts w:ascii="Georgia" w:hAnsi="Georgia"/>
          <w:color w:val="3D3D3D"/>
          <w:sz w:val="22"/>
        </w:rPr>
        <w:t>A1, B2, C3, Integrity Layer 2.1 and 2.2, D1, D2, Part Four 4.3 (heightened duties of regulators), Part Four 4.5 (obligations toward future generations — harm transmitted to children of affected families), Part Seven 7.3 and 7.4.</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The existing Dutch administrative law framework was structurally inadequate and was used as an instrument of harm rather than a protection against it. The subsequent ECHR finding and Dutch Parliamentary investigation provide corrective accountability but no remedy proportionate to the harm. This case is among the strongest empirical arguments for the LAIF requirement that government regulators be subject to the same Coherence Test as the actors they regulate.</w:t>
      </w:r>
    </w:p>
    <w:p>
      <w:pPr>
        <w:spacing w:before="160" w:after="80"/>
        <w:pBdr>
          <w:bottom w:val="single" w:sz="4" w:space="1" w:color="DDE2EC"/>
        </w:pBdr>
      </w:pPr>
    </w:p>
    <w:p>
      <w:pPr>
        <w:spacing w:before="200" w:after="0"/>
      </w:pPr>
    </w:p>
    <w:p>
      <w:pPr>
        <w:spacing w:before="160"/>
      </w:pPr>
      <w:r>
        <w:rPr>
          <w:rFonts w:ascii="Arial" w:hAnsi="Arial"/>
          <w:b/>
          <w:color w:val="1B2A4A"/>
          <w:sz w:val="28"/>
        </w:rPr>
        <w:t>Case 7  —  Large Language Models in Clinical Contexts (2023–2025)</w:t>
      </w:r>
    </w:p>
    <w:p>
      <w:pPr>
        <w:spacing w:before="40" w:after="120"/>
      </w:pPr>
      <w:r>
        <w:rPr>
          <w:rFonts w:ascii="Arial" w:hAnsi="Arial"/>
          <w:b/>
          <w:color w:val="3D3D3D"/>
          <w:sz w:val="19"/>
        </w:rPr>
        <w:t xml:space="preserve">Sector: </w:t>
      </w:r>
      <w:r>
        <w:rPr>
          <w:rFonts w:ascii="Arial" w:hAnsi="Arial"/>
          <w:color w:val="3D3D3D"/>
          <w:sz w:val="19"/>
        </w:rPr>
        <w:t>Healthcare / AI Development</w:t>
      </w:r>
      <w:r>
        <w:rPr>
          <w:rFonts w:ascii="Arial" w:hAnsi="Arial"/>
          <w:b/>
          <w:color w:val="3D3D3D"/>
          <w:sz w:val="19"/>
        </w:rPr>
        <w:t xml:space="preserve">   Scale: </w:t>
      </w:r>
      <w:r>
        <w:rPr>
          <w:rFonts w:ascii="Arial" w:hAnsi="Arial"/>
          <w:color w:val="3D3D3D"/>
          <w:sz w:val="19"/>
        </w:rPr>
        <w:t>Deployment Decision</w:t>
      </w:r>
      <w:r>
        <w:rPr>
          <w:rFonts w:ascii="Arial" w:hAnsi="Arial"/>
          <w:b/>
          <w:color w:val="3D3D3D"/>
          <w:sz w:val="19"/>
        </w:rPr>
        <w:t xml:space="preserve">   Jurisdiction: </w:t>
      </w:r>
      <w:r>
        <w:rPr>
          <w:rFonts w:ascii="Arial" w:hAnsi="Arial"/>
          <w:color w:val="3D3D3D"/>
          <w:sz w:val="19"/>
        </w:rPr>
        <w:t>Global</w:t>
      </w:r>
    </w:p>
    <w:p>
      <w:pPr>
        <w:pStyle w:val="Heading3"/>
      </w:pPr>
      <w:r>
        <w:rPr>
          <w:rFonts w:ascii="Arial" w:hAnsi="Arial"/>
          <w:color w:val="B8963E"/>
          <w:sz w:val="23"/>
        </w:rPr>
        <w:t>Factual Summary</w:t>
      </w:r>
    </w:p>
    <w:p>
      <w:pPr>
        <w:spacing w:before="80" w:after="120"/>
        <w:jc w:val="both"/>
      </w:pPr>
      <w:r>
        <w:rPr>
          <w:rFonts w:ascii="Georgia" w:hAnsi="Georgia"/>
          <w:color w:val="3D3D3D"/>
          <w:sz w:val="22"/>
        </w:rPr>
        <w:t>Following the public release of GPT-4 in March 2023, multiple healthcare providers, clinical software vendors, and practitioners deployed large language model systems in clinical contexts — including diagnostic support, clinical note generation, patient triage, and patient-facing symptom assessment — often without formal validation required for regulated medical devices. Systems presented in clinical interfaces without consistent disclosure to patients that AI was generating clinical outputs. Multiple documented cases of clinical error attributable to LLM hallucination in clinical contexts were reported in the peer-reviewed literature between 2023 and 2025.</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The applicable regulatory frameworks — FDA guidance in the US, CE marking in the EU — were designed for narrower, more deterministic clinical software and did not adequately address general-purpose language models deployed in clinical contexts. No framework required disclosure to patients that AI was involved in clinical output generation, or pre-deployment validation against clinical safety standards.</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The deployment authorisation — available to any operator with API access — was not coupled to any protection of the patient's interest in knowing that AI was generating clinical outputs they would rely upon for health decisions. Under Provision A1, the right to a comprehensible account is non-waivable. A clinical output influencing a treatment decision is among the most consequential outputs an AI system can generate. Under Integrity Layer 2.1, structural transparency requires that material limitations — including hallucination properties in clinical contexts — be disclosed to patients who will rely on outputs.</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general-purpose LLM deployment in clinical contexts — that API access constitutes sufficient authorisation for any use case — applied consistently would permit deployment of general-purpose language models in any safety-critical context without pre-deployment validation or disclosure, eliminating the safety validation requirements that exist in every other domain of safety-critical system deployment.</w:t>
      </w:r>
    </w:p>
    <w:p>
      <w:pPr>
        <w:spacing w:before="60" w:after="60"/>
        <w:jc w:val="both"/>
      </w:pPr>
      <w:r>
        <w:rPr>
          <w:rFonts w:ascii="Georgia" w:hAnsi="Georgia"/>
          <w:b/>
          <w:color w:val="1B2A4A"/>
          <w:sz w:val="22"/>
        </w:rPr>
        <w:t xml:space="preserve">Q3 — Reversibility:  </w:t>
      </w:r>
      <w:r>
        <w:rPr>
          <w:rFonts w:ascii="Arial" w:hAnsi="Arial"/>
          <w:b/>
          <w:color w:val="8B6020"/>
          <w:sz w:val="21"/>
        </w:rPr>
        <w:t xml:space="preserve">PARTIAL  </w:t>
      </w:r>
      <w:r>
        <w:rPr>
          <w:rFonts w:ascii="Georgia" w:hAnsi="Georgia"/>
          <w:color w:val="3D3D3D"/>
          <w:sz w:val="21"/>
        </w:rPr>
        <w:t>Clinical errors attributable to AI hallucination may produce consequences — misdiagnoses, delayed treatment, inappropriate prescriptions — whose effects on individual patient health are not reversible. The deployment pattern also normalised LLM use in ways that made the imposition of ex-post validation requirements politically and commercially resistant.</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Operators who integrated LLMs into clinical workflows without validation or disclosure are in structural violation. Regulatory bodies that did not extend existing medical device frameworks to cover LLM deployment in clinical contexts are in structural violation of Part Four, section 4.3. All three questions fail (Q3 partial).</w:t>
      </w:r>
    </w:p>
    <w:p>
      <w:pPr>
        <w:spacing w:before="80" w:after="120"/>
        <w:jc w:val="both"/>
      </w:pPr>
      <w:r>
        <w:rPr>
          <w:rFonts w:ascii="Georgia" w:hAnsi="Georgia"/>
          <w:b/>
          <w:color w:val="1B2A4A"/>
          <w:sz w:val="22"/>
        </w:rPr>
        <w:t xml:space="preserve">LAIF Provisions Engaged:  </w:t>
      </w:r>
      <w:r>
        <w:rPr>
          <w:rFonts w:ascii="Georgia" w:hAnsi="Georgia"/>
          <w:color w:val="3D3D3D"/>
          <w:sz w:val="22"/>
        </w:rPr>
        <w:t>A1, A2 (undisclosed techniques affecting health decisions), Integrity Layer 2.1 (structural transparency), C3 (deployment against patient interests where commercial objectives drove deployment without adequate safety validation), D1 (clinical consequences may be irreversible).</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FDA Digital Health Center of Excellence guidance and EU MDR/IVDR frameworks were both structurally inadequate to address rapid general-purpose LLM deployment in clinical contexts. The EU AI Act's classification of AI systems used in medical diagnosis as high-risk represents a significant improvement, but maintains disclosure and validation requirements less stringent than LAIF's non-waivable A1 entitlement and Integrity Layer requirements.</w:t>
      </w:r>
    </w:p>
    <w:p>
      <w:pPr>
        <w:spacing w:before="160" w:after="80"/>
        <w:pBdr>
          <w:bottom w:val="single" w:sz="4" w:space="1" w:color="DDE2EC"/>
        </w:pBdr>
      </w:pPr>
    </w:p>
    <w:p>
      <w:pPr>
        <w:spacing w:before="200" w:after="0"/>
      </w:pPr>
    </w:p>
    <w:p>
      <w:pPr>
        <w:spacing w:before="160"/>
      </w:pPr>
      <w:r>
        <w:rPr>
          <w:rFonts w:ascii="Arial" w:hAnsi="Arial"/>
          <w:b/>
          <w:color w:val="1B2A4A"/>
          <w:sz w:val="28"/>
        </w:rPr>
        <w:t>Case 8  —  Uber Platform Labour Governance</w:t>
      </w:r>
    </w:p>
    <w:p>
      <w:pPr>
        <w:spacing w:before="40" w:after="120"/>
      </w:pPr>
      <w:r>
        <w:rPr>
          <w:rFonts w:ascii="Arial" w:hAnsi="Arial"/>
          <w:b/>
          <w:color w:val="3D3D3D"/>
          <w:sz w:val="19"/>
        </w:rPr>
        <w:t xml:space="preserve">Sector: </w:t>
      </w:r>
      <w:r>
        <w:rPr>
          <w:rFonts w:ascii="Arial" w:hAnsi="Arial"/>
          <w:color w:val="3D3D3D"/>
          <w:sz w:val="19"/>
        </w:rPr>
        <w:t>Platform Economy / Labour</w:t>
      </w:r>
      <w:r>
        <w:rPr>
          <w:rFonts w:ascii="Arial" w:hAnsi="Arial"/>
          <w:b/>
          <w:color w:val="3D3D3D"/>
          <w:sz w:val="19"/>
        </w:rPr>
        <w:t xml:space="preserve">   Scale: </w:t>
      </w:r>
      <w:r>
        <w:rPr>
          <w:rFonts w:ascii="Arial" w:hAnsi="Arial"/>
          <w:color w:val="3D3D3D"/>
          <w:sz w:val="19"/>
        </w:rPr>
        <w:t>Deployment Decision</w:t>
      </w:r>
      <w:r>
        <w:rPr>
          <w:rFonts w:ascii="Arial" w:hAnsi="Arial"/>
          <w:b/>
          <w:color w:val="3D3D3D"/>
          <w:sz w:val="19"/>
        </w:rPr>
        <w:t xml:space="preserve">   Jurisdiction: </w:t>
      </w:r>
      <w:r>
        <w:rPr>
          <w:rFonts w:ascii="Arial" w:hAnsi="Arial"/>
          <w:color w:val="3D3D3D"/>
          <w:sz w:val="19"/>
        </w:rPr>
        <w:t>US, EU, UK, Australia</w:t>
      </w:r>
    </w:p>
    <w:p>
      <w:pPr>
        <w:pStyle w:val="Heading3"/>
      </w:pPr>
      <w:r>
        <w:rPr>
          <w:rFonts w:ascii="Arial" w:hAnsi="Arial"/>
          <w:color w:val="B8963E"/>
          <w:sz w:val="23"/>
        </w:rPr>
        <w:t>Factual Summary</w:t>
      </w:r>
    </w:p>
    <w:p>
      <w:pPr>
        <w:spacing w:before="80" w:after="120"/>
        <w:jc w:val="both"/>
      </w:pPr>
      <w:r>
        <w:rPr>
          <w:rFonts w:ascii="Georgia" w:hAnsi="Georgia"/>
          <w:color w:val="3D3D3D"/>
          <w:sz w:val="22"/>
        </w:rPr>
        <w:t>Uber's algorithmic platform governs the working conditions of drivers through automated systems determining pricing, work allocation, deactivation, and performance scoring. Drivers are not informed of the full set of factors determining their performance scores or likelihood of receiving work assignments. Deactivation — constituting effective termination — is frequently automated without prior warning or meaningful contestation. Internal documentation obtained in regulatory proceedings has demonstrated that the surge pricing algorithm incorporates psychological pricing techniques designed to maximise extraction from passengers in contexts of urgency. Multiple jurisdictions have found Uber's driver classification practices to misrepresent employment status, removing entitlement to labour protections.</w:t>
      </w:r>
    </w:p>
    <w:p>
      <w:pPr>
        <w:pStyle w:val="Heading3"/>
      </w:pPr>
      <w:r>
        <w:rPr>
          <w:rFonts w:ascii="Arial" w:hAnsi="Arial"/>
          <w:color w:val="B8963E"/>
          <w:sz w:val="23"/>
        </w:rPr>
        <w:t>Governance Failure</w:t>
      </w:r>
    </w:p>
    <w:p>
      <w:pPr>
        <w:spacing w:before="80" w:after="120"/>
        <w:jc w:val="both"/>
      </w:pPr>
      <w:r>
        <w:rPr>
          <w:rFonts w:ascii="Georgia" w:hAnsi="Georgia"/>
          <w:color w:val="3D3D3D"/>
          <w:sz w:val="22"/>
        </w:rPr>
        <w:t>Platform labour governance frameworks had not been developed to address employment relationships conducted entirely through automated systems. The misclassification of drivers as independent contractors meant employment law protections did not apply. No framework required disclosure to drivers of the factors governing their performance scores or their risk of automated deactivation, nor required disclosure to passengers of psychological pricing techniques.</w:t>
      </w:r>
    </w:p>
    <w:p>
      <w:pPr>
        <w:pStyle w:val="Heading3"/>
      </w:pPr>
      <w:r>
        <w:rPr>
          <w:rFonts w:ascii="Arial" w:hAnsi="Arial"/>
          <w:color w:val="B8963E"/>
          <w:sz w:val="23"/>
        </w:rPr>
        <w:t>Coherence Test Application</w:t>
      </w:r>
    </w:p>
    <w:p>
      <w:pPr>
        <w:spacing w:before="60" w:after="60"/>
        <w:jc w:val="both"/>
      </w:pPr>
      <w:r>
        <w:rPr>
          <w:rFonts w:ascii="Georgia" w:hAnsi="Georgia"/>
          <w:b/>
          <w:color w:val="1B2A4A"/>
          <w:sz w:val="22"/>
        </w:rPr>
        <w:t xml:space="preserve">Q1 — Coupling:  </w:t>
      </w:r>
      <w:r>
        <w:rPr>
          <w:rFonts w:ascii="Arial" w:hAnsi="Arial"/>
          <w:b/>
          <w:color w:val="8B2020"/>
          <w:sz w:val="21"/>
        </w:rPr>
        <w:t xml:space="preserve">FAIL  </w:t>
      </w:r>
      <w:r>
        <w:rPr>
          <w:rFonts w:ascii="Georgia" w:hAnsi="Georgia"/>
          <w:color w:val="3D3D3D"/>
          <w:sz w:val="21"/>
        </w:rPr>
        <w:t>The authorisation to govern driver working conditions through automated scoring and deactivation was not coupled to any protection of the drivers' interest in understanding the factors determining their scores, contesting deactivation decisions, or receiving notice before automated termination of their livelihood. The deployment of psychological pricing techniques without disclosure to passengers fails Provision A2's prohibition on manipulative techniques. The misclassification of drivers to remove access to labour protections falls within Provision C3's prohibition on configuring systems against the interests of those the system serves.</w:t>
      </w:r>
    </w:p>
    <w:p>
      <w:pPr>
        <w:spacing w:before="60" w:after="60"/>
        <w:jc w:val="both"/>
      </w:pPr>
      <w:r>
        <w:rPr>
          <w:rFonts w:ascii="Georgia" w:hAnsi="Georgia"/>
          <w:b/>
          <w:color w:val="1B2A4A"/>
          <w:sz w:val="22"/>
        </w:rPr>
        <w:t xml:space="preserve">Q2 — Consistency:  </w:t>
      </w:r>
      <w:r>
        <w:rPr>
          <w:rFonts w:ascii="Arial" w:hAnsi="Arial"/>
          <w:b/>
          <w:color w:val="8B2020"/>
          <w:sz w:val="21"/>
        </w:rPr>
        <w:t xml:space="preserve">FAIL  </w:t>
      </w:r>
      <w:r>
        <w:rPr>
          <w:rFonts w:ascii="Georgia" w:hAnsi="Georgia"/>
          <w:color w:val="3D3D3D"/>
          <w:sz w:val="21"/>
        </w:rPr>
        <w:t>The reasoning permitting Uber's platform design applied consistently would permit any platform operator to subject any worker to any automated governance system without transparency, contestation, or labour protections through the mechanism of classification — eliminating the practical force of employment protection across the platform economy.</w:t>
      </w:r>
    </w:p>
    <w:p>
      <w:pPr>
        <w:spacing w:before="60" w:after="60"/>
        <w:jc w:val="both"/>
      </w:pPr>
      <w:r>
        <w:rPr>
          <w:rFonts w:ascii="Georgia" w:hAnsi="Georgia"/>
          <w:b/>
          <w:color w:val="1B2A4A"/>
          <w:sz w:val="22"/>
        </w:rPr>
        <w:t xml:space="preserve">Q3 — Reversibility:  </w:t>
      </w:r>
      <w:r>
        <w:rPr>
          <w:rFonts w:ascii="Arial" w:hAnsi="Arial"/>
          <w:b/>
          <w:color w:val="8B2020"/>
          <w:sz w:val="21"/>
        </w:rPr>
        <w:t xml:space="preserve">FAIL  </w:t>
      </w:r>
      <w:r>
        <w:rPr>
          <w:rFonts w:ascii="Georgia" w:hAnsi="Georgia"/>
          <w:color w:val="3D3D3D"/>
          <w:sz w:val="21"/>
        </w:rPr>
        <w:t>Drivers deactivated without explanation or contestation suffered financial consequences that are not fully reversible. The structural entrenchment of platform labour models without adequate governance, replicated across multiple operators globally, has produced changes in labour market structure and worker bargaining position that are not readily reversible by subsequent regulation.</w:t>
      </w:r>
    </w:p>
    <w:p>
      <w:pPr>
        <w:spacing w:before="80" w:after="120"/>
        <w:jc w:val="both"/>
      </w:pPr>
      <w:r>
        <w:rPr>
          <w:rFonts w:ascii="Georgia" w:hAnsi="Georgia"/>
          <w:b/>
          <w:color w:val="1B2A4A"/>
          <w:sz w:val="22"/>
        </w:rPr>
        <w:t xml:space="preserve">Structural Verdict:  </w:t>
      </w:r>
      <w:r>
        <w:rPr>
          <w:rFonts w:ascii="Georgia" w:hAnsi="Georgia"/>
          <w:color w:val="3D3D3D"/>
          <w:sz w:val="22"/>
        </w:rPr>
        <w:t>Coherence Test flags structural incoherence at the decision point. This case is particularly significant for demonstrating how Provision C3 — the prohibition on configuring AI systems against the interests of those they serve — applies to platform labour contexts. All three questions fail.</w:t>
      </w:r>
    </w:p>
    <w:p>
      <w:pPr>
        <w:spacing w:before="80" w:after="120"/>
        <w:jc w:val="both"/>
      </w:pPr>
      <w:r>
        <w:rPr>
          <w:rFonts w:ascii="Georgia" w:hAnsi="Georgia"/>
          <w:b/>
          <w:color w:val="1B2A4A"/>
          <w:sz w:val="22"/>
        </w:rPr>
        <w:t xml:space="preserve">LAIF Provisions Engaged:  </w:t>
      </w:r>
      <w:r>
        <w:rPr>
          <w:rFonts w:ascii="Georgia" w:hAnsi="Georgia"/>
          <w:color w:val="3D3D3D"/>
          <w:sz w:val="22"/>
        </w:rPr>
        <w:t>A1 (drivers' right to comprehensible account of scoring factors), A2 (prohibition on manipulative techniques in passenger pricing), B3 (concentration of informational and economic power over drivers), C3 (configuration against driver interests), D2 (entrenched platform governance structures that foreclose future regulatory revision).</w:t>
      </w:r>
    </w:p>
    <w:p>
      <w:pPr>
        <w:spacing w:before="80" w:after="120"/>
        <w:jc w:val="both"/>
      </w:pPr>
      <w:r>
        <w:rPr>
          <w:rFonts w:ascii="Georgia" w:hAnsi="Georgia"/>
          <w:b/>
          <w:color w:val="1B2A4A"/>
          <w:sz w:val="22"/>
        </w:rPr>
        <w:t xml:space="preserve">Adequacy of Existing Governance:  </w:t>
      </w:r>
      <w:r>
        <w:rPr>
          <w:rFonts w:ascii="Georgia" w:hAnsi="Georgia"/>
          <w:color w:val="3D3D3D"/>
          <w:sz w:val="22"/>
        </w:rPr>
        <w:t>Labour law frameworks were structurally inadequate because their application was conditional on employment classification that the platform design circumvented. The EU Platform Work Directive (2024), establishing a legal presumption of employment for platform workers in certain conditions, represents a significant structural improvement. Together with the EU AI Act's high-risk classification of AI systems used in employment, these represent a partial satisfaction of the LAIF standard, though the psychological pricing disclosure and the non-waivable contestation right under A1 remain unaddressed.</w:t>
      </w:r>
    </w:p>
    <w:p>
      <w:pPr>
        <w:spacing w:before="160" w:after="80"/>
        <w:pBdr>
          <w:bottom w:val="single" w:sz="4" w:space="1" w:color="DDE2EC"/>
        </w:pBdr>
      </w:pPr>
    </w:p>
    <w:p>
      <w:r>
        <w:br w:type="page"/>
      </w:r>
    </w:p>
    <w:p>
      <w:pPr>
        <w:pStyle w:val="Heading1"/>
      </w:pPr>
      <w:r>
        <w:rPr>
          <w:rFonts w:ascii="Arial" w:hAnsi="Arial"/>
          <w:color w:val="1B2A4A"/>
          <w:sz w:val="36"/>
        </w:rPr>
        <w:t>CROSS-CASE FINDINGS</w:t>
      </w:r>
    </w:p>
    <w:p>
      <w:pPr>
        <w:spacing w:before="160" w:after="160"/>
        <w:pBdr>
          <w:bottom w:val="single" w:sz="12" w:space="1" w:color="B8963E"/>
        </w:pBdr>
      </w:pPr>
    </w:p>
    <w:p>
      <w:pPr>
        <w:spacing w:before="160" w:after="0"/>
      </w:pPr>
    </w:p>
    <w:p>
      <w:pPr>
        <w:spacing w:before="80" w:after="120"/>
        <w:jc w:val="both"/>
      </w:pPr>
      <w:r>
        <w:rPr>
          <w:rFonts w:ascii="Georgia" w:hAnsi="Georgia"/>
          <w:b/>
          <w:color w:val="1B2A4A"/>
          <w:sz w:val="22"/>
        </w:rPr>
        <w:t xml:space="preserve">Finding 1 — The Coherence Test Flags Structural Incoherence at the Decision Point  </w:t>
      </w:r>
      <w:r>
        <w:rPr>
          <w:rFonts w:ascii="Georgia" w:hAnsi="Georgia"/>
          <w:color w:val="3D3D3D"/>
          <w:sz w:val="22"/>
        </w:rPr>
        <w:t>In all eight cases, application of the Coherence Test at the point of the relevant deployment or policy decision would have identified a structural problem requiring redesign before deployment proceeded. This is the precise and defensible claim: not that LAIF would have prevented the harm — governance tools improve decision quality under uncertainty but do not mechanically prevent outcomes — but that the Coherence Test surfaces structural problems at the stage where they can be addressed, rather than after enforcement is required.</w:t>
      </w:r>
    </w:p>
    <w:p>
      <w:pPr>
        <w:spacing w:before="80" w:after="0"/>
      </w:pPr>
    </w:p>
    <w:p>
      <w:pPr>
        <w:spacing w:before="80" w:after="120"/>
        <w:jc w:val="both"/>
      </w:pPr>
      <w:r>
        <w:rPr>
          <w:rFonts w:ascii="Georgia" w:hAnsi="Georgia"/>
          <w:b/>
          <w:color w:val="1B2A4A"/>
          <w:sz w:val="22"/>
        </w:rPr>
        <w:t xml:space="preserve">Finding 2 — The Coupling Failure Is Universal  </w:t>
      </w:r>
      <w:r>
        <w:rPr>
          <w:rFonts w:ascii="Georgia" w:hAnsi="Georgia"/>
          <w:color w:val="3D3D3D"/>
          <w:sz w:val="22"/>
        </w:rPr>
        <w:t>Every case fails the coupling question. In each, the deployment or regulatory authorisation that enabled the harm was not coupled to a protection of equivalent normative force for the specific human interest at stake. This reflects a systematic pattern in AI governance: deployments and authorisations are developed and approved in terms of the capabilities they enable, without commensurate development of the protections that enabling those capabilities entails. The pattern is present across commercial operators, public authorities, and regulatory frameworks — confirming that the coupling failure is structural rather than attributable to individual actors' failures of judgment.</w:t>
      </w:r>
    </w:p>
    <w:p>
      <w:pPr>
        <w:spacing w:before="80" w:after="0"/>
      </w:pPr>
    </w:p>
    <w:p>
      <w:pPr>
        <w:spacing w:before="80" w:after="120"/>
        <w:jc w:val="both"/>
      </w:pPr>
      <w:r>
        <w:rPr>
          <w:rFonts w:ascii="Georgia" w:hAnsi="Georgia"/>
          <w:b/>
          <w:color w:val="1B2A4A"/>
          <w:sz w:val="22"/>
        </w:rPr>
        <w:t xml:space="preserve">Finding 3 — The Consistency Failure Reveals Selective Governance Logic  </w:t>
      </w:r>
      <w:r>
        <w:rPr>
          <w:rFonts w:ascii="Georgia" w:hAnsi="Georgia"/>
          <w:color w:val="3D3D3D"/>
          <w:sz w:val="22"/>
        </w:rPr>
        <w:t>Every case fails the consistency question. In each, the reasoning that justified the AI deployment or regulatory instrument could not be applied consistently across comparable contexts without producing results that the same legal and governance systems explicitly rejected. The consistency question reveals that governance logic applied to AI contexts is being applied selectively — reflecting the structural difficulty of applying consistent principles to a rapidly evolving domain where each new deployment context appears sufficiently novel to justify treating it as a special case.</w:t>
      </w:r>
    </w:p>
    <w:p>
      <w:pPr>
        <w:spacing w:before="80" w:after="0"/>
      </w:pPr>
    </w:p>
    <w:p>
      <w:pPr>
        <w:spacing w:before="80" w:after="120"/>
        <w:jc w:val="both"/>
      </w:pPr>
      <w:r>
        <w:rPr>
          <w:rFonts w:ascii="Georgia" w:hAnsi="Georgia"/>
          <w:b/>
          <w:color w:val="1B2A4A"/>
          <w:sz w:val="22"/>
        </w:rPr>
        <w:t xml:space="preserve">Finding 4 — Reversibility Failures Are Systemic  </w:t>
      </w:r>
      <w:r>
        <w:rPr>
          <w:rFonts w:ascii="Georgia" w:hAnsi="Georgia"/>
          <w:color w:val="3D3D3D"/>
          <w:sz w:val="22"/>
        </w:rPr>
        <w:t>Every case produces some degree of irreversible harm. In several cases — the Dutch childcare scandal, COMPAS sentencing, Facebook information environment — the irreversibility is structural rather than merely individual, affecting institutions and political environments in ways that cannot be undone by subsequent corrective action. Reversibility must be assessed as a design requirement before deployment, not as an accountability question after harm.</w:t>
      </w:r>
    </w:p>
    <w:p>
      <w:pPr>
        <w:spacing w:before="80" w:after="0"/>
      </w:pPr>
    </w:p>
    <w:p>
      <w:pPr>
        <w:spacing w:before="80" w:after="120"/>
        <w:jc w:val="both"/>
      </w:pPr>
      <w:r>
        <w:rPr>
          <w:rFonts w:ascii="Georgia" w:hAnsi="Georgia"/>
          <w:b/>
          <w:color w:val="1B2A4A"/>
          <w:sz w:val="22"/>
        </w:rPr>
        <w:t xml:space="preserve">Finding 5 — Existing Frameworks Are Corrective Rather Than Preventive  </w:t>
      </w:r>
      <w:r>
        <w:rPr>
          <w:rFonts w:ascii="Georgia" w:hAnsi="Georgia"/>
          <w:color w:val="3D3D3D"/>
          <w:sz w:val="22"/>
        </w:rPr>
        <w:t>In every case, existing governance frameworks provided corrective mechanisms that operated after the harm had materialised. In most cases, the corrective mechanism was inadequate to restore the structural condition that the violation degraded. This confirms the diagnosis in the LAIF preamble: existing frameworks are built around enumerated rules and corrective enforcement rather than structural standards that identify incoherence at the design stage.</w:t>
      </w:r>
    </w:p>
    <w:p>
      <w:pPr>
        <w:spacing w:before="80" w:after="0"/>
      </w:pPr>
    </w:p>
    <w:p>
      <w:pPr>
        <w:spacing w:before="80" w:after="120"/>
        <w:jc w:val="both"/>
      </w:pPr>
      <w:r>
        <w:rPr>
          <w:rFonts w:ascii="Georgia" w:hAnsi="Georgia"/>
          <w:b/>
          <w:color w:val="1B2A4A"/>
          <w:sz w:val="22"/>
        </w:rPr>
        <w:t xml:space="preserve">Finding 6 — Regulatory Bodies Are Not Self-Exempt in Practice  </w:t>
      </w:r>
      <w:r>
        <w:rPr>
          <w:rFonts w:ascii="Georgia" w:hAnsi="Georgia"/>
          <w:color w:val="3D3D3D"/>
          <w:sz w:val="22"/>
        </w:rPr>
        <w:t>Cases 4 (UK exam algorithm), 6 (Dutch childcare), and 7 (clinical LLMs) each involve public regulatory bodies whose conduct fails the same Coherence Test that, under LAIF, they would be obliged to apply to the actors they regulate. This confirms the importance of LAIF's self-application requirement: governance frameworks that exempt regulatory actors from the standards they impose on others are structurally incoherent by their own terms.</w:t>
      </w:r>
    </w:p>
    <w:p>
      <w:pPr>
        <w:spacing w:before="80" w:after="0"/>
      </w:pPr>
    </w:p>
    <w:p>
      <w:pPr>
        <w:spacing w:before="80" w:after="120"/>
        <w:jc w:val="both"/>
      </w:pPr>
      <w:r>
        <w:rPr>
          <w:rFonts w:ascii="Georgia" w:hAnsi="Georgia"/>
          <w:b/>
          <w:color w:val="1B2A4A"/>
          <w:sz w:val="22"/>
        </w:rPr>
        <w:t xml:space="preserve">Finding 7 — EU AI Act Convergence Is Partial  </w:t>
      </w:r>
      <w:r>
        <w:rPr>
          <w:rFonts w:ascii="Georgia" w:hAnsi="Georgia"/>
          <w:color w:val="3D3D3D"/>
          <w:sz w:val="22"/>
        </w:rPr>
        <w:t>In several cases — particularly Clearview AI and COMPAS — the EU AI Act's subsequent regulatory response reaches the same structural result as the Coherence Test but through enumerated prohibition rather than structural principle. This validates that the Coherence Test identifies genuine structural incoherence, but it also illustrates the limitation of enumerated prohibition: the Act's Article 5 prohibitions address specific practices but do not provide the structural reasoning that would generate comparable results for novel practices not yet enumerated.</w:t>
      </w:r>
    </w:p>
    <w:p>
      <w:pPr>
        <w:spacing w:before="80" w:after="0"/>
      </w:pPr>
    </w:p>
    <w:p>
      <w:pPr>
        <w:spacing w:before="200" w:after="0"/>
      </w:pPr>
    </w:p>
    <w:p>
      <w:pPr>
        <w:pStyle w:val="Heading2"/>
      </w:pPr>
      <w:r>
        <w:rPr>
          <w:rFonts w:ascii="Arial" w:hAnsi="Arial"/>
          <w:color w:val="1B2A4A"/>
          <w:sz w:val="28"/>
        </w:rPr>
        <w:t>Summary Table</w:t>
      </w:r>
    </w:p>
    <w:p>
      <w:pPr>
        <w:spacing w:before="120" w:after="0"/>
      </w:pP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B2A4A"/>
          </w:tcPr>
          <w:p>
            <w:r>
              <w:rPr>
                <w:rFonts w:ascii="Arial" w:hAnsi="Arial"/>
                <w:b/>
                <w:color w:val="FFFFFF"/>
                <w:sz w:val="19"/>
              </w:rPr>
              <w:t>Case</w:t>
            </w:r>
          </w:p>
        </w:tc>
        <w:tc>
          <w:tcPr>
            <w:tcW w:type="dxa" w:w="1930"/>
            <w:shd w:val="clear" w:color="auto" w:fill="1B2A4A"/>
          </w:tcPr>
          <w:p>
            <w:r>
              <w:rPr>
                <w:rFonts w:ascii="Arial" w:hAnsi="Arial"/>
                <w:b/>
                <w:color w:val="FFFFFF"/>
                <w:sz w:val="19"/>
              </w:rPr>
              <w:t>Q1 Coupling</w:t>
            </w:r>
          </w:p>
        </w:tc>
        <w:tc>
          <w:tcPr>
            <w:tcW w:type="dxa" w:w="1930"/>
            <w:shd w:val="clear" w:color="auto" w:fill="1B2A4A"/>
          </w:tcPr>
          <w:p>
            <w:r>
              <w:rPr>
                <w:rFonts w:ascii="Arial" w:hAnsi="Arial"/>
                <w:b/>
                <w:color w:val="FFFFFF"/>
                <w:sz w:val="19"/>
              </w:rPr>
              <w:t>Q2 Consistency</w:t>
            </w:r>
          </w:p>
        </w:tc>
        <w:tc>
          <w:tcPr>
            <w:tcW w:type="dxa" w:w="1930"/>
            <w:shd w:val="clear" w:color="auto" w:fill="1B2A4A"/>
          </w:tcPr>
          <w:p>
            <w:r>
              <w:rPr>
                <w:rFonts w:ascii="Arial" w:hAnsi="Arial"/>
                <w:b/>
                <w:color w:val="FFFFFF"/>
                <w:sz w:val="19"/>
              </w:rPr>
              <w:t>Q3 Reversibility</w:t>
            </w:r>
          </w:p>
        </w:tc>
        <w:tc>
          <w:tcPr>
            <w:tcW w:type="dxa" w:w="1930"/>
            <w:shd w:val="clear" w:color="auto" w:fill="1B2A4A"/>
          </w:tcPr>
          <w:p>
            <w:r>
              <w:rPr>
                <w:rFonts w:ascii="Arial" w:hAnsi="Arial"/>
                <w:b/>
                <w:color w:val="FFFFFF"/>
                <w:sz w:val="19"/>
              </w:rPr>
              <w:t>Verdict</w:t>
            </w:r>
          </w:p>
        </w:tc>
      </w:tr>
      <w:tr>
        <w:tc>
          <w:tcPr>
            <w:tcW w:type="dxa" w:w="1930"/>
          </w:tcPr>
          <w:p>
            <w:r>
              <w:rPr>
                <w:sz w:val="19"/>
              </w:rPr>
              <w:t>Facebook Amplification</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COMPAS Sentencing</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Amazon Recruitment</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UK Exam Algorithm</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FF8EE"/>
          </w:tcPr>
          <w:p>
            <w:pPr>
              <w:jc w:val="center"/>
            </w:pPr>
            <w:r>
              <w:rPr>
                <w:rFonts w:ascii="Arial" w:hAnsi="Arial"/>
                <w:b/>
                <w:color w:val="8B6020"/>
                <w:sz w:val="19"/>
              </w:rPr>
              <w:t>PARTIAL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Clearview AI</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Dutch TOESLAGEN</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Clinical LLM Deployment</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FF8EE"/>
          </w:tcPr>
          <w:p>
            <w:pPr>
              <w:jc w:val="center"/>
            </w:pPr>
            <w:r>
              <w:rPr>
                <w:rFonts w:ascii="Arial" w:hAnsi="Arial"/>
                <w:b/>
                <w:color w:val="8B6020"/>
                <w:sz w:val="19"/>
              </w:rPr>
              <w:t>PARTIAL</w:t>
            </w:r>
          </w:p>
        </w:tc>
        <w:tc>
          <w:tcPr>
            <w:tcW w:type="dxa" w:w="1930"/>
            <w:shd w:val="clear" w:color="auto" w:fill="F5F5F5"/>
          </w:tcPr>
          <w:p>
            <w:pPr>
              <w:jc w:val="center"/>
            </w:pPr>
            <w:r>
              <w:rPr>
                <w:rFonts w:ascii="Arial" w:hAnsi="Arial"/>
                <w:b w:val="0"/>
                <w:color w:val="3D3D3D"/>
                <w:sz w:val="19"/>
              </w:rPr>
              <w:t>Flagged</w:t>
            </w:r>
          </w:p>
        </w:tc>
      </w:tr>
      <w:tr>
        <w:tc>
          <w:tcPr>
            <w:tcW w:type="dxa" w:w="1930"/>
          </w:tcPr>
          <w:p>
            <w:r>
              <w:rPr>
                <w:sz w:val="19"/>
              </w:rPr>
              <w:t>Uber Platform Governance</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EF0F0"/>
          </w:tcPr>
          <w:p>
            <w:pPr>
              <w:jc w:val="center"/>
            </w:pPr>
            <w:r>
              <w:rPr>
                <w:rFonts w:ascii="Arial" w:hAnsi="Arial"/>
                <w:b/>
                <w:color w:val="8B2020"/>
                <w:sz w:val="19"/>
              </w:rPr>
              <w:t>FAIL</w:t>
            </w:r>
          </w:p>
        </w:tc>
        <w:tc>
          <w:tcPr>
            <w:tcW w:type="dxa" w:w="1930"/>
            <w:shd w:val="clear" w:color="auto" w:fill="F5F5F5"/>
          </w:tcPr>
          <w:p>
            <w:pPr>
              <w:jc w:val="center"/>
            </w:pPr>
            <w:r>
              <w:rPr>
                <w:rFonts w:ascii="Arial" w:hAnsi="Arial"/>
                <w:b w:val="0"/>
                <w:color w:val="3D3D3D"/>
                <w:sz w:val="19"/>
              </w:rPr>
              <w:t>Flagged</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