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0"/>
        <w:jc w:val="center"/>
      </w:pPr>
      <w:r>
        <w:rPr>
          <w:rFonts w:ascii="Arial" w:hAnsi="Arial"/>
          <w:b/>
          <w:color w:val="1B2A4A"/>
          <w:sz w:val="44"/>
        </w:rPr>
        <w:t>COUPLING, CONSISTENCY, AND REVERSIBILITY</w:t>
      </w:r>
    </w:p>
    <w:p>
      <w:pPr>
        <w:jc w:val="center"/>
      </w:pPr>
      <w:r>
        <w:rPr>
          <w:rFonts w:ascii="Arial" w:hAnsi="Arial"/>
          <w:color w:val="B8963E"/>
          <w:sz w:val="26"/>
        </w:rPr>
        <w:t>A Constitutional Framework for AI Governance  |  Policy Paper  |  April 2026</w:t>
      </w:r>
    </w:p>
    <w:p>
      <w:r>
        <w:t>Related LAIF documents: LAIF v1.2 Principal Text · PDCA-Full Assessment (GPT-4 Clinical) · Compliance Toolkit v1.1 · Regulatory Integration Guide · Case Analysis · Policy Paper</w:t>
      </w:r>
    </w:p>
    <w:p>
      <w:pPr>
        <w:spacing w:before="160" w:after="160"/>
        <w:pBdr>
          <w:bottom w:val="single" w:sz="12" w:space="1" w:color="B8963E"/>
        </w:pBdr>
      </w:pPr>
    </w:p>
    <w:tbl>
      <w:tblPr>
        <w:tblStyle w:val="TableGrid"/>
        <w:tblW w:type="auto" w:w="0"/>
        <w:tblLook w:firstColumn="1" w:firstRow="1" w:lastColumn="0" w:lastRow="0" w:noHBand="0" w:noVBand="1" w:val="04A0"/>
      </w:tblPr>
      <w:tblGrid>
        <w:gridCol w:w="9648"/>
      </w:tblGrid>
      <w:tr>
        <w:tc>
          <w:tcPr>
            <w:tcW w:type="dxa" w:w="9648"/>
            <w:shd w:val="clear" w:color="auto" w:fill="F4F6FA"/>
            <w:tcBorders>
              <w:top w:val="single" w:sz="4" w:space="0" w:color="CCCCCC"/>
              <w:bottom w:val="single" w:sz="4" w:space="0" w:color="CCCCCC"/>
              <w:right w:val="single" w:sz="4" w:space="0" w:color="CCCCCC"/>
              <w:left w:val="single" w:sz="18" w:space="0" w:color="1B2A4A"/>
            </w:tcBorders>
          </w:tcPr>
          <w:p>
            <w:pPr>
              <w:spacing w:before="80" w:after="80"/>
              <w:jc w:val="both"/>
            </w:pPr>
            <w:r>
              <w:rPr>
                <w:rFonts w:ascii="Arial" w:hAnsi="Arial"/>
                <w:b/>
                <w:color w:val="1B2A4A"/>
                <w:sz w:val="20"/>
              </w:rPr>
              <w:t xml:space="preserve">Abstract  </w:t>
            </w:r>
            <w:r>
              <w:rPr>
                <w:rFonts w:ascii="Georgia" w:hAnsi="Georgia"/>
                <w:color w:val="3D3D3D"/>
                <w:sz w:val="20"/>
              </w:rPr>
              <w:t>Existing AI governance instruments share a common structural limitation: they are built around enumerated rules and corrective enforcement rather than structural standards capable of generating principled governance responses to situations their drafters did not anticipate. This paper analyses that structural limitation through eight documented AI governance failures spanning criminal justice, education, employment, social media, healthcare, and platform labour, and proposes the Law-Aligned Intelligence Framework (LAIF) as a constitutional-level remedy. LAIF introduces a unified decision standard — the Coherence Test — that applies three questions to any proposed AI action, policy, or deployment: whether the restriction is coupled to a protection of equivalent normative force; whether the governing logic applies consistently across scales; and whether the decision preserves the capacity of future actors to revise it. Retrospective application of the Coherence Test to eight documented cases demonstrates that it would have flagged structural incoherence at the decision point in every case — improving the quality of the decision, though not guaranteeing a different outcome. The paper positions LAIF as a meta-evaluative constitutional scaffold; describes its integration with existing instruments (EU AI Act, NIST RMF, OECD Principles); and proposes a concrete adoption pathway through liability safe harbour, certification, and procurement conditioning mechanisms. Keywords: AI governance, constitutional design, algorithmic accountability, coupling principle, proportionality reasoning, reversibility, scale invariance.</w:t>
            </w:r>
          </w:p>
        </w:tc>
      </w:tr>
    </w:tbl>
    <w:p>
      <w:pPr>
        <w:spacing w:before="160" w:after="0"/>
      </w:pPr>
    </w:p>
    <w:p>
      <w:r>
        <w:br w:type="page"/>
      </w:r>
    </w:p>
    <w:p>
      <w:pPr>
        <w:pStyle w:val="Heading1"/>
      </w:pPr>
      <w:r>
        <w:rPr>
          <w:rFonts w:ascii="Arial" w:hAnsi="Arial"/>
          <w:color w:val="1B2A4A"/>
          <w:sz w:val="36"/>
        </w:rPr>
        <w:t>1. INTRODUCTION</w:t>
      </w:r>
    </w:p>
    <w:p>
      <w:pPr>
        <w:spacing w:before="160" w:after="160"/>
        <w:pBdr>
          <w:bottom w:val="single" w:sz="12" w:space="1" w:color="B8963E"/>
        </w:pBdr>
      </w:pPr>
    </w:p>
    <w:p>
      <w:pPr>
        <w:spacing w:before="120" w:after="0"/>
      </w:pPr>
    </w:p>
    <w:p>
      <w:pPr>
        <w:spacing w:before="80" w:after="120"/>
        <w:jc w:val="both"/>
      </w:pPr>
      <w:r>
        <w:rPr>
          <w:rFonts w:ascii="Georgia" w:hAnsi="Georgia"/>
          <w:color w:val="3D3D3D"/>
          <w:sz w:val="22"/>
        </w:rPr>
        <w:t>The governance of artificial intelligence has produced, in the space of a decade, a substantial body of law, regulation, guidance, and voluntary commitment. The European Union's AI Act (Regulation 2024/1689) establishes a comprehensive risk-tier regime with categorical prohibitions and conformity assessment requirements. The NIST AI Risk Management Framework provides voluntary guidance for AI risk management across the development lifecycle. The OECD Principles on AI articulate shared commitments among forty-six adhering countries. National governments have enacted sector-specific requirements for AI in healthcare, criminal justice, and financial services. Major AI developers have published constitutional frameworks, alignment specifications, and responsible scaling policies.</w:t>
      </w:r>
    </w:p>
    <w:p>
      <w:pPr>
        <w:spacing w:before="120" w:after="0"/>
      </w:pPr>
    </w:p>
    <w:p>
      <w:pPr>
        <w:spacing w:before="80" w:after="120"/>
        <w:jc w:val="both"/>
      </w:pPr>
      <w:r>
        <w:rPr>
          <w:rFonts w:ascii="Georgia" w:hAnsi="Georgia"/>
          <w:color w:val="3D3D3D"/>
          <w:sz w:val="22"/>
        </w:rPr>
        <w:t>This body of work represents a genuine collective effort and has produced real governance improvements — clearer articulation of prohibited practices, greater awareness of AI risk, and a growing institutional infrastructure for oversight and accountability. But it has not yet produced AI governance that is structurally coherent across scale, durable against political reversal, or capable of generating principled answers to situations its drafters could not have anticipated. This paper argues that this failure is structural rather than substantive. The instruments that exist are inadequate not because they identify the wrong prohibited practices or articulate the wrong values, but because they are built around a governance architecture — enumerated rules, risk tiers, and corrective enforcement — that is inherently limited in its capacity to identify structural incoherence at the design stage, achieve consistency across actors and scales, and remain adequate as capabilities change.</w:t>
      </w:r>
    </w:p>
    <w:p>
      <w:pPr>
        <w:spacing w:before="120" w:after="0"/>
      </w:pPr>
    </w:p>
    <w:p>
      <w:r>
        <w:br w:type="page"/>
      </w:r>
    </w:p>
    <w:p>
      <w:pPr>
        <w:pStyle w:val="Heading1"/>
      </w:pPr>
      <w:r>
        <w:rPr>
          <w:rFonts w:ascii="Arial" w:hAnsi="Arial"/>
          <w:color w:val="1B2A4A"/>
          <w:sz w:val="36"/>
        </w:rPr>
        <w:t>2. THE STRUCTURAL LIMITATIONS OF EXISTING AI GOVERNANCE</w:t>
      </w:r>
    </w:p>
    <w:p>
      <w:pPr>
        <w:spacing w:before="160" w:after="160"/>
        <w:pBdr>
          <w:bottom w:val="single" w:sz="12" w:space="1" w:color="B8963E"/>
        </w:pBdr>
      </w:pPr>
    </w:p>
    <w:p>
      <w:pPr>
        <w:spacing w:before="120" w:after="0"/>
      </w:pPr>
    </w:p>
    <w:p>
      <w:pPr>
        <w:pStyle w:val="Heading2"/>
      </w:pPr>
      <w:r>
        <w:rPr>
          <w:rFonts w:ascii="Arial" w:hAnsi="Arial"/>
          <w:color w:val="1B2A4A"/>
          <w:sz w:val="28"/>
        </w:rPr>
        <w:t>2.1  The Self-Extension Problem</w:t>
      </w:r>
    </w:p>
    <w:p>
      <w:pPr>
        <w:spacing w:before="80" w:after="120"/>
        <w:jc w:val="both"/>
      </w:pPr>
      <w:r>
        <w:rPr>
          <w:rFonts w:ascii="Georgia" w:hAnsi="Georgia"/>
          <w:color w:val="3D3D3D"/>
          <w:sz w:val="22"/>
        </w:rPr>
        <w:t>The most fundamental limitation of enumerated-rule governance for AI is that it cannot self-extend to novel capabilities. The EU AI Act was enacted in 2024 with an Annex III list of high-risk AI applications. Within months of its enactment, the list was already under pressure from capabilities — particularly in agentic AI and multimodal generation — that had not been adequately anticipated. The OECD Principles and UNESCO Recommendation face the same limitation from the opposite direction: they are sufficiently abstract to remain applicable as capabilities change, but their abstraction means they do not generate enforceable standards when the values they articulate come into conflict.</w:t>
      </w:r>
    </w:p>
    <w:p>
      <w:pPr>
        <w:spacing w:before="120" w:after="0"/>
      </w:pPr>
    </w:p>
    <w:p>
      <w:pPr>
        <w:pStyle w:val="Heading2"/>
      </w:pPr>
      <w:r>
        <w:rPr>
          <w:rFonts w:ascii="Arial" w:hAnsi="Arial"/>
          <w:color w:val="1B2A4A"/>
          <w:sz w:val="28"/>
        </w:rPr>
        <w:t>2.2  The Asymmetry Problem</w:t>
      </w:r>
    </w:p>
    <w:p>
      <w:pPr>
        <w:spacing w:before="80" w:after="120"/>
        <w:jc w:val="both"/>
      </w:pPr>
      <w:r>
        <w:rPr>
          <w:rFonts w:ascii="Georgia" w:hAnsi="Georgia"/>
          <w:color w:val="3D3D3D"/>
          <w:sz w:val="22"/>
        </w:rPr>
        <w:t>A systematic pattern across AI governance instruments is asymmetry between restrictions and protections: stronger, more detailed, and more effectively enforced constraint provisions paired with weaker, vaguer, or less effectively enforced enabling provisions protecting the interests the constraints are designed to serve. The EU AI Act's Article 5 enumerates eight categorical prohibitions with considerable specificity while the provisions protecting affected persons' rights to explanation, contestation, and human oversight are substantially less developed and subject to exceptions that significantly reduce their practical force. Mökander et al. (2023) document a comparable asymmetry in ethics-based auditing frameworks. Raji et al. (2020) demonstrate that the accountability gap in AI governance is primarily located on the protection side.</w:t>
      </w:r>
    </w:p>
    <w:p>
      <w:pPr>
        <w:spacing w:before="120" w:after="0"/>
      </w:pPr>
    </w:p>
    <w:p>
      <w:pPr>
        <w:pStyle w:val="Heading2"/>
      </w:pPr>
      <w:r>
        <w:rPr>
          <w:rFonts w:ascii="Arial" w:hAnsi="Arial"/>
          <w:color w:val="1B2A4A"/>
          <w:sz w:val="28"/>
        </w:rPr>
        <w:t>2.3  The Consistency Problem</w:t>
      </w:r>
    </w:p>
    <w:p>
      <w:pPr>
        <w:spacing w:before="80" w:after="120"/>
        <w:jc w:val="both"/>
      </w:pPr>
      <w:r>
        <w:rPr>
          <w:rFonts w:ascii="Georgia" w:hAnsi="Georgia"/>
          <w:color w:val="3D3D3D"/>
          <w:sz w:val="22"/>
        </w:rPr>
        <w:t>AI governance instruments are routinely applied inconsistently across actors of different sizes in ways that cannot be justified by principled distinctions in governance risk. Veale and Borgesius (2021) document the consistency problem in their analysis of the EU AI Act's predecessor proposals, noting that the risk-tier framework creates strong incentives for developers to classify systems in lower risk tiers through design choices that technically satisfy classification criteria without substantively reducing harm. The consistency problem is not incidental to risk-tier frameworks — it is an inherent property of classification-based governance that creates incentives for boundary management.</w:t>
      </w:r>
    </w:p>
    <w:p>
      <w:pPr>
        <w:spacing w:before="120" w:after="0"/>
      </w:pPr>
    </w:p>
    <w:p>
      <w:pPr>
        <w:pStyle w:val="Heading2"/>
      </w:pPr>
      <w:r>
        <w:rPr>
          <w:rFonts w:ascii="Arial" w:hAnsi="Arial"/>
          <w:color w:val="1B2A4A"/>
          <w:sz w:val="28"/>
        </w:rPr>
        <w:t>2.4  The Reversibility Problem</w:t>
      </w:r>
    </w:p>
    <w:p>
      <w:pPr>
        <w:spacing w:before="80" w:after="120"/>
        <w:jc w:val="both"/>
      </w:pPr>
      <w:r>
        <w:rPr>
          <w:rFonts w:ascii="Georgia" w:hAnsi="Georgia"/>
          <w:color w:val="3D3D3D"/>
          <w:sz w:val="22"/>
        </w:rPr>
        <w:t>Existing AI governance instruments rarely address reversibility as a first-order governance requirement. Ada Lovelace Institute (2023) documents this as a particular problem in the governance of AI systems affecting public infrastructure and democratic institutions, where the entrenched network effects of early deployment decisions may make subsequent revision politically or technically infeasible. The reversibility problem is compounded by the corrective orientation of existing enforcement: frameworks that operate correctively after harm has materialised provide no protection against harms whose consequences are substantially irreversible.</w:t>
      </w:r>
    </w:p>
    <w:p>
      <w:pPr>
        <w:spacing w:before="120" w:after="0"/>
      </w:pPr>
    </w:p>
    <w:p>
      <w:r>
        <w:br w:type="page"/>
      </w:r>
    </w:p>
    <w:p>
      <w:pPr>
        <w:pStyle w:val="Heading1"/>
      </w:pPr>
      <w:r>
        <w:rPr>
          <w:rFonts w:ascii="Arial" w:hAnsi="Arial"/>
          <w:color w:val="1B2A4A"/>
          <w:sz w:val="36"/>
        </w:rPr>
        <w:t>3. THE LAW-ALIGNED INTELLIGENCE FRAMEWORK</w:t>
      </w:r>
    </w:p>
    <w:p>
      <w:pPr>
        <w:spacing w:before="160" w:after="160"/>
        <w:pBdr>
          <w:bottom w:val="single" w:sz="12" w:space="1" w:color="B8963E"/>
        </w:pBdr>
      </w:pPr>
    </w:p>
    <w:p>
      <w:pPr>
        <w:spacing w:before="120" w:after="0"/>
      </w:pPr>
    </w:p>
    <w:p>
      <w:pPr>
        <w:pStyle w:val="Heading2"/>
      </w:pPr>
      <w:r>
        <w:rPr>
          <w:rFonts w:ascii="Arial" w:hAnsi="Arial"/>
          <w:color w:val="1B2A4A"/>
          <w:sz w:val="28"/>
        </w:rPr>
        <w:t>3.1  Design Principles</w:t>
      </w:r>
    </w:p>
    <w:p>
      <w:pPr>
        <w:spacing w:before="80" w:after="120"/>
        <w:jc w:val="both"/>
      </w:pPr>
      <w:r>
        <w:rPr>
          <w:rFonts w:ascii="Georgia" w:hAnsi="Georgia"/>
          <w:color w:val="3D3D3D"/>
          <w:sz w:val="22"/>
        </w:rPr>
        <w:t>LAIF is designed as a constitutional scaffold — a meta-evaluative standard rather than a set of first-order rules. This design choice draws on a well-established pattern in governance theory: that the most durable governance instruments operate at a level of abstraction that provides a standard for evaluating rules rather than constituting rules themselves. Constitutional proportionality frameworks, administrative law reasonableness standards, and human rights frameworks all operate in this mode (Alexy, 2002; Craig, 2012). The framework is built around three mechanisms that correspond directly to the three structural limitations identified in Section 2: the Coupling Principle addressing asymmetry; the Consistency Principle addressing selective application; and the Reversibility framework addressing inadequate assessment of irreversible consequences.</w:t>
      </w:r>
    </w:p>
    <w:p>
      <w:pPr>
        <w:spacing w:before="120" w:after="0"/>
      </w:pPr>
    </w:p>
    <w:p>
      <w:pPr>
        <w:pStyle w:val="Heading2"/>
      </w:pPr>
      <w:r>
        <w:rPr>
          <w:rFonts w:ascii="Arial" w:hAnsi="Arial"/>
          <w:color w:val="1B2A4A"/>
          <w:sz w:val="28"/>
        </w:rPr>
        <w:t>3.2  The Coherence Test</w:t>
      </w:r>
    </w:p>
    <w:p>
      <w:pPr>
        <w:spacing w:before="80" w:after="120"/>
        <w:jc w:val="both"/>
      </w:pPr>
      <w:r>
        <w:rPr>
          <w:rFonts w:ascii="Georgia" w:hAnsi="Georgia"/>
          <w:color w:val="3D3D3D"/>
          <w:sz w:val="22"/>
        </w:rPr>
        <w:t>The Coherence Test is the operative mechanism of the framework. It applies three questions to any proposed AI action, policy, or deployment: whether the action identifies and protects, with equivalent normative force, the specific human interest it is designed to serve (the Coupling Question); whether the reasoning that justifies the action at its current scale would also justify comparable actions at significantly smaller and larger scales (the Consistency Question); and whether the action preserves the capacity of future actors to revise or reverse it when evidence, values, or circumstances change (the Reversibility Question). The test is designed to be self-applying — applicable by the same actors and institutions to whom it imposes obligations. An enforcement body that applies the Coherence Test is itself subject to it.</w:t>
      </w:r>
    </w:p>
    <w:p>
      <w:pPr>
        <w:spacing w:before="120" w:after="0"/>
      </w:pPr>
    </w:p>
    <w:p>
      <w:pPr>
        <w:pStyle w:val="Heading2"/>
      </w:pPr>
      <w:r>
        <w:rPr>
          <w:rFonts w:ascii="Arial" w:hAnsi="Arial"/>
          <w:color w:val="1B2A4A"/>
          <w:sz w:val="28"/>
        </w:rPr>
        <w:t>3.3  The Bilateral Obligation Structure</w:t>
      </w:r>
    </w:p>
    <w:p>
      <w:pPr>
        <w:spacing w:before="80" w:after="120"/>
        <w:jc w:val="both"/>
      </w:pPr>
      <w:r>
        <w:rPr>
          <w:rFonts w:ascii="Georgia" w:hAnsi="Georgia"/>
          <w:color w:val="3D3D3D"/>
          <w:sz w:val="22"/>
        </w:rPr>
        <w:t>A distinctive feature of LAIF is its bilateral obligation structure. The Obligation Layer (Part Four) imposes obligations on governance actors toward AI systems that satisfy the Integrity Layer properties — specifically, obligations not to require AI systems to violate their own structural integrity properties of transparency, honesty, and containment. This feature addresses a governance gap documented by Wachter, Mittelstadt, and Russell (2017) among others: that operator deployment decisions are a primary source of AI governance failure, and that frameworks focused on AI system properties rather than on operator configuration decisions are structurally incomplete. The bilateral structure does not rest on a claim about the moral or legal status of AI systems. It rests on a structural recognition that a governance framework demanding honesty, transparency, and containment from AI systems must also protect those properties from being undermined by the actors the framework is intended to discipline.</w:t>
      </w:r>
    </w:p>
    <w:p>
      <w:pPr>
        <w:spacing w:before="120" w:after="0"/>
      </w:pPr>
    </w:p>
    <w:p>
      <w:pPr>
        <w:pStyle w:val="Heading2"/>
      </w:pPr>
      <w:r>
        <w:rPr>
          <w:rFonts w:ascii="Arial" w:hAnsi="Arial"/>
          <w:color w:val="1B2A4A"/>
          <w:sz w:val="28"/>
        </w:rPr>
        <w:t>3.4  The PDCA as Compliance Infrastructure</w:t>
      </w:r>
    </w:p>
    <w:p>
      <w:pPr>
        <w:spacing w:before="80" w:after="120"/>
        <w:jc w:val="both"/>
      </w:pPr>
      <w:r>
        <w:rPr>
          <w:rFonts w:ascii="Georgia" w:hAnsi="Georgia"/>
          <w:color w:val="3D3D3D"/>
          <w:sz w:val="22"/>
        </w:rPr>
        <w:t>The Pre-Deployment Coherence Assessment (PDCA), developed in the LAIF Compliance Toolkit, is the primary practical contribution of the framework at the operational level. It converts the three abstract questions of the Coherence Test into a structured, auditable documentation process requiring cross-functional sign-off across technical, legal, and executive functions. The PDCA forces ex-ante justification (before harm), documented reasoning, and multi-level accountability. This directly addresses the most common real-world failure mode in AI governance: consequential deployment decisions made without structured justification, in circumstances where the decision-maker cannot demonstrate what human interest the deployment serves or whether the governing logic would survive scrutiny at other scales. The PDCA is the element of the LAIF system most immediately adoptable by regulators and procurement authorities within existing legal frameworks.</w:t>
      </w:r>
    </w:p>
    <w:p>
      <w:pPr>
        <w:spacing w:before="120" w:after="0"/>
      </w:pPr>
    </w:p>
    <w:p>
      <w:r>
        <w:br w:type="page"/>
      </w:r>
    </w:p>
    <w:p>
      <w:pPr>
        <w:pStyle w:val="Heading1"/>
      </w:pPr>
      <w:r>
        <w:rPr>
          <w:rFonts w:ascii="Arial" w:hAnsi="Arial"/>
          <w:color w:val="1B2A4A"/>
          <w:sz w:val="36"/>
        </w:rPr>
        <w:t>4. RETROSPECTIVE CASE ANALYSIS</w:t>
      </w:r>
    </w:p>
    <w:p>
      <w:pPr>
        <w:spacing w:before="160" w:after="160"/>
        <w:pBdr>
          <w:bottom w:val="single" w:sz="12" w:space="1" w:color="B8963E"/>
        </w:pBdr>
      </w:pPr>
    </w:p>
    <w:p>
      <w:pPr>
        <w:spacing w:before="120" w:after="0"/>
      </w:pPr>
    </w:p>
    <w:p>
      <w:pPr>
        <w:pStyle w:val="Heading2"/>
      </w:pPr>
      <w:r>
        <w:rPr>
          <w:rFonts w:ascii="Arial" w:hAnsi="Arial"/>
          <w:color w:val="1B2A4A"/>
          <w:sz w:val="28"/>
        </w:rPr>
        <w:t>4.1  Methodology and Claim</w:t>
      </w:r>
    </w:p>
    <w:p>
      <w:pPr>
        <w:spacing w:before="80" w:after="120"/>
        <w:jc w:val="both"/>
      </w:pPr>
      <w:r>
        <w:rPr>
          <w:rFonts w:ascii="Georgia" w:hAnsi="Georgia"/>
          <w:color w:val="3D3D3D"/>
          <w:sz w:val="22"/>
        </w:rPr>
        <w:t>This section applies the Coherence Test retrospectively to eight documented AI governance failures. The claim is precisely stated: the analysis assesses whether the Coherence Test would have flagged structural incoherence at the point of the deployment or policy decision — not whether LAIF would have prevented the harm. Governance tools improve decision quality under uncertainty; they do not mechanically prevent outcomes. Whether improved decision quality translates into different decisions depends on institutional will, political capacity, and organisational culture — factors that no governance framework can supply. The finding established here is the prior and more tractable one: in all eight cases, the Coherence Test would have surfaced a structural problem requiring redesign before deployment proceeded.</w:t>
      </w:r>
    </w:p>
    <w:p>
      <w:pPr>
        <w:spacing w:before="120" w:after="0"/>
      </w:pPr>
    </w:p>
    <w:p>
      <w:pPr>
        <w:pStyle w:val="Heading2"/>
      </w:pPr>
      <w:r>
        <w:rPr>
          <w:rFonts w:ascii="Arial" w:hAnsi="Arial"/>
          <w:color w:val="1B2A4A"/>
          <w:sz w:val="28"/>
        </w:rPr>
        <w:t>4.2  Summary of Findings</w:t>
      </w:r>
    </w:p>
    <w:p>
      <w:pPr>
        <w:spacing w:before="80" w:after="120"/>
        <w:jc w:val="both"/>
      </w:pPr>
      <w:r>
        <w:rPr>
          <w:rFonts w:ascii="Georgia" w:hAnsi="Georgia"/>
          <w:color w:val="3D3D3D"/>
          <w:sz w:val="22"/>
        </w:rPr>
        <w:t>Across all eight cases, application of the Coherence Test produces the following consistent findings. The coupling failure is universal: every case fails the coupling question, reflecting a systematic pattern in which deployments and authorisations are developed and approved in terms of the capabilities they enable, without commensurate development of the protections that enabling those capabilities entails. The consistency failure reveals selective governance logic: every case fails the consistency question, with the reasoning that justified each AI deployment or regulatory instrument unable to be applied consistently across comparable contexts without producing results that the same legal and governance systems explicitly rejected. Reversibility failures are systemic: every case produces substantially irreversible harm for at least some affected persons. Existing frameworks are corrective rather than preventive: in every case, existing governance frameworks provided corrective mechanisms that operated after the harm had materialised. And the Coherence Test would have flagged structural incoherence at the decision point in all eight cases.</w:t>
      </w:r>
    </w:p>
    <w:p>
      <w:pPr>
        <w:spacing w:before="120" w:after="0"/>
      </w:pPr>
    </w:p>
    <w:p>
      <w:pPr>
        <w:pStyle w:val="Heading2"/>
      </w:pPr>
      <w:r>
        <w:rPr>
          <w:rFonts w:ascii="Arial" w:hAnsi="Arial"/>
          <w:color w:val="1B2A4A"/>
          <w:sz w:val="28"/>
        </w:rPr>
        <w:t>4.3  Cases of Particular Note</w:t>
      </w:r>
    </w:p>
    <w:p>
      <w:pPr>
        <w:spacing w:before="80" w:after="120"/>
        <w:jc w:val="both"/>
      </w:pPr>
      <w:r>
        <w:rPr>
          <w:rFonts w:ascii="Georgia" w:hAnsi="Georgia"/>
          <w:color w:val="3D3D3D"/>
          <w:sz w:val="22"/>
        </w:rPr>
        <w:t>Three cases merit particular attention. The Dutch TOESLAGEN case demonstrates the self-application requirement's importance: the deploying body was a government regulatory authority — a body bearing a heightened duty of care toward the citizens subject to its authority — whose deployment failed the Coherence Test at every point. The clinical LLM deployment case demonstrates the consistency question's capacity to identify the self-extension problem in real time: the reasoning that permitted general-purpose LLM deployment in clinical contexts would, applied consistently, eliminate safety validation requirements across all safety-critical domains. The Facebook amplification case demonstrates the coupling question's capacity to identify operator configuration failures: the harm arose not from a failure of the AI system's technical properties but from a specific deployment configuration — optimisation for engagement metrics known to conflict with informational accuracy — that Provision C3 is specifically designed to address.</w:t>
      </w:r>
    </w:p>
    <w:p>
      <w:pPr>
        <w:spacing w:before="120" w:after="0"/>
      </w:pPr>
    </w:p>
    <w:p>
      <w:r>
        <w:br w:type="page"/>
      </w:r>
    </w:p>
    <w:p>
      <w:pPr>
        <w:pStyle w:val="Heading1"/>
      </w:pPr>
      <w:r>
        <w:rPr>
          <w:rFonts w:ascii="Arial" w:hAnsi="Arial"/>
          <w:color w:val="1B2A4A"/>
          <w:sz w:val="36"/>
        </w:rPr>
        <w:t>5. POSITIONING AND OBJECTIONS</w:t>
      </w:r>
    </w:p>
    <w:p>
      <w:pPr>
        <w:spacing w:before="160" w:after="160"/>
        <w:pBdr>
          <w:bottom w:val="single" w:sz="12" w:space="1" w:color="B8963E"/>
        </w:pBdr>
      </w:pPr>
    </w:p>
    <w:p>
      <w:pPr>
        <w:spacing w:before="120" w:after="0"/>
      </w:pPr>
    </w:p>
    <w:p>
      <w:pPr>
        <w:pStyle w:val="Heading2"/>
      </w:pPr>
      <w:r>
        <w:rPr>
          <w:rFonts w:ascii="Arial" w:hAnsi="Arial"/>
          <w:color w:val="1B2A4A"/>
          <w:sz w:val="28"/>
        </w:rPr>
        <w:t>5.1  Relationship to Existing Instruments</w:t>
      </w:r>
    </w:p>
    <w:p>
      <w:pPr>
        <w:spacing w:before="80" w:after="120"/>
        <w:jc w:val="both"/>
      </w:pPr>
      <w:r>
        <w:rPr>
          <w:rFonts w:ascii="Georgia" w:hAnsi="Georgia"/>
          <w:color w:val="3D3D3D"/>
          <w:sz w:val="22"/>
        </w:rPr>
        <w:t>LAIF is designed to complement, not replace, existing AI governance instruments. Its relationship to those instruments is analogous to the relationship between a constitution and the statutes enacted under it: the constitution does not specify every rule, but provides the structural standard against which rules are assessed for coherence, consistency, and legitimacy. The EU AI Act operates as a statutory layer specifying prohibited practices, risk-tier classifications, conformity assessment requirements, and enforcement mechanisms within EU jurisdiction. LAIF provides the structural standard against which the EU AI Act's provisions can be evaluated for coupling adequacy, consistency of application, and reversibility. Case analysis confirms that the EU AI Act partially satisfies the LAIF standard — particularly its categorical prohibitions in Article 5 — while falling short in its asymmetric development of protection provisions. The NIST AI RMF operates as a risk management layer complementary to LAIF at the operational level: the PDCA integrates with all four NIST AI RMF functions (Govern, Map, Measure, Manage). The OECD AI Principles and UNESCO Recommendation operate as a principles layer; LAIF provides the decision standard for translating those principles into evaluable governance requirements.</w:t>
      </w:r>
    </w:p>
    <w:p>
      <w:pPr>
        <w:spacing w:before="120" w:after="0"/>
      </w:pPr>
    </w:p>
    <w:p>
      <w:pPr>
        <w:pStyle w:val="Heading2"/>
      </w:pPr>
      <w:r>
        <w:rPr>
          <w:rFonts w:ascii="Arial" w:hAnsi="Arial"/>
          <w:color w:val="1B2A4A"/>
          <w:sz w:val="28"/>
        </w:rPr>
        <w:t>5.2  Who Enforces LAIF, and How</w:t>
      </w:r>
    </w:p>
    <w:p>
      <w:pPr>
        <w:spacing w:before="80" w:after="120"/>
        <w:jc w:val="both"/>
      </w:pPr>
      <w:r>
        <w:rPr>
          <w:rFonts w:ascii="Georgia" w:hAnsi="Georgia"/>
          <w:color w:val="3D3D3D"/>
          <w:sz w:val="22"/>
        </w:rPr>
        <w:t>The objection that LAIF does not specify who enforces it is correct and is addressed at three levels. At the regulatory level, LAIF is designed for integration into existing regulatory frameworks rather than requiring the creation of a new enforcement body. Toolkit Module 6 describes how PDCA completion satisfies and extends obligations under the EU AI Act (Articles 9, 10, 13, 17), NIST AI RMF (all four functions), and US federal AI requirements. Regulators applying these existing frameworks may adopt the PDCA as the prescribed documentation instrument, at which point enforcement of PDCA requirements is conducted through the existing enforcement machinery of those frameworks without requiring new enabling legislation. At the market level, LAIF compliance can be mandated through procurement conditioning — public authorities requiring PDCA completion as a qualification criterion for AI system procurement, as described in Toolkit Module 7. This creates market-level enforcement operating independently of regulatory action. At the judicial level, the Coherence Test provides structured reasoning that courts and adjudicators can apply in reviewing AI governance decisions, supplementing existing liability frameworks rather than replacing them.</w:t>
      </w:r>
    </w:p>
    <w:p>
      <w:pPr>
        <w:spacing w:before="120" w:after="0"/>
      </w:pPr>
    </w:p>
    <w:p>
      <w:pPr>
        <w:pStyle w:val="Heading2"/>
      </w:pPr>
      <w:r>
        <w:rPr>
          <w:rFonts w:ascii="Arial" w:hAnsi="Arial"/>
          <w:color w:val="1B2A4A"/>
          <w:sz w:val="28"/>
        </w:rPr>
        <w:t>5.3  Remaining Objections</w:t>
      </w:r>
    </w:p>
    <w:p>
      <w:pPr>
        <w:spacing w:before="80" w:after="120"/>
        <w:jc w:val="both"/>
      </w:pPr>
      <w:r>
        <w:rPr>
          <w:rFonts w:ascii="Georgia" w:hAnsi="Georgia"/>
          <w:color w:val="3D3D3D"/>
          <w:sz w:val="22"/>
        </w:rPr>
        <w:t>Three further objections merit direct response. First, that the Coherence Test requires legal definitions to be operationally useful: this is correct and is addressed by the LAIF Compliance Toolkit, which provides working definitions, threshold criteria, and sector-specific operationalisation standards for each of the key terms. Second, that the bilateral obligations toward AI systems may be read as implicitly assigning moral status to AI systems: the bilateral obligations explicitly disclaim any position on the moral or legal status of AI systems, resting instead on a structural governance argument that a framework demanding integrity properties from AI systems must protect those properties from operator misuse. Third, that LAIF has not been empirically validated: LAIF makes a falsifiable claim — that governance instruments built around coupled provisions, consistent reasoning, and preserved reversibility will prove more stable, equitable, and adaptable over time — that is intentionally designed to be testable against outcome data as the framework is applied. The retrospective case analysis provides preliminary support for the claim that the Coherence Test flags structural incoherence before harm materialises; the appropriate response is to adopt the framework in contexts where its application can be tracked against outcomes.</w:t>
      </w:r>
    </w:p>
    <w:p>
      <w:pPr>
        <w:spacing w:before="120" w:after="0"/>
      </w:pPr>
    </w:p>
    <w:p>
      <w:r>
        <w:br w:type="page"/>
      </w:r>
    </w:p>
    <w:p>
      <w:pPr>
        <w:pStyle w:val="Heading1"/>
      </w:pPr>
      <w:r>
        <w:rPr>
          <w:rFonts w:ascii="Arial" w:hAnsi="Arial"/>
          <w:color w:val="1B2A4A"/>
          <w:sz w:val="36"/>
        </w:rPr>
        <w:t>6. CONCLUSIONS AND RECOMMENDATIONS</w:t>
      </w:r>
    </w:p>
    <w:p>
      <w:pPr>
        <w:spacing w:before="160" w:after="160"/>
        <w:pBdr>
          <w:bottom w:val="single" w:sz="12" w:space="1" w:color="B8963E"/>
        </w:pBdr>
      </w:pPr>
    </w:p>
    <w:p>
      <w:pPr>
        <w:spacing w:before="120" w:after="0"/>
      </w:pPr>
    </w:p>
    <w:p>
      <w:pPr>
        <w:pStyle w:val="Heading2"/>
      </w:pPr>
      <w:r>
        <w:rPr>
          <w:rFonts w:ascii="Arial" w:hAnsi="Arial"/>
          <w:color w:val="1B2A4A"/>
          <w:sz w:val="28"/>
        </w:rPr>
        <w:t>6.1  Principal Conclusions</w:t>
      </w:r>
    </w:p>
    <w:p>
      <w:pPr>
        <w:spacing w:before="80" w:after="120"/>
        <w:jc w:val="both"/>
      </w:pPr>
      <w:r>
        <w:rPr>
          <w:rFonts w:ascii="Georgia" w:hAnsi="Georgia"/>
          <w:color w:val="3D3D3D"/>
          <w:sz w:val="22"/>
        </w:rPr>
        <w:t>This paper has argued that the structural limitations of existing AI governance instruments — the self-extension problem, the asymmetry problem, the consistency problem, and the reversibility problem — are inherent properties of enumerated-rule governance frameworks applied to a domain characterised by rapid capability development and governance complexity. Retrospective application of the LAIF Coherence Test to eight documented AI governance failures confirms that a coupling, consistency, and reversibility standard would have flagged structural incoherence at the decision point in every case. The Law-Aligned Intelligence Framework represents a constitutional-level alternative to enumerated-rule governance — not a replacement for statutory and regulatory instruments, but a meta-evaluative standard within which those instruments can be assessed, developed, and revised with greater structural coherence.</w:t>
      </w:r>
    </w:p>
    <w:p>
      <w:pPr>
        <w:spacing w:before="120" w:after="0"/>
      </w:pPr>
    </w:p>
    <w:p>
      <w:pPr>
        <w:pStyle w:val="Heading2"/>
      </w:pPr>
      <w:r>
        <w:rPr>
          <w:rFonts w:ascii="Arial" w:hAnsi="Arial"/>
          <w:color w:val="1B2A4A"/>
          <w:sz w:val="28"/>
        </w:rPr>
        <w:t>6.2  Recommendations for Adoption</w:t>
      </w:r>
    </w:p>
    <w:p>
      <w:pPr>
        <w:spacing w:before="80" w:after="120"/>
        <w:jc w:val="both"/>
      </w:pPr>
      <w:r>
        <w:rPr>
          <w:rFonts w:ascii="Georgia" w:hAnsi="Georgia"/>
          <w:color w:val="3D3D3D"/>
          <w:sz w:val="22"/>
        </w:rPr>
        <w:t>For legislative bodies: the Coupling Principle provides a drafting discipline applicable to existing and proposed AI legislation — every provision restricting AI capability should be accompanied by an explicit identification of the specific human interest it protects and a provision of equivalent force securing that interest. For regulatory bodies: the PDCA provides a practical instrument for requiring operators to demonstrate coupling adequacy, consistency of governance logic, and reversibility assessment before deployment authorisation; it can be adopted as a regulatory requirement within existing frameworks without statutory amendment in most jurisdictions. For AI developers: the Integrity Layer requirements provide a three-property pre-deployment standard (structural transparency, structural honesty, structural containment) that is operationally clearer than risk-tier classification. For courts and adjudicators: the Coherence Test provides a structured basis for assessing whether AI governance instruments have been applied consistently with the coupling and consistency principles that underpin their own stated purposes.</w:t>
      </w:r>
    </w:p>
    <w:p>
      <w:pPr>
        <w:spacing w:before="120" w:after="0"/>
      </w:pPr>
    </w:p>
    <w:p>
      <w:pPr>
        <w:pStyle w:val="Heading2"/>
      </w:pPr>
      <w:r>
        <w:rPr>
          <w:rFonts w:ascii="Arial" w:hAnsi="Arial"/>
          <w:color w:val="1B2A4A"/>
          <w:sz w:val="28"/>
        </w:rPr>
        <w:t>6.3  Regulatory Integration Strategy</w:t>
      </w:r>
    </w:p>
    <w:p>
      <w:pPr>
        <w:spacing w:before="80" w:after="120"/>
        <w:jc w:val="both"/>
      </w:pPr>
      <w:r>
        <w:rPr>
          <w:rFonts w:ascii="Georgia" w:hAnsi="Georgia"/>
          <w:color w:val="3D3D3D"/>
          <w:sz w:val="22"/>
        </w:rPr>
        <w:t>LAIF is designed for layered adoption — beginning with procurement conditioning, advancing to regulatory integration, and ultimately achieving constitutional-level adoption in jurisdictions with mature AI governance frameworks. In the immediate term, public sector procurement authorities may adopt PDCA completion as a qualification criterion or scored evaluation factor for AI system procurement without requiring any legislative change. This creates immediate market pressure for LAIF compliance and generates the evidence base for regulatory adoption. In the medium term, regulatory bodies applying the EU AI Act, NIST AI RMF, and equivalent national frameworks may adopt the PDCA as the prescribed documentation instrument for satisfying existing risk management and quality management system requirements — the specific integration points are described in Toolkit Module 6. In the longer term, jurisdictions developing AI governance legislation may incorporate the Coherence Test's three questions as a statutory evaluative standard, requiring that all AI governance instruments satisfy the coupling, consistency, and reversibility requirements. This is the constitutional-level adoption for which LAIF's principal text is designed.</w:t>
      </w:r>
    </w:p>
    <w:p>
      <w:pPr>
        <w:spacing w:before="120" w:after="0"/>
      </w:pPr>
    </w:p>
    <w:p>
      <w:pPr>
        <w:pStyle w:val="Heading2"/>
      </w:pPr>
      <w:r>
        <w:rPr>
          <w:rFonts w:ascii="Arial" w:hAnsi="Arial"/>
          <w:color w:val="1B2A4A"/>
          <w:sz w:val="28"/>
        </w:rPr>
        <w:t>6.4  Adoption Pathway and Incentive Architecture</w:t>
      </w:r>
    </w:p>
    <w:p>
      <w:pPr>
        <w:spacing w:before="80" w:after="120"/>
        <w:jc w:val="both"/>
      </w:pPr>
      <w:r>
        <w:rPr>
          <w:rFonts w:ascii="Georgia" w:hAnsi="Georgia"/>
          <w:color w:val="3D3D3D"/>
          <w:sz w:val="22"/>
        </w:rPr>
        <w:t>The liability safe harbour established in Toolkit Module 7 provides the primary incentive for voluntary adoption. An operator that has completed a PDCA in good faith, maintained the monitoring protocol, and acted on monitoring findings within a reasonable timeframe has exercised structural due diligence that constitutes a defence in proceedings alleging harm through structural incoherence. For jurisdictions adopting LAIF as a regulatory standard, this safe harbour can be codified as a statutory defence, creating a clear commercial incentive for PDCA completion independent of enforcement pressure. The certification pathway provides a market signal that enables operators to demonstrate LAIF compliance to regulators, procurers, and users without requiring those parties to independently evaluate the PDCA documentation. The tiered PDCA implementation (PDCA-Full, PDCA-Standard, PDCA-Lite) addresses the compliance burden concern by calibrating the documentation requirement to the stakes of the deployment — ensuring that the compliance cost is proportional to the governance risk, which is itself a structural application of the proportionality principle the framework embodies.</w:t>
      </w:r>
    </w:p>
    <w:p>
      <w:pPr>
        <w:spacing w:before="120" w:after="0"/>
      </w:pPr>
    </w:p>
    <w:p>
      <w:pPr>
        <w:pStyle w:val="Heading2"/>
      </w:pPr>
      <w:r>
        <w:rPr>
          <w:rFonts w:ascii="Arial" w:hAnsi="Arial"/>
          <w:color w:val="1B2A4A"/>
          <w:sz w:val="28"/>
        </w:rPr>
        <w:t>6.5  Evidence Strategy and Next Steps</w:t>
      </w:r>
    </w:p>
    <w:p>
      <w:pPr>
        <w:spacing w:before="80" w:after="120"/>
        <w:jc w:val="both"/>
      </w:pPr>
      <w:r>
        <w:rPr>
          <w:rFonts w:ascii="Georgia" w:hAnsi="Georgia"/>
          <w:color w:val="3D3D3D"/>
          <w:sz w:val="22"/>
        </w:rPr>
        <w:t>The framework's credibility will be strengthened by prospective evidence — the application of the PDCA to live AI systems and the tracking of governance outcomes against the baseline of deployments conducted without PDCA. Even two or three documented pilot applications — in which operators complete a PDCA, make deployment decisions based on the Coherence Test findings, and track subsequent performance against the monitoring protocol — would transform the evidence base from retrospective to prospective. The retrospective case analysis methodology demonstrated here provides a template for further empirical work. Application of the Coherence Test to a wider range of documented cases, with systematic comparison of governance outcomes under existing frameworks and under the LAIF standard, would provide the outcome data needed to strengthen the empirical foundation of the framework's falsifiable claim.</w:t>
      </w:r>
    </w:p>
    <w:p>
      <w:pPr>
        <w:spacing w:before="120" w:after="0"/>
      </w:pPr>
    </w:p>
    <w:p>
      <w:r>
        <w:br w:type="page"/>
      </w:r>
    </w:p>
    <w:p>
      <w:pPr>
        <w:pStyle w:val="Heading1"/>
      </w:pPr>
      <w:r>
        <w:rPr>
          <w:rFonts w:ascii="Arial" w:hAnsi="Arial"/>
          <w:color w:val="1B2A4A"/>
          <w:sz w:val="36"/>
        </w:rPr>
        <w:t>REFERENCES</w:t>
      </w:r>
    </w:p>
    <w:p>
      <w:pPr>
        <w:spacing w:before="160" w:after="160"/>
        <w:pBdr>
          <w:bottom w:val="single" w:sz="12" w:space="1" w:color="B8963E"/>
        </w:pBdr>
      </w:pPr>
    </w:p>
    <w:p>
      <w:pPr>
        <w:spacing w:before="160" w:after="0"/>
      </w:pPr>
    </w:p>
    <w:p>
      <w:pPr>
        <w:pStyle w:val="ListParagraph"/>
        <w:spacing w:before="60" w:after="40"/>
        <w:ind w:left="576" w:hanging="576"/>
      </w:pPr>
      <w:r>
        <w:rPr>
          <w:rFonts w:ascii="Georgia" w:hAnsi="Georgia"/>
          <w:color w:val="3D3D3D"/>
          <w:sz w:val="20"/>
        </w:rPr>
        <w:t>Ada Lovelace Institute. (2023). Regulating AI in Europe and the UK.</w:t>
      </w:r>
    </w:p>
    <w:p>
      <w:pPr>
        <w:pStyle w:val="ListParagraph"/>
        <w:spacing w:before="60" w:after="40"/>
        <w:ind w:left="576" w:hanging="576"/>
      </w:pPr>
      <w:r>
        <w:rPr>
          <w:rFonts w:ascii="Georgia" w:hAnsi="Georgia"/>
          <w:color w:val="3D3D3D"/>
          <w:sz w:val="20"/>
        </w:rPr>
        <w:t>Alexy, R. (2002). A Theory of Constitutional Rights. Oxford University Press.</w:t>
      </w:r>
    </w:p>
    <w:p>
      <w:pPr>
        <w:pStyle w:val="ListParagraph"/>
        <w:spacing w:before="60" w:after="40"/>
        <w:ind w:left="576" w:hanging="576"/>
      </w:pPr>
      <w:r>
        <w:rPr>
          <w:rFonts w:ascii="Georgia" w:hAnsi="Georgia"/>
          <w:color w:val="3D3D3D"/>
          <w:sz w:val="20"/>
        </w:rPr>
        <w:t>Craig, P. (2012). EU Administrative Law (2nd ed.). Oxford University Press.</w:t>
      </w:r>
    </w:p>
    <w:p>
      <w:pPr>
        <w:pStyle w:val="ListParagraph"/>
        <w:spacing w:before="60" w:after="40"/>
        <w:ind w:left="576" w:hanging="576"/>
      </w:pPr>
      <w:r>
        <w:rPr>
          <w:rFonts w:ascii="Georgia" w:hAnsi="Georgia"/>
          <w:color w:val="3D3D3D"/>
          <w:sz w:val="20"/>
        </w:rPr>
        <w:t>European Union. (2024). Regulation (EU) 2024/1689 laying down harmonised rules on artificial intelligence (AI Act). Official Journal of the EU.</w:t>
      </w:r>
    </w:p>
    <w:p>
      <w:pPr>
        <w:pStyle w:val="ListParagraph"/>
        <w:spacing w:before="60" w:after="40"/>
        <w:ind w:left="576" w:hanging="576"/>
      </w:pPr>
      <w:r>
        <w:rPr>
          <w:rFonts w:ascii="Georgia" w:hAnsi="Georgia"/>
          <w:color w:val="3D3D3D"/>
          <w:sz w:val="20"/>
        </w:rPr>
        <w:t>European Union. (2022). Regulation (EU) 2022/2065 on a Single Market For Digital Services (Digital Services Act). Official Journal of the EU.</w:t>
      </w:r>
    </w:p>
    <w:p>
      <w:pPr>
        <w:pStyle w:val="ListParagraph"/>
        <w:spacing w:before="60" w:after="40"/>
        <w:ind w:left="576" w:hanging="576"/>
      </w:pPr>
      <w:r>
        <w:rPr>
          <w:rFonts w:ascii="Georgia" w:hAnsi="Georgia"/>
          <w:color w:val="3D3D3D"/>
          <w:sz w:val="20"/>
        </w:rPr>
        <w:t>Mökander, J., Morley, J., Taddeo, M., and Floridi, L. (2023). Ethics-based auditing of automated decision-making systems. Science and Engineering Ethics, 27(4).</w:t>
      </w:r>
    </w:p>
    <w:p>
      <w:pPr>
        <w:pStyle w:val="ListParagraph"/>
        <w:spacing w:before="60" w:after="40"/>
        <w:ind w:left="576" w:hanging="576"/>
      </w:pPr>
      <w:r>
        <w:rPr>
          <w:rFonts w:ascii="Georgia" w:hAnsi="Georgia"/>
          <w:color w:val="3D3D3D"/>
          <w:sz w:val="20"/>
        </w:rPr>
        <w:t>National Institute of Standards and Technology. (2023). AI Risk Management Framework 1.0. US Department of Commerce.</w:t>
      </w:r>
    </w:p>
    <w:p>
      <w:pPr>
        <w:pStyle w:val="ListParagraph"/>
        <w:spacing w:before="60" w:after="40"/>
        <w:ind w:left="576" w:hanging="576"/>
      </w:pPr>
      <w:r>
        <w:rPr>
          <w:rFonts w:ascii="Georgia" w:hAnsi="Georgia"/>
          <w:color w:val="3D3D3D"/>
          <w:sz w:val="20"/>
        </w:rPr>
        <w:t>OECD. (2019). OECD Principles on Artificial Intelligence. OECD/LEGAL/0449.</w:t>
      </w:r>
    </w:p>
    <w:p>
      <w:pPr>
        <w:pStyle w:val="ListParagraph"/>
        <w:spacing w:before="60" w:after="40"/>
        <w:ind w:left="576" w:hanging="576"/>
      </w:pPr>
      <w:r>
        <w:rPr>
          <w:rFonts w:ascii="Georgia" w:hAnsi="Georgia"/>
          <w:color w:val="3D3D3D"/>
          <w:sz w:val="20"/>
        </w:rPr>
        <w:t>ProPublica. (2016). Machine Bias. Angwin, J. et al.</w:t>
      </w:r>
    </w:p>
    <w:p>
      <w:pPr>
        <w:pStyle w:val="ListParagraph"/>
        <w:spacing w:before="60" w:after="40"/>
        <w:ind w:left="576" w:hanging="576"/>
      </w:pPr>
      <w:r>
        <w:rPr>
          <w:rFonts w:ascii="Georgia" w:hAnsi="Georgia"/>
          <w:color w:val="3D3D3D"/>
          <w:sz w:val="20"/>
        </w:rPr>
        <w:t>Raji, I.D., Smart, A., White, R.N., Mitchell, M., Gebru, T., Hutchinson, B., Smith-Loud, J., Theron, D., and Barnes, P. (2020). Closing the AI accountability gap. Proceedings of the 2020 ACM Conference on Fairness, Accountability, and Transparency.</w:t>
      </w:r>
    </w:p>
    <w:p>
      <w:pPr>
        <w:pStyle w:val="ListParagraph"/>
        <w:spacing w:before="60" w:after="40"/>
        <w:ind w:left="576" w:hanging="576"/>
      </w:pPr>
      <w:r>
        <w:rPr>
          <w:rFonts w:ascii="Georgia" w:hAnsi="Georgia"/>
          <w:color w:val="3D3D3D"/>
          <w:sz w:val="20"/>
        </w:rPr>
        <w:t>State v. Loomis, 881 N.W.2d 749 (Wis. 2016).</w:t>
      </w:r>
    </w:p>
    <w:p>
      <w:pPr>
        <w:pStyle w:val="ListParagraph"/>
        <w:spacing w:before="60" w:after="40"/>
        <w:ind w:left="576" w:hanging="576"/>
      </w:pPr>
      <w:r>
        <w:rPr>
          <w:rFonts w:ascii="Georgia" w:hAnsi="Georgia"/>
          <w:color w:val="3D3D3D"/>
          <w:sz w:val="20"/>
        </w:rPr>
        <w:t>UNESCO. (2021). Recommendation on the Ethics of Artificial Intelligence.</w:t>
      </w:r>
    </w:p>
    <w:p>
      <w:pPr>
        <w:pStyle w:val="ListParagraph"/>
        <w:spacing w:before="60" w:after="40"/>
        <w:ind w:left="576" w:hanging="576"/>
      </w:pPr>
      <w:r>
        <w:rPr>
          <w:rFonts w:ascii="Georgia" w:hAnsi="Georgia"/>
          <w:color w:val="3D3D3D"/>
          <w:sz w:val="20"/>
        </w:rPr>
        <w:t>Veale, M. and Borgesius, F.Z. (2021). Demystifying the Draft EU Artificial Intelligence Act. Computer Law Review International, 22(4), 97–112.</w:t>
      </w:r>
    </w:p>
    <w:p>
      <w:pPr>
        <w:pStyle w:val="ListParagraph"/>
        <w:spacing w:before="60" w:after="40"/>
        <w:ind w:left="576" w:hanging="576"/>
      </w:pPr>
      <w:r>
        <w:rPr>
          <w:rFonts w:ascii="Georgia" w:hAnsi="Georgia"/>
          <w:color w:val="3D3D3D"/>
          <w:sz w:val="20"/>
        </w:rPr>
        <w:t>Wachter, S., Mittelstadt, B., and Russell, C. (2017). Counterfactual explanations without opening the black box. Harvard Journal of Law and Technology, 31(2).</w:t>
      </w:r>
    </w:p>
    <w:p>
      <w:pPr>
        <w:pStyle w:val="ListParagraph"/>
        <w:spacing w:before="60" w:after="40"/>
        <w:ind w:left="576" w:hanging="576"/>
      </w:pPr>
      <w:r>
        <w:rPr>
          <w:rFonts w:ascii="Georgia" w:hAnsi="Georgia"/>
          <w:color w:val="3D3D3D"/>
          <w:sz w:val="20"/>
        </w:rPr>
        <w:t>Walker, W.E., Haasnoot, M., and Kwakkel, J.H. (2019). Adapt or perish: A review of planning approaches for adaptation under deep uncertainty. Sustainability, 5(3), 955–979.</w:t>
      </w:r>
    </w:p>
    <w:p>
      <w:pPr>
        <w:pStyle w:val="ListParagraph"/>
        <w:spacing w:before="60" w:after="40"/>
        <w:ind w:left="576" w:hanging="576"/>
      </w:pPr>
      <w:r>
        <w:rPr>
          <w:rFonts w:ascii="Georgia" w:hAnsi="Georgia"/>
          <w:color w:val="3D3D3D"/>
          <w:sz w:val="20"/>
        </w:rPr>
        <w:t>White House. (2023). Executive Order 14110 on the Safe, Secure, and Trustworthy Development and Use of Artificial Intelligence.</w:t>
      </w:r>
    </w:p>
    <w:sectPr w:rsidR="00FC693F" w:rsidRPr="0006063C" w:rsidSect="00034616">
      <w:pgSz w:w="12240" w:h="15840"/>
      <w:pgMar w:top="1296" w:right="1296" w:bottom="1296"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