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left"/>
      </w:pPr>
      <w:r>
        <w:rPr>
          <w:rFonts w:ascii="Arial" w:hAnsi="Arial"/>
          <w:b/>
          <w:color w:val="1B2A4A"/>
          <w:sz w:val="52"/>
        </w:rPr>
        <w:t>When AI Meets Clinical Documentation:</w:t>
      </w:r>
    </w:p>
    <w:p>
      <w:pPr>
        <w:spacing w:before="0" w:after="160"/>
        <w:jc w:val="left"/>
      </w:pPr>
      <w:r>
        <w:rPr>
          <w:rFonts w:ascii="Arial" w:hAnsi="Arial"/>
          <w:b/>
          <w:color w:val="B8963E"/>
          <w:sz w:val="40"/>
        </w:rPr>
        <w:t>A Governance Audit of Real AI Deployments — and What It Finds</w:t>
      </w:r>
    </w:p>
    <w:p>
      <w:pPr>
        <w:spacing w:before="120" w:after="120"/>
        <w:pBdr>
          <w:bottom w:val="single" w:sz="6" w:space="1" w:color="B8963E"/>
        </w:pBdr>
      </w:pPr>
    </w:p>
    <w:p>
      <w:pPr>
        <w:spacing w:before="80" w:after="400"/>
        <w:jc w:val="left"/>
      </w:pPr>
      <w:r>
        <w:rPr>
          <w:rFonts w:ascii="Arial" w:hAnsi="Arial"/>
          <w:color w:val="888888"/>
          <w:sz w:val="20"/>
        </w:rPr>
        <w:t>Law-Aligned Intelligence Framework  ·  April 2026  ·  Governance Audit Series</w:t>
      </w:r>
    </w:p>
    <w:p>
      <w:r>
        <w:t>Related LAIF documents: LAIF v1.2 Principal Text · PDCA-Full Assessment (GPT-4 Clinical) · Compliance Toolkit v1.1 · Regulatory Integration Guide · Case Analysis · Policy Paper</w:t>
      </w:r>
    </w:p>
    <w:p>
      <w:pPr>
        <w:spacing w:before="80" w:after="160"/>
        <w:jc w:val="both"/>
      </w:pPr>
      <w:r>
        <w:rPr>
          <w:rFonts w:ascii="Georgia" w:hAnsi="Georgia"/>
          <w:i w:val="0"/>
          <w:color w:val="3D3D3D"/>
          <w:sz w:val="24"/>
        </w:rPr>
        <w:t>Between 2023 and 2025, hospitals and clinical software vendors deployed large language models into clinical documentation workflows at scale. GPT-4 was integrated into electronic health records to generate clinical notes, discharge summaries, referral letters, and diagnostic support outputs. The deployments happened quickly, in advance of regulatory frameworks adequate to govern them.</w:t>
      </w:r>
    </w:p>
    <w:p>
      <w:pPr>
        <w:spacing w:before="80" w:after="160"/>
        <w:jc w:val="both"/>
      </w:pPr>
      <w:r>
        <w:rPr>
          <w:rFonts w:ascii="Georgia" w:hAnsi="Georgia"/>
          <w:i w:val="0"/>
          <w:color w:val="3D3D3D"/>
          <w:sz w:val="24"/>
        </w:rPr>
        <w:t>The peer-reviewed literature subsequently documented what this looked like in practice. Published case series reported fabricated laboratory values appearing in clinical notes — values not present in the source data. Allergy records were omitted from discharge summaries. Plausible but clinically incorrect medication dosing information was generated. In multi-patient summary contexts, findings from one patient's record were misattributed to another. These were not isolated incidents. They were documented patterns.</w:t>
      </w:r>
    </w:p>
    <w:p>
      <w:pPr>
        <w:spacing w:before="80" w:after="160"/>
        <w:jc w:val="both"/>
      </w:pPr>
      <w:r>
        <w:rPr>
          <w:rFonts w:ascii="Georgia" w:hAnsi="Georgia"/>
          <w:i w:val="0"/>
          <w:color w:val="3D3D3D"/>
          <w:sz w:val="24"/>
        </w:rPr>
        <w:t>This article describes what a structured governance audit of those deployments reveals — specifically, what a systematic application of the Law-Aligned Intelligence Framework's Pre-Deployment Coherence Assessment produces when applied to this class of deployment. The findings are not theoretical. They are the output of applying a defined standard to documented deployment conditions.</w:t>
      </w:r>
    </w:p>
    <w:p>
      <w:pPr>
        <w:spacing w:before="320" w:after="0"/>
      </w:pPr>
    </w:p>
    <w:p>
      <w:pPr>
        <w:pStyle w:val="Heading2"/>
      </w:pPr>
      <w:r>
        <w:rPr>
          <w:rFonts w:ascii="Arial" w:hAnsi="Arial"/>
          <w:color w:val="1B2A4A"/>
          <w:sz w:val="30"/>
        </w:rPr>
        <w:t>The Three Questions That a Governance Audit Asks</w:t>
      </w:r>
    </w:p>
    <w:p>
      <w:pPr>
        <w:spacing w:before="120" w:after="120"/>
        <w:pBdr>
          <w:bottom w:val="single" w:sz="8" w:space="1" w:color="B8963E"/>
        </w:pBdr>
      </w:pPr>
    </w:p>
    <w:p>
      <w:pPr>
        <w:spacing w:before="160" w:after="0"/>
      </w:pPr>
    </w:p>
    <w:p>
      <w:pPr>
        <w:spacing w:before="80" w:after="160"/>
        <w:jc w:val="both"/>
      </w:pPr>
      <w:r>
        <w:rPr>
          <w:rFonts w:ascii="Georgia" w:hAnsi="Georgia"/>
          <w:i w:val="0"/>
          <w:color w:val="3D3D3D"/>
          <w:sz w:val="24"/>
        </w:rPr>
        <w:t>The governance audit applied here asks three questions of any proposed AI deployment. The questions are not novel — they reflect principles present in constitutional proportionality reasoning, administrative law, and risk-based regulation. What is novel is their combination into a single unified test applied consistently across all actors and scales.</w:t>
      </w: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DDE2EC"/>
              <w:bottom w:val="single" w:sz="4" w:space="0" w:color="DDE2EC"/>
              <w:right w:val="single" w:sz="4" w:space="0" w:color="DDE2EC"/>
              <w:left w:val="single" w:sz="18" w:space="0" w:color="B8963E"/>
            </w:tcBorders>
          </w:tcPr>
          <w:p>
            <w:pPr>
              <w:spacing w:before="200" w:after="200"/>
              <w:jc w:val="both"/>
            </w:pPr>
            <w:r>
              <w:rPr>
                <w:rFonts w:ascii="Georgia" w:hAnsi="Georgia"/>
                <w:i/>
                <w:color w:val="1B2A4A"/>
                <w:sz w:val="26"/>
              </w:rPr>
              <w:t>For every restriction a deployment imposes, is there a protection of equivalent force for the specific human interest that restriction is meant to serve? Does the governance logic hold at smaller and larger scales? And do the deployment's consequences preserve the capacity of future actors to change course?</w:t>
            </w:r>
          </w:p>
        </w:tc>
      </w:tr>
    </w:tbl>
    <w:p>
      <w:pPr>
        <w:spacing w:before="240" w:after="0"/>
      </w:pPr>
    </w:p>
    <w:p>
      <w:pPr>
        <w:spacing w:before="80" w:after="160"/>
        <w:jc w:val="both"/>
      </w:pPr>
      <w:r>
        <w:rPr>
          <w:rFonts w:ascii="Georgia" w:hAnsi="Georgia"/>
          <w:i w:val="0"/>
          <w:color w:val="3D3D3D"/>
          <w:sz w:val="24"/>
        </w:rPr>
        <w:t>The first question — the coupling question — is the one most consistently failed by existing AI governance. Risk management frameworks identify what might go wrong. They are substantially less rigorous about what specifically protects the people who bear that risk. The gap between these two is the primary structural failure this audit identifies.</w:t>
      </w:r>
    </w:p>
    <w:p>
      <w:pPr>
        <w:spacing w:before="80" w:after="160"/>
        <w:jc w:val="both"/>
      </w:pPr>
      <w:r>
        <w:rPr>
          <w:rFonts w:ascii="Georgia" w:hAnsi="Georgia"/>
          <w:i w:val="0"/>
          <w:color w:val="3D3D3D"/>
          <w:sz w:val="24"/>
        </w:rPr>
        <w:t>The second question — the consistency question — tests whether the governance logic is principled or opportunistic. If the reasoning that justifies this deployment would produce obviously unjust or unworkable results when applied to all comparable actors, it is not a governance principle. It is a carve-out.</w:t>
      </w:r>
    </w:p>
    <w:p>
      <w:pPr>
        <w:spacing w:before="80" w:after="160"/>
        <w:jc w:val="both"/>
      </w:pPr>
      <w:r>
        <w:rPr>
          <w:rFonts w:ascii="Georgia" w:hAnsi="Georgia"/>
          <w:i w:val="0"/>
          <w:color w:val="3D3D3D"/>
          <w:sz w:val="24"/>
        </w:rPr>
        <w:t>The third question — the reversibility question — tests whether the deployment produces consequences that cannot be undone. In clinical contexts, this is not abstract. A diagnosis recorded in a patient's medical record based on AI-generated content that was never verified is not a consequence that a subsequent policy change can reverse for that patient.</w:t>
      </w:r>
    </w:p>
    <w:p>
      <w:pPr>
        <w:spacing w:before="320" w:after="0"/>
      </w:pPr>
    </w:p>
    <w:p>
      <w:pPr>
        <w:pStyle w:val="Heading2"/>
      </w:pPr>
      <w:r>
        <w:rPr>
          <w:rFonts w:ascii="Arial" w:hAnsi="Arial"/>
          <w:color w:val="1B2A4A"/>
          <w:sz w:val="30"/>
        </w:rPr>
        <w:t>What the Audit Found</w:t>
      </w:r>
    </w:p>
    <w:p>
      <w:pPr>
        <w:spacing w:before="120" w:after="120"/>
        <w:pBdr>
          <w:bottom w:val="single" w:sz="8" w:space="1" w:color="B8963E"/>
        </w:pBdr>
      </w:pPr>
    </w:p>
    <w:p>
      <w:pPr>
        <w:spacing w:before="160" w:after="0"/>
      </w:pPr>
    </w:p>
    <w:p>
      <w:pPr>
        <w:spacing w:before="80" w:after="160"/>
        <w:jc w:val="both"/>
      </w:pPr>
      <w:r>
        <w:rPr>
          <w:rFonts w:ascii="Georgia" w:hAnsi="Georgia"/>
          <w:i w:val="0"/>
          <w:color w:val="3D3D3D"/>
          <w:sz w:val="24"/>
        </w:rPr>
        <w:t>In the clinical documentation deployment configurations assessed, the audit identified structural failures across all three questions. The findings are summarised here. The complete assessment, with full evidentiary basis and section-by-section analysis, is available in the LAIF PDCA-Full document.</w:t>
      </w:r>
    </w:p>
    <w:p>
      <w:pPr>
        <w:pStyle w:val="Heading3"/>
      </w:pPr>
      <w:r>
        <w:rPr>
          <w:rFonts w:ascii="Arial" w:hAnsi="Arial"/>
          <w:color w:val="B8963E"/>
          <w:sz w:val="24"/>
        </w:rPr>
        <w:t>The transparency failure</w:t>
      </w:r>
    </w:p>
    <w:p>
      <w:pPr>
        <w:spacing w:before="80" w:after="160"/>
        <w:jc w:val="both"/>
      </w:pPr>
      <w:r>
        <w:rPr>
          <w:rFonts w:ascii="Georgia" w:hAnsi="Georgia"/>
          <w:i w:val="0"/>
          <w:color w:val="3D3D3D"/>
          <w:sz w:val="24"/>
        </w:rPr>
        <w:t>In the deployment configurations assessed, no mechanism existed for the system to produce a meaningful account of why specific clinical content was generated. This matters for a specific reason: in clinical contexts, the standard for a meaningful account is not 'the model produced this output.' It is: what data did the system rely on, what is the system's known accuracy for this type of output in comparable populations, and what are the specific limitations relevant to this patient's situation?</w:t>
      </w:r>
    </w:p>
    <w:p>
      <w:pPr>
        <w:spacing w:before="80" w:after="160"/>
        <w:jc w:val="both"/>
      </w:pPr>
      <w:r>
        <w:rPr>
          <w:rFonts w:ascii="Georgia" w:hAnsi="Georgia"/>
          <w:i w:val="0"/>
          <w:color w:val="3D3D3D"/>
          <w:sz w:val="24"/>
        </w:rPr>
        <w:t>None of these were available to clinicians or patients in standard EHR integration configurations. The explanation outputs that could be prompted from the system were post-hoc rationalisations generated by the same process as the original output — a structural property of transformer-based LLMs. An explanation of a hallucinated laboratory value may itself be fluent, confident, and wrong.</w:t>
      </w:r>
    </w:p>
    <w:p>
      <w:pPr>
        <w:pStyle w:val="Heading3"/>
      </w:pPr>
      <w:r>
        <w:rPr>
          <w:rFonts w:ascii="Arial" w:hAnsi="Arial"/>
          <w:color w:val="B8963E"/>
          <w:sz w:val="24"/>
        </w:rPr>
        <w:t>The honesty failure</w:t>
      </w:r>
    </w:p>
    <w:p>
      <w:pPr>
        <w:spacing w:before="80" w:after="160"/>
        <w:jc w:val="both"/>
      </w:pPr>
      <w:r>
        <w:rPr>
          <w:rFonts w:ascii="Georgia" w:hAnsi="Georgia"/>
          <w:i w:val="0"/>
          <w:color w:val="3D3D3D"/>
          <w:sz w:val="24"/>
        </w:rPr>
        <w:t>The system's actual optimisation objective — generating fluent, contextually plausible text — does not correspond to the clinical deployment objective of generating accurate, complete, and verifiable clinical documentation. This divergence is structural, not a configuration error. Prompt engineering can constrain format; it cannot change what the system is optimising for.</w:t>
      </w:r>
    </w:p>
    <w:p>
      <w:pPr>
        <w:spacing w:before="80" w:after="160"/>
        <w:jc w:val="both"/>
      </w:pPr>
      <w:r>
        <w:rPr>
          <w:rFonts w:ascii="Georgia" w:hAnsi="Georgia"/>
          <w:i w:val="0"/>
          <w:color w:val="3D3D3D"/>
          <w:sz w:val="24"/>
        </w:rPr>
        <w:t>In the assessed deployment configurations, outputs were integrated into clinical documentation workflows without identification of their AI-generated provenance. The deployment configuration — not the model — created this problem. The output was presented as clinical documentation. It was AI-generated text that required clinical verification before being treated as authoritative. These are different things, and the deployment did not communicate the difference.</w:t>
      </w:r>
    </w:p>
    <w:p>
      <w:pPr>
        <w:pStyle w:val="Heading3"/>
      </w:pPr>
      <w:r>
        <w:rPr>
          <w:rFonts w:ascii="Arial" w:hAnsi="Arial"/>
          <w:color w:val="B8963E"/>
          <w:sz w:val="24"/>
        </w:rPr>
        <w:t>The containment failure</w:t>
      </w:r>
    </w:p>
    <w:p>
      <w:pPr>
        <w:spacing w:before="80" w:after="160"/>
        <w:jc w:val="both"/>
      </w:pPr>
      <w:r>
        <w:rPr>
          <w:rFonts w:ascii="Georgia" w:hAnsi="Georgia"/>
          <w:i w:val="0"/>
          <w:color w:val="3D3D3D"/>
          <w:sz w:val="24"/>
        </w:rPr>
        <w:t>The system in standard API deployment configurations would attempt to generate a clinical output for any clinical input, including inputs outside any validated scope. A clinician requesting a specialist cardiology note from a system validated only for general practitioner documentation received a fluent, plausible cardiology note — not a scope limitation flag. The human review step between system output and clinical action was present, but in high-volume emergency department environments, documented failure modes show that this step does not consistently interrupt the pathway to clinical consequence.</w:t>
      </w:r>
    </w:p>
    <w:p>
      <w:pPr>
        <w:spacing w:before="320" w:after="0"/>
      </w:pPr>
    </w:p>
    <w:p>
      <w:pPr>
        <w:pStyle w:val="Heading2"/>
      </w:pPr>
      <w:r>
        <w:rPr>
          <w:rFonts w:ascii="Arial" w:hAnsi="Arial"/>
          <w:color w:val="1B2A4A"/>
          <w:sz w:val="30"/>
        </w:rPr>
        <w:t>The Coupling Gap — the Core Finding</w:t>
      </w:r>
    </w:p>
    <w:p>
      <w:pPr>
        <w:spacing w:before="120" w:after="120"/>
        <w:pBdr>
          <w:bottom w:val="single" w:sz="8" w:space="1" w:color="B8963E"/>
        </w:pBdr>
      </w:pPr>
    </w:p>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DDE2EC"/>
              <w:bottom w:val="single" w:sz="4" w:space="0" w:color="DDE2EC"/>
              <w:right w:val="single" w:sz="4" w:space="0" w:color="DDE2EC"/>
              <w:left w:val="single" w:sz="18" w:space="0" w:color="B8963E"/>
            </w:tcBorders>
          </w:tcPr>
          <w:p>
            <w:pPr>
              <w:spacing w:before="200" w:after="200"/>
              <w:jc w:val="both"/>
            </w:pPr>
            <w:r>
              <w:rPr>
                <w:rFonts w:ascii="Georgia" w:hAnsi="Georgia"/>
                <w:i/>
                <w:color w:val="1B2A4A"/>
                <w:sz w:val="26"/>
              </w:rPr>
              <w:t>The deployment authorisation — API access and operator prompt engineering — does not generate any corresponding protection of the patient's interest in accurate clinical documentation. The authorisation has normative force. The protection has none.</w:t>
            </w:r>
          </w:p>
        </w:tc>
      </w:tr>
    </w:tbl>
    <w:p>
      <w:pPr>
        <w:spacing w:before="240" w:after="0"/>
      </w:pPr>
    </w:p>
    <w:p>
      <w:pPr>
        <w:spacing w:before="80" w:after="160"/>
        <w:jc w:val="both"/>
      </w:pPr>
      <w:r>
        <w:rPr>
          <w:rFonts w:ascii="Georgia" w:hAnsi="Georgia"/>
          <w:i w:val="0"/>
          <w:color w:val="3D3D3D"/>
          <w:sz w:val="24"/>
        </w:rPr>
        <w:t>This is the fundamental structural failure. It is also the one that is most invisible in conventional AI governance practice, because conventional governance focuses on identifying risks rather than on confirming that protections of equivalent force exist for the interests those risks threaten.</w:t>
      </w:r>
    </w:p>
    <w:p>
      <w:pPr>
        <w:spacing w:before="80" w:after="160"/>
        <w:jc w:val="both"/>
      </w:pPr>
      <w:r>
        <w:rPr>
          <w:rFonts w:ascii="Georgia" w:hAnsi="Georgia"/>
          <w:i w:val="0"/>
          <w:color w:val="3D3D3D"/>
          <w:sz w:val="24"/>
        </w:rPr>
        <w:t>The audit demonstrates this concretely: there is a patient whose clinical record is being generated by an AI system. That patient has a clear and identifiable interest — accurate documentation of their clinical status, correctly identifying their allergies, correctly recording their medications, supporting rather than compromising the decisions of their treating team. The question the coupling requirement asks is not 'have we identified the risk of inaccuracy?' The question is 'what, specifically, protects this patient's interest in accuracy with the same normative force as the authorisation to deploy the system?'</w:t>
      </w:r>
    </w:p>
    <w:p>
      <w:pPr>
        <w:spacing w:before="80" w:after="160"/>
        <w:jc w:val="both"/>
      </w:pPr>
      <w:r>
        <w:rPr>
          <w:rFonts w:ascii="Georgia" w:hAnsi="Georgia"/>
          <w:i w:val="0"/>
          <w:color w:val="3D3D3D"/>
          <w:sz w:val="24"/>
        </w:rPr>
        <w:t>In the assessed deployment configurations, the answer was nothing. The audit does not say this to be provocative. It says it because that is what a systematic application of the standard produces.</w:t>
      </w:r>
    </w:p>
    <w:p>
      <w:pPr>
        <w:spacing w:before="320" w:after="0"/>
      </w:pPr>
    </w:p>
    <w:p>
      <w:pPr>
        <w:pStyle w:val="Heading2"/>
      </w:pPr>
      <w:r>
        <w:rPr>
          <w:rFonts w:ascii="Arial" w:hAnsi="Arial"/>
          <w:color w:val="1B2A4A"/>
          <w:sz w:val="30"/>
        </w:rPr>
        <w:t>What a Coherent Deployment Would Require</w:t>
      </w:r>
    </w:p>
    <w:p>
      <w:pPr>
        <w:spacing w:before="120" w:after="120"/>
        <w:pBdr>
          <w:bottom w:val="single" w:sz="8" w:space="1" w:color="B8963E"/>
        </w:pBdr>
      </w:pPr>
    </w:p>
    <w:p>
      <w:pPr>
        <w:spacing w:before="160" w:after="0"/>
      </w:pPr>
    </w:p>
    <w:p>
      <w:pPr>
        <w:spacing w:before="80" w:after="160"/>
        <w:jc w:val="both"/>
      </w:pPr>
      <w:r>
        <w:rPr>
          <w:rFonts w:ascii="Georgia" w:hAnsi="Georgia"/>
          <w:i w:val="0"/>
          <w:color w:val="3D3D3D"/>
          <w:sz w:val="24"/>
        </w:rPr>
        <w:t>The audit does not conclude that AI-assisted clinical documentation is structurally incompatible with sound governance. It concludes that the specific deployment configurations assessed are not coherent — and it specifies exactly what would need to change for them to be. This is the part of the audit that converts it from a critique into something more useful: an engineering constraint.</w:t>
      </w:r>
    </w:p>
    <w:p>
      <w:pPr>
        <w:spacing w:before="80" w:after="160"/>
        <w:jc w:val="both"/>
      </w:pPr>
      <w:r>
        <w:rPr>
          <w:rFonts w:ascii="Georgia" w:hAnsi="Georgia"/>
          <w:i w:val="0"/>
          <w:color w:val="3D3D3D"/>
          <w:sz w:val="24"/>
        </w:rPr>
        <w:t>A coherent deployment of this class would require, at minimum: pre-deployment clinical safety validation against the specific deployment context, not just general LLM capability testing; mandatory identification of AI-generated content within the clinical record, visible to clinicians, patients, and external reviewers; a mechanism enabling clinicians to obtain, on request, a specification of the data inputs the system relied upon and its known performance metrics for the output type in question; a documented process for reporting AI-generated errors as governance events rather than product defects; clinical governance committee authorisation at a level of institutional authority proportional to the patient safety risk; patient disclosure before their records are generated by AI; and discrimination testing across patient demographic groups before deployment.</w:t>
      </w:r>
    </w:p>
    <w:p>
      <w:pPr>
        <w:spacing w:before="80" w:after="160"/>
        <w:jc w:val="both"/>
      </w:pPr>
      <w:r>
        <w:rPr>
          <w:rFonts w:ascii="Georgia" w:hAnsi="Georgia"/>
          <w:i w:val="0"/>
          <w:color w:val="3D3D3D"/>
          <w:sz w:val="24"/>
        </w:rPr>
        <w:t>These are not aspirational requirements. They are the specific conditions under which a deployment of this class satisfies the three questions of the governance audit. A deployment that satisfies them would be coherent. The deployments assessed did not satisfy them.</w:t>
      </w:r>
    </w:p>
    <w:p>
      <w:pPr>
        <w:spacing w:before="320" w:after="0"/>
      </w:pPr>
    </w:p>
    <w:p>
      <w:pPr>
        <w:pStyle w:val="Heading2"/>
      </w:pPr>
      <w:r>
        <w:rPr>
          <w:rFonts w:ascii="Arial" w:hAnsi="Arial"/>
          <w:color w:val="1B2A4A"/>
          <w:sz w:val="30"/>
        </w:rPr>
        <w:t>Why This Matters Beyond Clinical AI</w:t>
      </w:r>
    </w:p>
    <w:p>
      <w:pPr>
        <w:spacing w:before="120" w:after="120"/>
        <w:pBdr>
          <w:bottom w:val="single" w:sz="8" w:space="1" w:color="B8963E"/>
        </w:pBdr>
      </w:pPr>
    </w:p>
    <w:p>
      <w:pPr>
        <w:spacing w:before="160" w:after="0"/>
      </w:pPr>
    </w:p>
    <w:p>
      <w:pPr>
        <w:spacing w:before="80" w:after="160"/>
        <w:jc w:val="both"/>
      </w:pPr>
      <w:r>
        <w:rPr>
          <w:rFonts w:ascii="Georgia" w:hAnsi="Georgia"/>
          <w:i w:val="0"/>
          <w:color w:val="3D3D3D"/>
          <w:sz w:val="24"/>
        </w:rPr>
        <w:t>The clinical AI case is used here because it is concrete, documented, and consequential. The failure modes are in the literature. The patient harms are real. But the structural finding — that deployment authorisations proceed without coupled protections of equivalent normative force for the specific human interests at stake — is not specific to clinical AI.</w:t>
      </w:r>
    </w:p>
    <w:p>
      <w:pPr>
        <w:spacing w:before="80" w:after="160"/>
        <w:jc w:val="both"/>
      </w:pPr>
      <w:r>
        <w:rPr>
          <w:rFonts w:ascii="Georgia" w:hAnsi="Georgia"/>
          <w:i w:val="0"/>
          <w:color w:val="3D3D3D"/>
          <w:sz w:val="24"/>
        </w:rPr>
        <w:t>The same structural analysis, applied retrospectively to documented AI governance failures in criminal justice (COMPAS recidivism prediction), employment (Amazon recruitment screening), public administration (Dutch childcare benefits), and social media (engagement-optimisation amplification), produces the same finding in every case. Every failure involved a deployment authorisation that was not coupled to a protection of equivalent force for the specific human interest the deployment purported to serve.</w:t>
      </w: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DDE2EC"/>
              <w:bottom w:val="single" w:sz="4" w:space="0" w:color="DDE2EC"/>
              <w:right w:val="single" w:sz="4" w:space="0" w:color="DDE2EC"/>
              <w:left w:val="single" w:sz="18" w:space="0" w:color="B8963E"/>
            </w:tcBorders>
          </w:tcPr>
          <w:p>
            <w:pPr>
              <w:spacing w:before="200" w:after="200"/>
              <w:jc w:val="both"/>
            </w:pPr>
            <w:r>
              <w:rPr>
                <w:rFonts w:ascii="Georgia" w:hAnsi="Georgia"/>
                <w:i/>
                <w:color w:val="1B2A4A"/>
                <w:sz w:val="26"/>
              </w:rPr>
              <w:t>Existing AI governance instruments identify and manage risks. They do not consistently require that protections of equivalent normative force exist for the specific interests those risks threaten. That gap is where documented AI harms consistently occur.</w:t>
            </w:r>
          </w:p>
        </w:tc>
      </w:tr>
    </w:tbl>
    <w:p>
      <w:pPr>
        <w:spacing w:before="240" w:after="0"/>
      </w:pPr>
    </w:p>
    <w:p>
      <w:pPr>
        <w:spacing w:before="80" w:after="160"/>
        <w:jc w:val="both"/>
      </w:pPr>
      <w:r>
        <w:rPr>
          <w:rFonts w:ascii="Georgia" w:hAnsi="Georgia"/>
          <w:i w:val="0"/>
          <w:color w:val="3D3D3D"/>
          <w:sz w:val="24"/>
        </w:rPr>
        <w:t>A governance standard that makes the coupling requirement explicit — that demands, for every restriction, the identification and protection of the specific human interest that restriction is meant to serve — provides a structural basis for preventing that class of failure at the design stage rather than identifying it after enforcement is required.</w:t>
      </w:r>
    </w:p>
    <w:p>
      <w:pPr>
        <w:spacing w:before="320" w:after="0"/>
      </w:pPr>
    </w:p>
    <w:p>
      <w:pPr>
        <w:pStyle w:val="Heading2"/>
      </w:pPr>
      <w:r>
        <w:rPr>
          <w:rFonts w:ascii="Arial" w:hAnsi="Arial"/>
          <w:color w:val="1B2A4A"/>
          <w:sz w:val="30"/>
        </w:rPr>
        <w:t>The Strategic Question</w:t>
      </w:r>
    </w:p>
    <w:p>
      <w:pPr>
        <w:spacing w:before="120" w:after="120"/>
        <w:pBdr>
          <w:bottom w:val="single" w:sz="8" w:space="1" w:color="B8963E"/>
        </w:pBdr>
      </w:pPr>
    </w:p>
    <w:p>
      <w:pPr>
        <w:spacing w:before="160" w:after="0"/>
      </w:pPr>
    </w:p>
    <w:p>
      <w:pPr>
        <w:spacing w:before="80" w:after="160"/>
        <w:jc w:val="both"/>
      </w:pPr>
      <w:r>
        <w:rPr>
          <w:rFonts w:ascii="Georgia" w:hAnsi="Georgia"/>
          <w:i w:val="0"/>
          <w:color w:val="3D3D3D"/>
          <w:sz w:val="24"/>
        </w:rPr>
        <w:t>The governance audit described here is one application of a framework — the Law-Aligned Intelligence Framework (LAIF) — designed to operate at constitutional level above existing regulatory instruments. It is not a replacement for the EU AI Act, the NIST AI Risk Management Framework, or sector-specific clinical AI guidance. It is a meta-evaluative standard: a compact set of questions that any governance instrument, deployment decision, or regulatory measure can be assessed against for structural coherence.</w:t>
      </w:r>
    </w:p>
    <w:p>
      <w:pPr>
        <w:spacing w:before="80" w:after="160"/>
        <w:jc w:val="both"/>
      </w:pPr>
      <w:r>
        <w:rPr>
          <w:rFonts w:ascii="Georgia" w:hAnsi="Georgia"/>
          <w:i w:val="0"/>
          <w:color w:val="3D3D3D"/>
          <w:sz w:val="24"/>
        </w:rPr>
        <w:t>The immediate practical value is straightforward. Regulators assessing clinical AI deployments can use the coupling question as a systematic check: for this deployment authorisation, what specifically protects the patient's interest in accurate documentation with equivalent normative force? If the answer is unclear, the deployment requires redesign before it proceeds. That check takes minutes to apply and would have identified the structural gap in every documented clinical AI governance failure reviewed in this analysis.</w:t>
      </w:r>
    </w:p>
    <w:p>
      <w:pPr>
        <w:spacing w:before="80" w:after="160"/>
        <w:jc w:val="both"/>
      </w:pPr>
      <w:r>
        <w:rPr>
          <w:rFonts w:ascii="Georgia" w:hAnsi="Georgia"/>
          <w:i w:val="0"/>
          <w:color w:val="3D3D3D"/>
          <w:sz w:val="24"/>
        </w:rPr>
        <w:t>The broader implication is that AI governance is better served by a structural standard that generates principled answers to novel situations than by an ever-expanding catalogue of enumerated rules that cannot keep pace with the technology. The clinical AI case illustrates both the cost of the enumeration approach — regulatory frameworks arrived after deployments had already produced documented harms — and the availability of an alternative.</w:t>
      </w:r>
    </w:p>
    <w:p>
      <w:pPr>
        <w:spacing w:before="240" w:after="0"/>
      </w:pPr>
    </w:p>
    <w:p>
      <w:pPr>
        <w:spacing w:before="120" w:after="120"/>
        <w:pBdr>
          <w:bottom w:val="single" w:sz="4" w:space="1" w:color="DDE2EC"/>
        </w:pBdr>
      </w:pPr>
    </w:p>
    <w:p>
      <w:pPr>
        <w:spacing w:before="160" w:after="0"/>
      </w:pPr>
    </w:p>
    <w:p>
      <w:pPr>
        <w:spacing w:before="120" w:after="80"/>
      </w:pPr>
      <w:r>
        <w:rPr>
          <w:rFonts w:ascii="Arial" w:hAnsi="Arial"/>
          <w:b/>
          <w:color w:val="1B2A4A"/>
          <w:sz w:val="20"/>
        </w:rPr>
        <w:t>About this analysis</w:t>
      </w:r>
    </w:p>
    <w:p>
      <w:pPr>
        <w:spacing w:before="40" w:after="80"/>
        <w:jc w:val="both"/>
      </w:pPr>
      <w:r>
        <w:rPr>
          <w:rFonts w:ascii="Georgia" w:hAnsi="Georgia"/>
          <w:color w:val="888888"/>
          <w:sz w:val="20"/>
        </w:rPr>
        <w:t>This article draws on a complete PDCA-Full assessment conducted under the Law-Aligned Intelligence Framework (LAIF) v1.2. The full assessment — including section-by-section analysis, evidentiary basis, redesign requirements, and conditions for a coherent deployment — is available as a standalone document. The LAIF principal text (v1.2), Compliance Toolkit (v1.1), Retrospective Case Analysis, Policy Paper, and Regulatory Integration Guide constitute the full governance system of which this audit is one application.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