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2E74B5"/>
          <w:sz w:val="46"/>
        </w:rPr>
        <w:t>Laboratoire Squat_GUI</w:t>
      </w:r>
    </w:p>
    <w:p>
      <w:pPr>
        <w:spacing w:after="320"/>
      </w:pPr>
      <w:r>
        <w:rPr>
          <w:rFonts w:ascii="Calibri" w:hAnsi="Calibri"/>
          <w:color w:val="1F4D78"/>
          <w:sz w:val="28"/>
        </w:rPr>
        <w:t>Laboratoire — Squat 2D, dynamique inverse et interprétation pratique</w:t>
      </w:r>
    </w:p>
    <w:p>
      <w:pPr>
        <w:pStyle w:val="Heading1"/>
      </w:pPr>
      <w:r>
        <w:t>Contexte</w:t>
      </w:r>
    </w:p>
    <w:p>
      <w:r>
        <w:t>Ce laboratoire utilise le logiciel `Squat_GUI` et son interface CLI `python -m squat_gui` pour relier des consignes pratiques de squat à des variables biomécaniques : cinématique, dynamique inverse, CoM, CoP/ZMP, forces de réaction au sol, couples, puissances et ratios d’effort. Il introduit également la notion d’équilibre postural : une même pose basse peut ne plus être acceptable lorsque la morphologie ou la position de la barre change.</w:t>
      </w:r>
    </w:p>
    <w:p>
      <w:r>
        <w:t>Le laboratoire est construit pour être associé à des questions dans Studium/Moodle. Les questions numériques doivent être calculées à partir des sorties produites localement avec le GUI ou la ligne de commande.</w:t>
      </w:r>
    </w:p>
    <w:p>
      <w:pPr>
        <w:pStyle w:val="Heading1"/>
      </w:pPr>
      <w:r>
        <w:t>Objectifs pédagogiques</w:t>
      </w:r>
    </w:p>
    <w:p>
      <w:r>
        <w:t>À la fin du laboratoire, l’étudiant devrait pouvoir :</w:t>
      </w:r>
    </w:p>
    <w:p>
      <w:pPr>
        <w:pStyle w:val="ListNumber"/>
      </w:pPr>
      <w:r>
        <w:t>expliquer comment la posture modifie la distribution des moments entre hanche, genou et cheville;</w:t>
      </w:r>
    </w:p>
    <w:p>
      <w:pPr>
        <w:pStyle w:val="ListNumber"/>
      </w:pPr>
      <w:r>
        <w:t>interpréter le CoM, le CoP/ZMP et le polygone d’appui dans une tâche de squat;</w:t>
      </w:r>
    </w:p>
    <w:p>
      <w:pPr>
        <w:pStyle w:val="ListNumber"/>
      </w:pPr>
      <w:r>
        <w:t>distinguer couple brut et ratio d’effort normalisé par capacité articulaire;</w:t>
      </w:r>
    </w:p>
    <w:p>
      <w:pPr>
        <w:pStyle w:val="ListNumber"/>
      </w:pPr>
      <w:r>
        <w:t>analyser l’effet de la morphologie et de la position de barre sur l’équilibre, puis proposer une compensation posturale;</w:t>
      </w:r>
    </w:p>
    <w:p>
      <w:pPr>
        <w:pStyle w:val="ListNumber"/>
      </w:pPr>
      <w:r>
        <w:t>analyser l’effet de la charge, de la vitesse et des longueurs segmentaires;</w:t>
      </w:r>
    </w:p>
    <w:p>
      <w:pPr>
        <w:pStyle w:val="ListNumber"/>
      </w:pPr>
      <w:r>
        <w:t>décomposer un moment articulaire en couple total, effet du contact et efforts inertiels/non-linéaires;</w:t>
      </w:r>
    </w:p>
    <w:p>
      <w:pPr>
        <w:pStyle w:val="ListNumber"/>
      </w:pPr>
      <w:r>
        <w:t>relier les résultats simulés à des résultats expérimentaux publiés;</w:t>
      </w:r>
    </w:p>
    <w:p>
      <w:pPr>
        <w:pStyle w:val="ListNumber"/>
      </w:pPr>
      <w:r>
        <w:t>formuler une recommandation pratique nuancée plutôt qu’une règle universelle.</w:t>
      </w:r>
    </w:p>
    <w:p>
      <w:pPr>
        <w:pStyle w:val="Heading1"/>
      </w:pPr>
      <w:r>
        <w:t>Préparation</w:t>
      </w:r>
    </w:p>
    <w:p>
      <w:r>
        <w:t>Avant la séance, lire les résumés de littérature dans `docs/references_litterature.md` et répondre aux QCM de préparation.</w:t>
      </w:r>
    </w:p>
    <w:p>
      <w:r>
        <w:t>Commande de base depuis la racine du projet :</w:t>
      </w:r>
    </w:p>
    <w:p>
      <w:pPr>
        <w:pStyle w:val="NoSpacing"/>
      </w:pPr>
      <w:r>
        <w:t>python -m squat_gui run --backend biorbd --out exports/condition_demo.csv --summary exports/condition_demo_summary.json</w:t>
      </w:r>
    </w:p>
    <w:p>
      <w:r>
        <w:t>Si les scripts de ce dossier sont utilisés :</w:t>
      </w:r>
    </w:p>
    <w:p>
      <w:pPr>
        <w:pStyle w:val="NoSpacing"/>
      </w:pPr>
      <w:r>
        <w:t>cd Labo</w:t>
        <w:br/>
        <w:t>python scripts/run_squat_batch.py --conditions scenarios/scenarios_labo_squat.csv --out results_labo_squat</w:t>
        <w:br/>
        <w:t>python scripts/analyse_squat_results.py --results results_labo_squat/results.csv --out results_labo_squat/summary_metrics.csv</w:t>
      </w:r>
    </w:p>
    <w:p>
      <w:pPr>
        <w:pStyle w:val="Heading1"/>
      </w:pPr>
      <w:r>
        <w:t>Déroulement proposé</w:t>
      </w:r>
    </w:p>
    <w:p>
      <w:pPr>
        <w:pStyle w:val="Heading2"/>
      </w:pPr>
      <w:r>
        <w:t>Bloc 1 — Référence et lecture des sorties</w:t>
      </w:r>
    </w:p>
    <w:p>
      <w:r>
        <w:t>Lancer une simulation baseline. Identifier les angles articulaires, les vitesses, les accélérations, les moments, les puissances, le CoM, le CoP/ZMP et les ratios d’effort.</w:t>
      </w:r>
    </w:p>
    <w:p>
      <w:r>
        <w:t>Questions d’analyse :</w:t>
      </w:r>
    </w:p>
    <w:p>
      <w:pPr>
        <w:pStyle w:val="ListBullet"/>
      </w:pPr>
      <w:r>
        <w:t>Le pic de couple au genou survient-il au point bas ou pendant la remontée?</w:t>
      </w:r>
    </w:p>
    <w:p>
      <w:pPr>
        <w:pStyle w:val="ListBullet"/>
      </w:pPr>
      <w:r>
        <w:t>Le CoP reste-t-il dans le pied?</w:t>
      </w:r>
    </w:p>
    <w:p>
      <w:pPr>
        <w:pStyle w:val="ListBullet"/>
      </w:pPr>
      <w:r>
        <w:t>Quelle articulation a le ratio d’effort le plus élevé?</w:t>
      </w:r>
    </w:p>
    <w:p>
      <w:pPr>
        <w:pStyle w:val="Heading2"/>
      </w:pPr>
      <w:r>
        <w:t>Bloc 2 — Posture : hanche vs genou</w:t>
      </w:r>
    </w:p>
    <w:p>
      <w:r>
        <w:t>Comparer `posture_knee_dominant` et `posture_hip_dominant`.</w:t>
      </w:r>
    </w:p>
    <w:p>
      <w:r>
        <w:t>Hypothèse : une posture plus verticale avec genoux avancés augmente la demande relative au genou; une posture avec tronc plus incliné augmente la demande à la hanche.</w:t>
      </w:r>
    </w:p>
    <w:p>
      <w:r>
        <w:t>Variables à extraire : pics de couples, ratios d’effort, ratio hanche/genou, CoP min/max.</w:t>
      </w:r>
    </w:p>
    <w:p>
      <w:r>
        <w:t>Lien littérature attendu : Fry et al. (2003), Straub &amp; Powers (2024).</w:t>
      </w:r>
    </w:p>
    <w:p>
      <w:pPr>
        <w:pStyle w:val="Heading2"/>
      </w:pPr>
      <w:r>
        <w:t>Bloc 3 — Équilibre postural : morphologie et prise de barre</w:t>
      </w:r>
    </w:p>
    <w:p>
      <w:r>
        <w:t>Le principe de ce bloc est de tenir la pose basse constante au début de la comparaison. La charge est exprimée en pourcentage du poids de corps et vaut 40 % BW dans les essais fournis.</w:t>
      </w:r>
    </w:p>
    <w:p>
      <w:r>
        <w:t>Comparer d’abord :</w:t>
      </w:r>
    </w:p>
    <w:p>
      <w:pPr>
        <w:pStyle w:val="ListBullet"/>
      </w:pPr>
      <w:r>
        <w:t>`balance_bar_back`, `balance_bar_front` et `balance_bar_overhead`;</w:t>
      </w:r>
    </w:p>
    <w:p>
      <w:pPr>
        <w:pStyle w:val="ListBullet"/>
      </w:pPr>
      <w:r>
        <w:t>`balance_long_thigh_back` et `balance_long_thigh_front`;</w:t>
      </w:r>
    </w:p>
    <w:p>
      <w:pPr>
        <w:pStyle w:val="ListBullet"/>
      </w:pPr>
      <w:r>
        <w:t>`balance_pregnant_back` et `balance_pregnant_front`.</w:t>
      </w:r>
    </w:p>
    <w:p>
      <w:r>
        <w:t>Questions d’analyse :</w:t>
      </w:r>
    </w:p>
    <w:p>
      <w:pPr>
        <w:pStyle w:val="ListBullet"/>
      </w:pPr>
      <w:r>
        <w:t>À pose identique, comment la prise de barre déplace-t-elle le CoM au point bas et le CoP/ZMP pendant le mouvement?</w:t>
      </w:r>
    </w:p>
    <w:p>
      <w:pPr>
        <w:pStyle w:val="ListBullet"/>
      </w:pPr>
      <w:r>
        <w:t>Une cuisse plus longue ou le profil `femme enceinte` rend-il la même stratégie posturale plus difficile à équilibrer?</w:t>
      </w:r>
    </w:p>
    <w:p>
      <w:pPr>
        <w:pStyle w:val="ListBullet"/>
      </w:pPr>
      <w:r>
        <w:t>Dans quels cas le CoP sort-il du pied, et pendant combien de frames?</w:t>
      </w:r>
    </w:p>
    <w:p>
      <w:pPr>
        <w:pStyle w:val="ListBullet"/>
      </w:pPr>
      <w:r>
        <w:t>La prise qui améliore l’équilibre réduit-elle nécessairement le ratio d’effort de toutes les articulations?</w:t>
      </w:r>
    </w:p>
    <w:p>
      <w:r>
        <w:t>Étape de conception : ouvrir les conditions les plus critiques dans le GUI, ajuster les angles de la position de squat jusqu’à conserver le CoP dans le pied, puis enregistrer la condition adaptée. Rapporter les changements d’angles nécessaires et leurs conséquences sur les couples.</w:t>
      </w:r>
    </w:p>
    <w:p>
      <w:r>
        <w:t>Variables à extraire : `squat_com_x_m`, `squat_cop_x_m`, `cop_outside_foot_frames`, excursion du CoP, pics de couples et ratios d’effort.</w:t>
      </w:r>
    </w:p>
    <w:p>
      <w:r>
        <w:t>Lien littérature attendu : Chan &amp; Sigward (2020), Kim et al. (2021), Schoenfeld (2010).</w:t>
      </w:r>
    </w:p>
    <w:p>
      <w:pPr>
        <w:pStyle w:val="Heading2"/>
      </w:pPr>
      <w:r>
        <w:t>Bloc 4 — Limites d’appui</w:t>
      </w:r>
    </w:p>
    <w:p>
      <w:r>
        <w:t>Comparer `stability_forward` et `stability_backward`.</w:t>
      </w:r>
    </w:p>
    <w:p>
      <w:r>
        <w:t>Hypothèse : une posture peut être biomécaniquement exigeante sans être acceptable si le CoP sort du pied.</w:t>
      </w:r>
    </w:p>
    <w:p>
      <w:r>
        <w:t>Variables à extraire : CoP, CoM, couleur d’alerte du GUI, moments normalisés.</w:t>
      </w:r>
    </w:p>
    <w:p>
      <w:r>
        <w:t>Lien littérature attendu : Chan &amp; Sigward (2020), Kitamura et al. (2019).</w:t>
      </w:r>
    </w:p>
    <w:p>
      <w:pPr>
        <w:pStyle w:val="Heading2"/>
      </w:pPr>
      <w:r>
        <w:t>Bloc 5 — Charge externe</w:t>
      </w:r>
    </w:p>
    <w:p>
      <w:r>
        <w:t>Comparer `baseline`, `load_30bw`, `load_60bw` et `load_100bw`. La charge de barre est exprimée en pourcentage du poids de corps du sujet de référence de 70 kg.</w:t>
      </w:r>
    </w:p>
    <w:p>
      <w:r>
        <w:t>Hypothèse : la charge augmente les couples et les forces de réaction au sol, mais l’articulation limitante peut dépendre des capacités maximales.</w:t>
      </w:r>
    </w:p>
    <w:p>
      <w:r>
        <w:t>Variables à extraire : pics de couples, GRF verticale, ratios d’effort, première articulation dépassant 1.0.</w:t>
      </w:r>
    </w:p>
    <w:p>
      <w:r>
        <w:t>Lien littérature attendu : Pürzel et al. (2025), Schoenfeld (2010).</w:t>
      </w:r>
    </w:p>
    <w:p>
      <w:pPr>
        <w:pStyle w:val="Heading2"/>
      </w:pPr>
      <w:r>
        <w:t>Bloc 6 — Durée du mouvement</w:t>
      </w:r>
    </w:p>
    <w:p>
      <w:r>
        <w:t>Comparer `duration_slow` et `duration_fast` avec posture, charge et prise de barre constantes.</w:t>
      </w:r>
    </w:p>
    <w:p>
      <w:r>
        <w:t>Hypothèse : réduire la durée augmente les accélérations et peut modifier la part des efforts inertiels/non-linéaires dans le couple total.</w:t>
      </w:r>
    </w:p>
    <w:p>
      <w:r>
        <w:t>Variables à extraire : couple total de dynamique inverse, effet du contact, efforts inertiels/non-linéaires (`total - contact`) et puissance.</w:t>
      </w:r>
    </w:p>
    <w:p>
      <w:r>
        <w:t>Lien littérature attendu : Hannan &amp; King (2022).</w:t>
      </w:r>
    </w:p>
    <w:p>
      <w:pPr>
        <w:pStyle w:val="Heading2"/>
      </w:pPr>
      <w:r>
        <w:t>Bloc 7 — Mini-projet</w:t>
      </w:r>
    </w:p>
    <w:p>
      <w:r>
        <w:t>Chaque équipe choisit un objectif :</w:t>
      </w:r>
    </w:p>
    <w:p>
      <w:pPr>
        <w:pStyle w:val="ListBullet"/>
      </w:pPr>
      <w:r>
        <w:t>minimiser la demande relative au genou;</w:t>
      </w:r>
    </w:p>
    <w:p>
      <w:pPr>
        <w:pStyle w:val="ListBullet"/>
      </w:pPr>
      <w:r>
        <w:t>maximiser la sollicitation du genou sans dépasser les capacités;</w:t>
      </w:r>
    </w:p>
    <w:p>
      <w:pPr>
        <w:pStyle w:val="ListBullet"/>
      </w:pPr>
      <w:r>
        <w:t>garder le CoP au centre du pied;</w:t>
      </w:r>
    </w:p>
    <w:p>
      <w:pPr>
        <w:pStyle w:val="ListBullet"/>
      </w:pPr>
      <w:r>
        <w:t>adapter la posture pour préserver l’équilibre après un changement de morphologie ou de prise de barre;</w:t>
      </w:r>
    </w:p>
    <w:p>
      <w:pPr>
        <w:pStyle w:val="ListBullet"/>
      </w:pPr>
      <w:r>
        <w:t>augmenter la charge sans dépasser 80 % de capacité;</w:t>
      </w:r>
    </w:p>
    <w:p>
      <w:pPr>
        <w:pStyle w:val="ListBullet"/>
      </w:pPr>
      <w:r>
        <w:t>augmenter la vitesse tout en limitant la part inertielle.</w:t>
      </w:r>
    </w:p>
    <w:p>
      <w:r>
        <w:t>Le rapport doit inclure une hypothèse, un plan de simulations, une figure principale, un tableau de métriques, une interprétation pratique et au moins deux liens explicites avec la littérature.</w:t>
      </w:r>
    </w:p>
    <w:p>
      <w:pPr>
        <w:pStyle w:val="Heading1"/>
      </w:pPr>
      <w:r>
        <w:t>Livrables</w:t>
      </w:r>
    </w:p>
    <w:p>
      <w:pPr>
        <w:pStyle w:val="ListNumber"/>
      </w:pPr>
      <w:r>
        <w:t>fichier de résultats ou résumé `summary_metrics.csv`;</w:t>
      </w:r>
    </w:p>
    <w:p>
      <w:pPr>
        <w:pStyle w:val="ListNumber"/>
      </w:pPr>
      <w:r>
        <w:t>figures comparatives;</w:t>
      </w:r>
    </w:p>
    <w:p>
      <w:pPr>
        <w:pStyle w:val="ListNumber"/>
      </w:pPr>
      <w:r>
        <w:t>réponses au questionnaire ou aux questions remises par l’enseignant;</w:t>
      </w:r>
    </w:p>
    <w:p>
      <w:pPr>
        <w:pStyle w:val="ListNumber"/>
      </w:pPr>
      <w:r>
        <w:t>court rapport de 2 à 4 pages;</w:t>
      </w:r>
    </w:p>
    <w:p>
      <w:pPr>
        <w:pStyle w:val="ListNumber"/>
      </w:pPr>
      <w:r>
        <w:t>conclusion pratique : que peut-on recommander, et à quelles conditions?</w:t>
      </w:r>
    </w:p>
    <w:p>
      <w:pPr>
        <w:pStyle w:val="Heading1"/>
      </w:pPr>
      <w:r>
        <w:t>Critères d’évaluation</w:t>
      </w:r>
    </w:p>
    <w:tbl>
      <w:tblPr>
        <w:tblStyle w:val="TableGrid"/>
        <w:tblW w:type="dxa" w:w="9360"/>
        <w:jc w:val="center"/>
        <w:tblLayout w:type="fixed"/>
        <w:tblLook w:firstColumn="1" w:firstRow="1" w:lastColumn="0" w:lastRow="0" w:noHBand="0" w:noVBand="1" w:val="04A0"/>
      </w:tblPr>
      <w:tblGrid>
        <w:gridCol w:w="7300"/>
        <w:gridCol w:w="2060"/>
      </w:tblGrid>
      <w:tr>
        <w:trPr>
          <w:tblHeader w:val="true"/>
        </w:trPr>
        <w:tc>
          <w:tcPr>
            <w:tcW w:type="dxa" w:w="7300"/>
            <w:tcMar>
              <w:top w:w="80" w:type="dxa"/>
              <w:bottom w:w="80" w:type="dxa"/>
              <w:start w:w="120" w:type="dxa"/>
              <w:end w:w="120" w:type="dxa"/>
            </w:tcMar>
            <w:vAlign w:val="center"/>
            <w:shd w:fill="E8EEF5"/>
          </w:tcPr>
          <w:p>
            <w:r>
              <w:rPr>
                <w:b/>
              </w:rPr>
              <w:t>Critère</w:t>
            </w:r>
          </w:p>
        </w:tc>
        <w:tc>
          <w:tcPr>
            <w:tcW w:type="dxa" w:w="2060"/>
            <w:tcMar>
              <w:top w:w="80" w:type="dxa"/>
              <w:bottom w:w="80" w:type="dxa"/>
              <w:start w:w="120" w:type="dxa"/>
              <w:end w:w="120" w:type="dxa"/>
            </w:tcMar>
            <w:vAlign w:val="center"/>
            <w:shd w:fill="E8EEF5"/>
          </w:tcPr>
          <w:p>
            <w:r>
              <w:rPr>
                <w:b/>
              </w:rPr>
              <w:t>Points</w:t>
            </w:r>
          </w:p>
        </w:tc>
      </w:tr>
      <w:tr>
        <w:tc>
          <w:tcPr>
            <w:tcW w:type="dxa" w:w="7300"/>
            <w:tcMar>
              <w:top w:w="80" w:type="dxa"/>
              <w:bottom w:w="80" w:type="dxa"/>
              <w:start w:w="120" w:type="dxa"/>
              <w:end w:w="120" w:type="dxa"/>
            </w:tcMar>
            <w:vAlign w:val="center"/>
          </w:tcPr>
          <w:p>
            <w:r>
              <w:t>Simulations reproductibles et bien comparées</w:t>
            </w:r>
          </w:p>
        </w:tc>
        <w:tc>
          <w:tcPr>
            <w:tcW w:type="dxa" w:w="2060"/>
            <w:tcMar>
              <w:top w:w="80" w:type="dxa"/>
              <w:bottom w:w="80" w:type="dxa"/>
              <w:start w:w="120" w:type="dxa"/>
              <w:end w:w="120" w:type="dxa"/>
            </w:tcMar>
            <w:vAlign w:val="center"/>
          </w:tcPr>
          <w:p>
            <w:r>
              <w:t>20</w:t>
            </w:r>
          </w:p>
        </w:tc>
      </w:tr>
      <w:tr>
        <w:tc>
          <w:tcPr>
            <w:tcW w:type="dxa" w:w="7300"/>
            <w:tcMar>
              <w:top w:w="80" w:type="dxa"/>
              <w:bottom w:w="80" w:type="dxa"/>
              <w:start w:w="120" w:type="dxa"/>
              <w:end w:w="120" w:type="dxa"/>
            </w:tcMar>
            <w:vAlign w:val="center"/>
          </w:tcPr>
          <w:p>
            <w:r>
              <w:t>Analyse des moments, CoP/ZMP et ratios d’effort</w:t>
            </w:r>
          </w:p>
        </w:tc>
        <w:tc>
          <w:tcPr>
            <w:tcW w:type="dxa" w:w="2060"/>
            <w:tcMar>
              <w:top w:w="80" w:type="dxa"/>
              <w:bottom w:w="80" w:type="dxa"/>
              <w:start w:w="120" w:type="dxa"/>
              <w:end w:w="120" w:type="dxa"/>
            </w:tcMar>
            <w:vAlign w:val="center"/>
          </w:tcPr>
          <w:p>
            <w:r>
              <w:t>20</w:t>
            </w:r>
          </w:p>
        </w:tc>
      </w:tr>
      <w:tr>
        <w:tc>
          <w:tcPr>
            <w:tcW w:type="dxa" w:w="7300"/>
            <w:tcMar>
              <w:top w:w="80" w:type="dxa"/>
              <w:bottom w:w="80" w:type="dxa"/>
              <w:start w:w="120" w:type="dxa"/>
              <w:end w:w="120" w:type="dxa"/>
            </w:tcMar>
            <w:vAlign w:val="center"/>
          </w:tcPr>
          <w:p>
            <w:r>
              <w:t>Équilibre morphologie / prise de barre et adaptation proposée</w:t>
            </w:r>
          </w:p>
        </w:tc>
        <w:tc>
          <w:tcPr>
            <w:tcW w:type="dxa" w:w="2060"/>
            <w:tcMar>
              <w:top w:w="80" w:type="dxa"/>
              <w:bottom w:w="80" w:type="dxa"/>
              <w:start w:w="120" w:type="dxa"/>
              <w:end w:w="120" w:type="dxa"/>
            </w:tcMar>
            <w:vAlign w:val="center"/>
          </w:tcPr>
          <w:p>
            <w:r>
              <w:t>15</w:t>
            </w:r>
          </w:p>
        </w:tc>
      </w:tr>
      <w:tr>
        <w:tc>
          <w:tcPr>
            <w:tcW w:type="dxa" w:w="7300"/>
            <w:tcMar>
              <w:top w:w="80" w:type="dxa"/>
              <w:bottom w:w="80" w:type="dxa"/>
              <w:start w:w="120" w:type="dxa"/>
              <w:end w:w="120" w:type="dxa"/>
            </w:tcMar>
            <w:vAlign w:val="center"/>
          </w:tcPr>
          <w:p>
            <w:r>
              <w:t>Analyse dynamique total, contact, inertiels/non-linéaires et durée</w:t>
            </w:r>
          </w:p>
        </w:tc>
        <w:tc>
          <w:tcPr>
            <w:tcW w:type="dxa" w:w="2060"/>
            <w:tcMar>
              <w:top w:w="80" w:type="dxa"/>
              <w:bottom w:w="80" w:type="dxa"/>
              <w:start w:w="120" w:type="dxa"/>
              <w:end w:w="120" w:type="dxa"/>
            </w:tcMar>
            <w:vAlign w:val="center"/>
          </w:tcPr>
          <w:p>
            <w:r>
              <w:t>10</w:t>
            </w:r>
          </w:p>
        </w:tc>
      </w:tr>
      <w:tr>
        <w:tc>
          <w:tcPr>
            <w:tcW w:type="dxa" w:w="7300"/>
            <w:tcMar>
              <w:top w:w="80" w:type="dxa"/>
              <w:bottom w:w="80" w:type="dxa"/>
              <w:start w:w="120" w:type="dxa"/>
              <w:end w:w="120" w:type="dxa"/>
            </w:tcMar>
            <w:vAlign w:val="center"/>
          </w:tcPr>
          <w:p>
            <w:r>
              <w:t>Utilisation pertinente de la littérature</w:t>
            </w:r>
          </w:p>
        </w:tc>
        <w:tc>
          <w:tcPr>
            <w:tcW w:type="dxa" w:w="2060"/>
            <w:tcMar>
              <w:top w:w="80" w:type="dxa"/>
              <w:bottom w:w="80" w:type="dxa"/>
              <w:start w:w="120" w:type="dxa"/>
              <w:end w:w="120" w:type="dxa"/>
            </w:tcMar>
            <w:vAlign w:val="center"/>
          </w:tcPr>
          <w:p>
            <w:r>
              <w:t>20</w:t>
            </w:r>
          </w:p>
        </w:tc>
      </w:tr>
      <w:tr>
        <w:tc>
          <w:tcPr>
            <w:tcW w:type="dxa" w:w="7300"/>
            <w:tcMar>
              <w:top w:w="80" w:type="dxa"/>
              <w:bottom w:w="80" w:type="dxa"/>
              <w:start w:w="120" w:type="dxa"/>
              <w:end w:w="120" w:type="dxa"/>
            </w:tcMar>
            <w:vAlign w:val="center"/>
          </w:tcPr>
          <w:p>
            <w:r>
              <w:t>Recommandation pratique nuancée</w:t>
            </w:r>
          </w:p>
        </w:tc>
        <w:tc>
          <w:tcPr>
            <w:tcW w:type="dxa" w:w="2060"/>
            <w:tcMar>
              <w:top w:w="80" w:type="dxa"/>
              <w:bottom w:w="80" w:type="dxa"/>
              <w:start w:w="120" w:type="dxa"/>
              <w:end w:w="120" w:type="dxa"/>
            </w:tcMar>
            <w:vAlign w:val="center"/>
          </w:tcPr>
          <w:p>
            <w:r>
              <w:t>10</w:t>
            </w:r>
          </w:p>
        </w:tc>
      </w:tr>
      <w:tr>
        <w:tc>
          <w:tcPr>
            <w:tcW w:type="dxa" w:w="7300"/>
            <w:tcMar>
              <w:top w:w="80" w:type="dxa"/>
              <w:bottom w:w="80" w:type="dxa"/>
              <w:start w:w="120" w:type="dxa"/>
              <w:end w:w="120" w:type="dxa"/>
            </w:tcMar>
            <w:vAlign w:val="center"/>
          </w:tcPr>
          <w:p>
            <w:r>
              <w:t>Clarté des figures et tableaux</w:t>
            </w:r>
          </w:p>
        </w:tc>
        <w:tc>
          <w:tcPr>
            <w:tcW w:type="dxa" w:w="2060"/>
            <w:tcMar>
              <w:top w:w="80" w:type="dxa"/>
              <w:bottom w:w="80" w:type="dxa"/>
              <w:start w:w="120" w:type="dxa"/>
              <w:end w:w="120" w:type="dxa"/>
            </w:tcMar>
            <w:vAlign w:val="center"/>
          </w:tcPr>
          <w:p>
            <w:r>
              <w:t>5</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Guide étudiant | Squat_GUI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60" w:line="240" w:lineRule="auto"/>
      <w:ind w:left="259"/>
    </w:pPr>
    <w:rPr>
      <w:rFonts w:ascii="Consolas" w:hAnsi="Consolas"/>
      <w:sz w:val="18"/>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