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Global dose-response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24"/>
        <w:gridCol w:w="954"/>
        <w:gridCol w:w="1144"/>
        <w:gridCol w:w="1164"/>
        <w:gridCol w:w="754"/>
      </w:tblGrid>
      <w:tr>
        <w:trPr>
          <w:trHeight w:val="47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Molecule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k (total)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Q (model)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p (overall)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Stars</w:t>
            </w:r>
          </w:p>
        </w:tc>
      </w:tr>
      <w:tr>
        <w:trPr>
          <w:trHeight w:val="43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8.84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**</w:t>
            </w:r>
          </w:p>
        </w:tc>
      </w:tr>
      <w:tr>
        <w:trPr>
          <w:trHeight w:val="42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***</w:t>
            </w:r>
          </w:p>
        </w:tc>
      </w:tr>
      <w:tr>
        <w:trPr>
          <w:trHeight w:val="43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PSILOCYBIN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218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***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2026-05-17T15:53:18Z</dcterms:modified>
  <cp:category/>
</cp:coreProperties>
</file>