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adverse events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3"/>
        <w:gridCol w:w="3073"/>
        <w:gridCol w:w="493"/>
        <w:gridCol w:w="1164"/>
        <w:gridCol w:w="634"/>
      </w:tblGrid>
      <w:tr>
        <w:trPr>
          <w:trHeight w:val="4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Sig.</w:t>
            </w:r>
          </w:p>
        </w:tc>
      </w:tr>
      <w:tr>
        <w:trPr>
          <w:trHeight w:val="433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33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33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33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Tremor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paresthesia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5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feeling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Vomiting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temperature perception disturbances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29" w:hRule="auto"/>
        </w:trPr>
        body11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muscle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2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2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1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perspiration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1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0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ophthalmological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26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irritability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0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dissociation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body21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PSILOCYBIN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2" w:hRule="auto"/>
        </w:trPr>
        body22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33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2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tachycardia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5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abdominal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1" w:hRule="auto"/>
        </w:trPr>
        body30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palpitations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0.320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2026-05-17T15:53:18Z</dcterms:modified>
  <cp:category/>
</cp:coreProperties>
</file>