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9D9D" w14:textId="608B3869" w:rsidR="009B5B37" w:rsidRPr="00682EED" w:rsidRDefault="009B5B37" w:rsidP="009B5B37"/>
    <w:p w14:paraId="469059EA" w14:textId="77777777" w:rsidR="009B5B37" w:rsidRPr="00682EED" w:rsidRDefault="009B5B37" w:rsidP="009B5B37">
      <w:pPr>
        <w:rPr>
          <w:lang w:val="en-US"/>
        </w:rPr>
      </w:pPr>
    </w:p>
    <w:p w14:paraId="2AD64398" w14:textId="77777777" w:rsidR="009B5B37" w:rsidRPr="00CD0DB3" w:rsidRDefault="009B5B37" w:rsidP="009B5B37">
      <w:pPr>
        <w:spacing w:before="100" w:beforeAutospacing="1" w:after="100" w:afterAutospacing="1" w:line="240" w:lineRule="auto"/>
        <w:rPr>
          <w:lang w:val="en-US" w:eastAsia="fr-FR"/>
        </w:rPr>
      </w:pPr>
      <w:r w:rsidRPr="00012EBB">
        <w:rPr>
          <w:b/>
          <w:bCs/>
          <w:lang w:val="en-US" w:eastAsia="fr-FR"/>
        </w:rPr>
        <w:t>Figure 1. Global dose–response relationships for adverse events by molecule and time window.</w:t>
      </w:r>
      <w:r>
        <w:rPr>
          <w:lang w:val="en-US" w:eastAsia="fr-FR"/>
        </w:rPr>
        <w:t xml:space="preserve"> </w:t>
      </w:r>
      <w:r w:rsidRPr="00012EBB">
        <w:rPr>
          <w:lang w:val="en-US" w:eastAsia="fr-FR"/>
        </w:rPr>
        <w:t xml:space="preserve">Dose–response curves are shown for the session and follow-up observation windows using the best-supported model given the available dose structure. </w:t>
      </w:r>
      <w:r w:rsidRPr="00CD0DB3">
        <w:rPr>
          <w:lang w:val="en-US" w:eastAsia="fr-FR"/>
        </w:rPr>
        <w:t>Dose is expressed in micrograms for LSD and milligrams for other compounds.</w:t>
      </w:r>
    </w:p>
    <w:p w14:paraId="2C2A7064" w14:textId="77777777" w:rsidR="009B5B37" w:rsidRDefault="009B5B37">
      <w:pPr>
        <w:rPr>
          <w:b/>
          <w:bCs/>
          <w:color w:val="000000" w:themeColor="text1"/>
          <w:lang w:val="en-US"/>
        </w:rPr>
      </w:pPr>
    </w:p>
    <w:p w14:paraId="2712DB83" w14:textId="77777777" w:rsidR="009B5B37" w:rsidRDefault="009B5B37">
      <w:pPr>
        <w:rPr>
          <w:b/>
          <w:bCs/>
          <w:color w:val="000000" w:themeColor="text1"/>
          <w:lang w:val="en-US"/>
        </w:rPr>
      </w:pPr>
    </w:p>
    <w:p w14:paraId="07C25C88" w14:textId="580007AF" w:rsidR="009B5B37" w:rsidRDefault="009B5B37">
      <w:pPr>
        <w:rPr>
          <w:noProof/>
          <w:lang w:val="en-US"/>
        </w:rPr>
      </w:pPr>
    </w:p>
    <w:p w14:paraId="5F72B8A6" w14:textId="77777777" w:rsidR="009B5B37" w:rsidRDefault="009B5B37" w:rsidP="009B5B37">
      <w:pPr>
        <w:rPr>
          <w:noProof/>
          <w:lang w:val="en-US"/>
        </w:rPr>
      </w:pPr>
      <w:r w:rsidRPr="00596B36">
        <w:rPr>
          <w:b/>
          <w:bCs/>
          <w:color w:val="000000" w:themeColor="text1"/>
          <w:lang w:val="en-US"/>
        </w:rPr>
        <w:t xml:space="preserve">Figure 2. </w:t>
      </w:r>
      <w:r w:rsidRPr="007452E7">
        <w:rPr>
          <w:color w:val="000000" w:themeColor="text1"/>
          <w:lang w:val="en-US"/>
        </w:rPr>
        <w:t>Dose–response associations during dosing sessions for individual adverse event.</w:t>
      </w:r>
      <w:r w:rsidRPr="00596B36">
        <w:rPr>
          <w:b/>
          <w:bCs/>
          <w:color w:val="000000" w:themeColor="text1"/>
          <w:lang w:val="en-US"/>
        </w:rPr>
        <w:t xml:space="preserve"> </w:t>
      </w:r>
      <w:r w:rsidRPr="00596B36">
        <w:rPr>
          <w:color w:val="000000" w:themeColor="text1"/>
          <w:lang w:val="en-US"/>
        </w:rPr>
        <w:t>For each</w:t>
      </w:r>
      <w:r>
        <w:rPr>
          <w:color w:val="000000" w:themeColor="text1"/>
          <w:lang w:val="en-US"/>
        </w:rPr>
        <w:t xml:space="preserve"> individual </w:t>
      </w:r>
      <w:r w:rsidRPr="00596B36">
        <w:rPr>
          <w:color w:val="000000" w:themeColor="text1"/>
          <w:lang w:val="en-US"/>
        </w:rPr>
        <w:t xml:space="preserve">adverse event, modeled log odds ratios (log OR) are plotted as a function of dose for each substance. Only adverse events reported across at least two substances are displayed. Dose is normalized within each substance to facilitate cross-substance comparison. </w:t>
      </w:r>
      <w:r w:rsidRPr="00DD280F">
        <w:rPr>
          <w:color w:val="000000" w:themeColor="text1"/>
          <w:lang w:val="en-US"/>
        </w:rPr>
        <w:t>Solid lines indicate statistically significant linear dose–response slopes (p &lt; 0.05), whereas dashed lines indicate non-significant slopes.</w:t>
      </w:r>
    </w:p>
    <w:p w14:paraId="1F18CF51" w14:textId="77777777" w:rsidR="009B5B37" w:rsidRPr="009B5B37" w:rsidRDefault="009B5B37" w:rsidP="009B5B37"/>
    <w:sectPr w:rsidR="009B5B37" w:rsidRPr="009B5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FA979" w14:textId="77777777" w:rsidR="00935243" w:rsidRDefault="00935243" w:rsidP="009B5B37">
      <w:pPr>
        <w:spacing w:after="0" w:line="240" w:lineRule="auto"/>
      </w:pPr>
      <w:r>
        <w:separator/>
      </w:r>
    </w:p>
  </w:endnote>
  <w:endnote w:type="continuationSeparator" w:id="0">
    <w:p w14:paraId="55DCFF92" w14:textId="77777777" w:rsidR="00935243" w:rsidRDefault="00935243" w:rsidP="009B5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02477" w14:textId="77777777" w:rsidR="00935243" w:rsidRDefault="00935243" w:rsidP="009B5B37">
      <w:pPr>
        <w:spacing w:after="0" w:line="240" w:lineRule="auto"/>
      </w:pPr>
      <w:r>
        <w:separator/>
      </w:r>
    </w:p>
  </w:footnote>
  <w:footnote w:type="continuationSeparator" w:id="0">
    <w:p w14:paraId="43A1FAC4" w14:textId="77777777" w:rsidR="00935243" w:rsidRDefault="00935243" w:rsidP="009B5B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37"/>
    <w:rsid w:val="00072EB2"/>
    <w:rsid w:val="000D2905"/>
    <w:rsid w:val="00105453"/>
    <w:rsid w:val="001C20E9"/>
    <w:rsid w:val="001E3D67"/>
    <w:rsid w:val="001E429A"/>
    <w:rsid w:val="00292FB3"/>
    <w:rsid w:val="002B5C23"/>
    <w:rsid w:val="0039224A"/>
    <w:rsid w:val="0088186C"/>
    <w:rsid w:val="008C2387"/>
    <w:rsid w:val="00935243"/>
    <w:rsid w:val="0098163A"/>
    <w:rsid w:val="009B5B37"/>
    <w:rsid w:val="00C803CA"/>
    <w:rsid w:val="00CC1189"/>
    <w:rsid w:val="00DF79B5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5FDEC"/>
  <w15:chartTrackingRefBased/>
  <w15:docId w15:val="{F927358D-3EF6-DD4E-8DE4-80512DD0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5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5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5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5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5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5B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5B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5B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5B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5B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5B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5B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5B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5B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5B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5B37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B5B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B5B37"/>
  </w:style>
  <w:style w:type="paragraph" w:styleId="Pieddepage">
    <w:name w:val="footer"/>
    <w:basedOn w:val="Normal"/>
    <w:link w:val="PieddepageCar"/>
    <w:uiPriority w:val="99"/>
    <w:unhideWhenUsed/>
    <w:rsid w:val="009B5B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B5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ESKINAZI Mickael</dc:creator>
  <cp:keywords/>
  <dc:description/>
  <cp:lastModifiedBy>ESKINAZI Mickael</cp:lastModifiedBy>
  <cp:revision>2</cp:revision>
  <dcterms:created xsi:type="dcterms:W3CDTF">2026-02-08T18:29:00Z</dcterms:created>
  <dcterms:modified xsi:type="dcterms:W3CDTF">2026-02-08T18:29:00Z</dcterms:modified>
</cp:coreProperties>
</file>