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9D99" w14:textId="77777777" w:rsidR="0032425B" w:rsidRPr="004B3794" w:rsidRDefault="0032425B" w:rsidP="000752F4">
      <w:pPr>
        <w:spacing w:before="280"/>
        <w:rPr>
          <w:b/>
          <w:bCs/>
          <w:lang w:val="en-US"/>
        </w:rPr>
      </w:pPr>
    </w:p>
    <w:p w14:paraId="559C787C" w14:textId="741ED202" w:rsidR="00E42CCF" w:rsidRPr="00E42CCF" w:rsidRDefault="00542108" w:rsidP="00E42CCF">
      <w:pPr>
        <w:pStyle w:val="Paragraphedeliste"/>
        <w:numPr>
          <w:ilvl w:val="0"/>
          <w:numId w:val="2"/>
        </w:numPr>
        <w:spacing w:before="280"/>
        <w:rPr>
          <w:b/>
          <w:bCs/>
          <w:lang w:val="en-US"/>
        </w:rPr>
      </w:pPr>
      <w:r w:rsidRPr="00E42CCF">
        <w:rPr>
          <w:b/>
          <w:bCs/>
          <w:lang w:val="en-US"/>
        </w:rPr>
        <w:t>Introduction</w:t>
      </w:r>
    </w:p>
    <w:p w14:paraId="48762354" w14:textId="6C80FED7" w:rsidR="000829E4" w:rsidRPr="007A17FC" w:rsidRDefault="00542108" w:rsidP="00FC19AC">
      <w:pPr>
        <w:spacing w:after="240" w:line="360" w:lineRule="auto"/>
        <w:rPr>
          <w:lang w:val="en-US"/>
        </w:rPr>
      </w:pPr>
      <w:r w:rsidRPr="007A17FC">
        <w:rPr>
          <w:lang w:val="en-US"/>
        </w:rPr>
        <w:t>Psychedelic-assisted therapy has re-emerged as a promising intervention across several psychiatric conditions, supported by randomized controlled trials (RCTs) demonstrating clinically meaningful symptom reductions in major depressive disorder</w:t>
      </w:r>
      <w:r w:rsidR="00575EE5">
        <w:rPr>
          <w:lang w:val="en-US"/>
        </w:rPr>
        <w:t xml:space="preserve"> </w:t>
      </w:r>
      <w:r w:rsidR="00575EE5">
        <w:rPr>
          <w:lang w:val="en-US"/>
        </w:rPr>
        <w:fldChar w:fldCharType="begin"/>
      </w:r>
      <w:r w:rsidR="003D39F1">
        <w:rPr>
          <w:lang w:val="en-US"/>
        </w:rPr>
        <w:instrText xml:space="preserve"> ADDIN ZOTERO_ITEM CSL_CITATION {"citationID":"k8bmbK5Y","properties":{"formattedCitation":"(Back et al., 2024; R. Carhart-Harris et al., 2021; Goodwin et al., 2022; M\\uc0\\u252{}ller et al., 2025; Palhano-Fontes et al., 2019; Raison et al., 2023; Von Rotz et al., 2023)","plainCitation":"(Back et al., 2024; R. Carhart-Harris et al., 2021; Goodwin et al., 2022; Müller et al., 2025; Palhano-Fontes et al., 2019; Raison et al., 2023; Von Rotz et al., 2023)","noteIndex":0},"citationItems":[{"id":738,"uris":["http://zotero.org/users/4564126/items/Q6FRP3NY"],"itemData":{"id":738,"type":"article-journal","abstract":"BACKGROUND: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A."}],"issued":{"date-parts":[["2024",12,2]]}}}],"schema":"https://github.com/citation-style-language/schema/raw/master/csl-citation.json"} </w:instrText>
      </w:r>
      <w:r w:rsidR="00575EE5">
        <w:rPr>
          <w:lang w:val="en-US"/>
        </w:rPr>
        <w:fldChar w:fldCharType="separate"/>
      </w:r>
      <w:r w:rsidR="003D39F1" w:rsidRPr="003D39F1">
        <w:rPr>
          <w:lang w:val="fr-FR" w:eastAsia="en-US"/>
        </w:rPr>
        <w:t>(Back et al., 2024; R. Carhart-Harris et al., 2021; Goodwin et al., 2022; Müller et al., 2025; Palhano-Fontes et al., 2019; Raison et al., 2023; Von Rotz et al., 2023)</w:t>
      </w:r>
      <w:r w:rsidR="00575EE5">
        <w:rPr>
          <w:lang w:val="en-US"/>
        </w:rPr>
        <w:fldChar w:fldCharType="end"/>
      </w:r>
      <w:r w:rsidRPr="007A17FC">
        <w:rPr>
          <w:lang w:val="en-US"/>
        </w:rPr>
        <w:t>, anxiety disorders</w:t>
      </w:r>
      <w:r w:rsidR="00575EE5">
        <w:rPr>
          <w:lang w:val="en-US"/>
        </w:rPr>
        <w:t xml:space="preserve"> </w:t>
      </w:r>
      <w:r w:rsidR="00575EE5">
        <w:rPr>
          <w:lang w:val="en-US"/>
        </w:rPr>
        <w:fldChar w:fldCharType="begin"/>
      </w:r>
      <w:r w:rsidR="00575EE5">
        <w:rPr>
          <w:lang w:val="en-US"/>
        </w:rPr>
        <w:instrText xml:space="preserve"> ADDIN ZOTERO_ITEM CSL_CITATION {"citationID":"joDP4MS4","properties":{"formattedCitation":"(Dos Santos et al., 2021; Gasser et al., 2014; Holze et al., 2023; Robison et al., 2025; Ross et al., 2016)","plainCitation":"(Dos Santos et al., 2021; Gasser et al., 2014; Holze et al., 2023; Robison et al., 2025; Ross et al., 2016)","noteIndex":0},"citationItems":[{"id":619,"uris":["http://zotero.org/users/4564126/items/CRE2D4II"],"itemData":{"id":619,"type":"article-journal","abstract":"BACKGROUND: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L."}],"issued":{"date-parts":[["2016",12]]}}}],"schema":"https://github.com/citation-style-language/schema/raw/master/csl-citation.json"} </w:instrText>
      </w:r>
      <w:r w:rsidR="00575EE5">
        <w:rPr>
          <w:lang w:val="en-US"/>
        </w:rPr>
        <w:fldChar w:fldCharType="separate"/>
      </w:r>
      <w:r w:rsidR="00575EE5">
        <w:rPr>
          <w:noProof/>
          <w:lang w:val="en-US"/>
        </w:rPr>
        <w:t>(Dos Santos et al., 2021; Gasser et al., 2014; Holze et al., 2023; Robison et al., 2025; Ross et al., 2016)</w:t>
      </w:r>
      <w:r w:rsidR="00575EE5">
        <w:rPr>
          <w:lang w:val="en-US"/>
        </w:rPr>
        <w:fldChar w:fldCharType="end"/>
      </w:r>
      <w:r w:rsidRPr="007A17FC">
        <w:rPr>
          <w:lang w:val="en-US"/>
        </w:rPr>
        <w:t xml:space="preserve">, chronic PTSD </w:t>
      </w:r>
      <w:r w:rsidR="00575EE5">
        <w:rPr>
          <w:lang w:val="en-US"/>
        </w:rPr>
        <w:fldChar w:fldCharType="begin"/>
      </w:r>
      <w:r w:rsidR="00575EE5">
        <w:rPr>
          <w:lang w:val="en-US"/>
        </w:rPr>
        <w:instrText xml:space="preserve"> ADDIN ZOTERO_ITEM CSL_CITATION {"citationID":"WN4iEemD","properties":{"formattedCitation":"(Bouso et al., 2008; Mitchell et al., 2021; Mithoefer et al., 2011; Oehen et al., 2013; Ot\\uc0\\u8217{}alora G et al., 2018; Wolfson et al., 2020)","plainCitation":"(Bouso et al., 2008; Mitchell et al., 2021; Mithoefer et al., 2011; Oehen et al., 2013; Ot’alora G et al., 2018; Wolfson et al., 2020)","noteIndex":0},"citationItems":[{"id":3008,"uris":["http://zotero.org/users/4564126/items/UHRMJJI8"],"itemData":{"id":3008,"type":"article-journal","abstract":"The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575EE5">
        <w:rPr>
          <w:lang w:val="en-US"/>
        </w:rPr>
        <w:fldChar w:fldCharType="separate"/>
      </w:r>
      <w:r w:rsidR="00575EE5" w:rsidRPr="00575EE5">
        <w:rPr>
          <w:lang w:val="en-US" w:eastAsia="en-US"/>
        </w:rPr>
        <w:t>(Bouso et al., 2008; Mitchell et al., 2021; Mithoefer et al., 2011; Oehen et al., 2013; Ot’alora G et al., 2018; Wolfson et al., 2020)</w:t>
      </w:r>
      <w:r w:rsidR="00575EE5">
        <w:rPr>
          <w:lang w:val="en-US"/>
        </w:rPr>
        <w:fldChar w:fldCharType="end"/>
      </w:r>
      <w:r w:rsidRPr="007A17FC">
        <w:rPr>
          <w:lang w:val="en-US"/>
        </w:rPr>
        <w:t>, and alcohol use disorder</w:t>
      </w:r>
      <w:r w:rsidR="00575EE5">
        <w:rPr>
          <w:lang w:val="en-US"/>
        </w:rPr>
        <w:t xml:space="preserve"> </w:t>
      </w:r>
      <w:r w:rsidR="00575EE5">
        <w:rPr>
          <w:lang w:val="en-US"/>
        </w:rPr>
        <w:fldChar w:fldCharType="begin"/>
      </w:r>
      <w:r w:rsidR="00575EE5">
        <w:rPr>
          <w:lang w:val="en-US"/>
        </w:rPr>
        <w:instrText xml:space="preserve"> ADDIN ZOTERO_ITEM CSL_CITATION {"citationID":"FeTXtxNR","properties":{"formattedCitation":"(Bogenschutz et al., 2022; Hollister et al., 1969; Luquiens et al., 2025; Tomsovic &amp; Edwards, 1970)","plainCitation":"(Bogenschutz et al., 2022; Hollister et al., 1969; Luquiens et al., 2025; Tomsovic &amp; Edwards, 1970)","noteIndex":0},"citationItems":[{"id":2982,"uris":["http://zotero.org/users/4564126/items/H6YHRFSR"],"itemData":{"id":2982,"type":"article-journal","abstract":"OBJECTIVE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E."},{"family":"Shelton","given":"Jack"},{"family":"Krieger","given":"George"}],"issued":{"date-parts":[["1969",4]]}}},{"id":3026,"uris":["http://zotero.org/users/4564126/items/P45F8WJG"],"itemData":{"id":3026,"type":"article-journal","abstract":"Abstract\n            \n              Background and Aims\n              Psilocybin has emerged as a potential treatment for alcohol use disorder (AUD), but early efficacy data are inconsistent. Depression following alcohol detoxification significantly increases the risk of relapse. This pilot study aimed to evaluate the feasibility, acceptability, and preliminary efficacy of psilocybin‐assisted psychotherapy for patients with comorbid AUD and depression.\n            \n            \n              Design\n              A prospective, single‐center, double‐blind, parallel (2:1), randomized controlled pilot study.\n            \n            \n              Setting\n              The study was conducted in a French inpatient addiction treatment program offering intensive relapse prevention interventions.\n            \n            \n              Participants\n              \n                Of 350 screened patients, 30 adults (mean age 49 ± 10 years; 43% female) with severe AUD (\n                Diagnostic and Statistical Manual of Mental Disorders\n                , Fifth Edition [DSM‐5] criteria) and a Beck Depression Inventory‐II (BDI‐II) score ≥14 were included. Participants had completed detoxification between 14 and 60 days prior to inclusion.\n              \n            \n            \n              Interventions\n              Participants received either two oral sessions of 25 mg (n = 20) or 1 mg (n = 10) psilocybin‐assisted psychotherapy spaced three weeks apart, as an add‐on to standard care. Patients, investigators and outcome assessors were all blinded to patient group.\n            \n            \n              Measurements\n              The primary outcome was feasibility, according to participation in both dosing sessions and recruitment/inclusion rates. Secondary outcomes included alcohol use (Alcohol Timeline Followback), time to relapse, craving (Craving Experience Questionnaire), depression (BDI‐II), safety and blinding integrity.\n            \n            \n              Findings\n              One participant in the 25 mg group could not receive the second dose due to myocardial infarction occurring three days earlier, unrelated to the treatment. Four participants in the control group refused the second session after guessing their group assignment (p‐value = 0.019), with one participant self‐administering 3,4‐Methylenedioxymethamphetamine (MDMA). At 12 weeks, the 25 mg group showed significantly greater abstinent rate (11/20 (55%) vs 1/9 (11%) (one lost of follow up) (difference = −44%, [95% confidence interval [CI]: −82% to −5.9%]), p = 0.043), reductions in % drinking days −100 (−100 to −49) vs − 93 (−96 to 0), p = 0.038 and craving frequency −8 (−23 to −1) vs + 7 (−2 to 11), p = 0.045, respectively in the 25 vs 1 mg groups (median [25;75]). Relapse rates were 35% in the 25 mg group and 50% in the control group (HR = 0.52 [0.16 to1.65]). No efficacy differences were observed based on antidepressant use in terms of drinking and depression. Blinding was imperfect (correct guess by patients: 93.3%; investigators: 86.7%). Twenty‐five adverse events were reported in 10 patients (50%) in the 25 mg group versus 6 patients (60%) in the control group.\n            \n            \n              Conclusions\n              Psilocybin‐assisted psychotherapy appears feasible, acceptable, and safe in recently detoxified patients with comorbid alcohol use disorder and depression.","container-title":"Addiction","DOI":"10.1111/add.70152","ISSN":"0965-2140, 1360-0443","journalAbbreviation":"Addiction","language":"en","page":"add.70152","source":"DOI.org (Crossref)","title":"Psilocybin in alcohol use disorder and comorbid depressive symptoms: Results from a feasibility randomized clinical trial","title-short":"Psilocybin in alcohol use disorder and comorbid depressive symptoms","author":[{"family":"Luquiens","given":"Amandine"},{"family":"Belahda","given":"Dahbia"},{"family":"Graux","given":"Carine"},{"family":"Igounenc","given":"Noe"},{"family":"Serrand","given":"Chris"},{"family":"Rochefort","given":"Paul"},{"family":"Mura","given":"Thibault"},{"family":"Sergent","given":"Felix"}],"issued":{"date-parts":[["2025",7,24]]}}},{"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575EE5">
        <w:rPr>
          <w:lang w:val="en-US"/>
        </w:rPr>
        <w:fldChar w:fldCharType="separate"/>
      </w:r>
      <w:r w:rsidR="00575EE5">
        <w:rPr>
          <w:noProof/>
          <w:lang w:val="en-US"/>
        </w:rPr>
        <w:t>(Bogenschutz et al., 2022; Hollister et al., 1969; Luquiens et al., 2025; Tomsovic &amp; Edwards, 1970)</w:t>
      </w:r>
      <w:r w:rsidR="00575EE5">
        <w:rPr>
          <w:lang w:val="en-US"/>
        </w:rPr>
        <w:fldChar w:fldCharType="end"/>
      </w:r>
      <w:r w:rsidRPr="007A17FC">
        <w:rPr>
          <w:lang w:val="en-US"/>
        </w:rPr>
        <w:t xml:space="preserve"> . These advances span the major serotonergic psychedelics—psilocybin, LSD, and DMT/ayahuasca and also include MDMA, a non-classical psychedelic agent with distinct pharmacological properties</w:t>
      </w:r>
      <w:r w:rsidR="007A2814">
        <w:rPr>
          <w:lang w:val="en-US"/>
        </w:rPr>
        <w:t xml:space="preserve"> </w:t>
      </w:r>
      <w:r w:rsidR="007A2814">
        <w:rPr>
          <w:lang w:val="en-US"/>
        </w:rPr>
        <w:fldChar w:fldCharType="begin"/>
      </w:r>
      <w:r w:rsidR="007A2814">
        <w:rPr>
          <w:lang w:val="en-US"/>
        </w:rPr>
        <w:instrText xml:space="preserve"> ADDIN ZOTERO_ITEM CSL_CITATION {"citationID":"ZNPdVnjv","properties":{"formattedCitation":"(H\\uc0\\u248{}jlund et al., 2025)","plainCitation":"(Højlund et al., 2025)","noteIndex":0},"citationItems":[{"id":3114,"uris":["http://zotero.org/users/4564126/items/LVT7ZESL"],"itemData":{"id":3114,"type":"article-journal","container-title":"European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A."},{"family":"Solmi","given":"Marco"}],"issued":{"date-parts":[["2025"]]}}}],"schema":"https://github.com/citation-style-language/schema/raw/master/csl-citation.json"} </w:instrText>
      </w:r>
      <w:r w:rsidR="007A2814">
        <w:rPr>
          <w:lang w:val="en-US"/>
        </w:rPr>
        <w:fldChar w:fldCharType="separate"/>
      </w:r>
      <w:r w:rsidR="007A2814" w:rsidRPr="007A2814">
        <w:rPr>
          <w:lang w:val="fr-FR" w:eastAsia="en-US"/>
        </w:rPr>
        <w:t>(Højlund et al., 2025)</w:t>
      </w:r>
      <w:r w:rsidR="007A2814">
        <w:rPr>
          <w:lang w:val="en-US"/>
        </w:rPr>
        <w:fldChar w:fldCharType="end"/>
      </w:r>
      <w:r w:rsidRPr="007A17FC">
        <w:rPr>
          <w:lang w:val="en-US"/>
        </w:rPr>
        <w:t>.</w:t>
      </w:r>
    </w:p>
    <w:p w14:paraId="77362CE5" w14:textId="24FF192E" w:rsidR="000829E4" w:rsidRPr="007A17FC" w:rsidRDefault="00542108" w:rsidP="00FC19AC">
      <w:pPr>
        <w:spacing w:before="240" w:after="240" w:line="360" w:lineRule="auto"/>
        <w:rPr>
          <w:lang w:val="en-US"/>
        </w:rPr>
      </w:pPr>
      <w:r w:rsidRPr="007A17FC">
        <w:rPr>
          <w:lang w:val="en-US"/>
        </w:rPr>
        <w:t>As clinical evidence expands, regulatory landscapes are evolving</w:t>
      </w:r>
      <w:r w:rsidR="00A30C86">
        <w:rPr>
          <w:lang w:val="en-US"/>
        </w:rPr>
        <w:t xml:space="preserve"> </w:t>
      </w:r>
      <w:r w:rsidR="00C4252A">
        <w:rPr>
          <w:lang w:val="en-US"/>
        </w:rPr>
        <w:fldChar w:fldCharType="begin"/>
      </w:r>
      <w:r w:rsidR="00C4252A">
        <w:rPr>
          <w:lang w:val="en-US"/>
        </w:rPr>
        <w:instrText xml:space="preserve"> ADDIN ZOTERO_ITEM CSL_CITATION {"citationID":"um69AYrq","properties":{"formattedCitation":"(Solmi et al., 2022)","plainCitation":"(Solmi et al., 2022)","noteIndex":0},"citationItems":[{"id":324,"uris":["http://zotero.org/users/4564126/items/8EGK579D"],"itemData":{"id":324,"type":"article-journal","abstract":"A scientometric analysis was realized to outline clinical research on psychedelics over the last century. Web of Science Core Collection was searched  up to March 18, 2022, for publications on psychedelics. Network analyses and  bibliometrics were combined, to identify research themes and trends with  Bibliometrix and CiteSpace. The primary aim was to measure research trends  evolution over time, and the secondary aims were to identify bibliometric  performance and influence networks of publications, authors, institutions, and  countries. Sensitivity analyses were conducted for 2016-2022, and 2021 time  periods. We included 31,687 documents (591,329 references), which aggregated into  a well-structured network with credible clustering. Research productivity was  split into an early less productive period mainly focusing on safety issues, and  a \"psychedelic renaissance\" after the 1990s. Major trends were identified for  hallucinogens/entheogens, entactogens, novel psychoactive substances (NPS), and  on dissociative substances. There was a translational evolution from the bench to  the bedside, with phase 2 and 3 trials and/or evidence synthesis in particular.  The most recent trends concerned NPS, ketamine-associated brain changes, and  ayahuasca-assisted psychotherapy. The USA and Canada were the most productive  settings for the research overall, and more recently this geographical  distribution became more prominent, reflecting legislative context/policy making.  A translational evolution of psychedelics has been occurring, that has brought  approval of esketamine for depression and will likely lead to approval of  additional psychedelics across mental and physical conditions. Toxicology  screening tools for NPS are urgently needed, which in turn might follow the same  translational evolution of psychedelics in the future.","container-title":"European neuropsychopharmacology : the journal of the European College of Neuropsychopharmacology","DOI":"10.1016/j.euroneuro.2022.09.004","ISSN":"1873-7862 0924-977X","journalAbbreviation":"Eur Neuropsychopharmacol","language":"eng","license":"Copyright © 2022. Published by Elsevier B.V.","note":"publisher-place: Netherlands","page":"44-60","PMID":"36191546","title":"A century of research on psychedelics: A scientometric analysis on trends and knowledge maps of hallucinogens, entactogens, entheogens and dissociative drugs.","volume":"64","author":[{"family":"Solmi","given":"Marco"},{"family":"Chen","given":"Chaomei"},{"family":"Daure","given":"Charles"},{"family":"Buot","given":"Anne"},{"family":"Ljuslin","given":"Michael"},{"family":"Verroust","given":"Vincent"},{"family":"Mallet","given":"Luc"},{"family":"Khazaal","given":"Yasser"},{"family":"Rothen","given":"Stephane"},{"family":"Thorens","given":"Gabriel"},{"family":"Zullino","given":"Daniele"},{"family":"Gobbi","given":"Gabriella"},{"family":"Rosenblat","given":"Joshua"},{"family":"Husain","given":"Muhammad Ishrat"},{"family":"De Gregorio","given":"Danilo"},{"family":"Castle","given":"David"},{"family":"Sabé","given":"Michel"}],"issued":{"date-parts":[["2022",11]]}}}],"schema":"https://github.com/citation-style-language/schema/raw/master/csl-citation.json"} </w:instrText>
      </w:r>
      <w:r w:rsidR="00C4252A">
        <w:rPr>
          <w:lang w:val="en-US"/>
        </w:rPr>
        <w:fldChar w:fldCharType="separate"/>
      </w:r>
      <w:r w:rsidR="00C4252A">
        <w:rPr>
          <w:noProof/>
          <w:lang w:val="en-US"/>
        </w:rPr>
        <w:t>(Solmi et al., 2022)</w:t>
      </w:r>
      <w:r w:rsidR="00C4252A">
        <w:rPr>
          <w:lang w:val="en-US"/>
        </w:rPr>
        <w:fldChar w:fldCharType="end"/>
      </w:r>
      <w:r w:rsidR="00C4252A">
        <w:rPr>
          <w:lang w:val="en-US"/>
        </w:rPr>
        <w:t xml:space="preserve">. </w:t>
      </w:r>
      <w:r w:rsidRPr="007A17FC">
        <w:rPr>
          <w:lang w:val="en-US"/>
        </w:rPr>
        <w:t xml:space="preserve">Switzerland has allowed case-by-case medical </w:t>
      </w:r>
      <w:proofErr w:type="spellStart"/>
      <w:r w:rsidRPr="007A17FC">
        <w:rPr>
          <w:lang w:val="en-US"/>
        </w:rPr>
        <w:t>authorisations</w:t>
      </w:r>
      <w:proofErr w:type="spellEnd"/>
      <w:r w:rsidRPr="007A17FC">
        <w:rPr>
          <w:lang w:val="en-US"/>
        </w:rPr>
        <w:t xml:space="preserve"> for LSD, psilocybin, and MDMA since 2014; Australia enabled specialist prescribing of psilocybin and MDMA in 2023</w:t>
      </w:r>
      <w:r w:rsidR="007A2814">
        <w:rPr>
          <w:lang w:val="en-US"/>
        </w:rPr>
        <w:t xml:space="preserve"> </w:t>
      </w:r>
      <w:r w:rsidR="007A2814">
        <w:rPr>
          <w:lang w:val="en-US"/>
        </w:rPr>
        <w:fldChar w:fldCharType="begin"/>
      </w:r>
      <w:r w:rsidR="007A2814">
        <w:rPr>
          <w:lang w:val="en-US"/>
        </w:rPr>
        <w:instrText xml:space="preserve"> ADDIN ZOTERO_ITEM CSL_CITATION {"citationID":"LyitvW1v","properties":{"formattedCitation":"(Dutton et al., 2026)","plainCitation":"(Dutton et al., 2026)","noteIndex":0},"citationItems":[{"id":3174,"uris":["http://zotero.org/users/4564126/items/CMVSNZ75"],"itemData":{"id":3174,"type":"article-journal","abstract":"Australia’s reclassification of psilocybin as a Schedule 8 substance for treatment-resistant depression represents a significant shift in psychiatric policy. While this regulatory change positions Australia as a global leader in psychedelic medicine, its implementation has revealed substantial challenges. This article critically examines the regulatory, ethical and operational complexities surrounding the provision of psilocybin-assisted therapy in clinical practice. Key issues include limited prescriber access, absence of Australian Register of Therapeutic Goods-listed products, lack of standardised training pathways and significant cost barriers. Ethical considerations such as informed consent, cultural safety and therapeutic fidelity are also discussed, particularly in the context of trauma-informed care. This article proposes a series of structural recommendations to support safe and equitable deployment, including national training accreditation and fidelity monitoring tools. In addition, to maximise the efficacy of psilocybin-assisted therapy, we recommend that research explores the potential of neurobiologically informed stratification models to assist with treatment recommendations. These recommendations aim to enhance clinical integrity through evidence-based patient selection, improved safety, and to ensure that emerging psychedelic treatments are integrated responsibly within Australia’s mental health system. By addressing these foundational gaps, Australia can move beyond regulatory novelty ensuring the therapeutic potential of these products is realised in a manner which is scientifically sound and upholds the integrity of psychiatric practice.","container-title":"Australian &amp; New Zealand Journal of Psychiatry","DOI":"10.1177/00048674251398677","ISSN":"0004-8674, 1440-1614","issue":"2","journalAbbreviation":"Aust N Z J Psychiatry","language":"en","page":"115-122","source":"DOI.org (Crossref)","title":"Psilocybin in the real world: Regulatory, ethical, and operational challenges in Australia’s clinical landscape","title-short":"Psilocybin in the real world","volume":"60","author":[{"family":"Dutton","given":"Megan"},{"family":"Schwenn","given":"Paul"},{"family":"Mitchell","given":"Jules"},{"family":"Hoffmann","given":"Peta"},{"family":"Bailey","given":"Neil W"},{"family":"Fitzgerald","given":"Paul B"},{"family":"Lagopoulos","given":"Jim"},{"family":"Can","given":"Adem T"}],"issued":{"date-parts":[["2026",2]]}}}],"schema":"https://github.com/citation-style-language/schema/raw/master/csl-citation.json"} </w:instrText>
      </w:r>
      <w:r w:rsidR="007A2814">
        <w:rPr>
          <w:lang w:val="en-US"/>
        </w:rPr>
        <w:fldChar w:fldCharType="separate"/>
      </w:r>
      <w:r w:rsidR="007A2814">
        <w:rPr>
          <w:noProof/>
          <w:lang w:val="en-US"/>
        </w:rPr>
        <w:t>(Dutton et al., 2026)</w:t>
      </w:r>
      <w:r w:rsidR="007A2814">
        <w:rPr>
          <w:lang w:val="en-US"/>
        </w:rPr>
        <w:fldChar w:fldCharType="end"/>
      </w:r>
      <w:r w:rsidRPr="007A17FC">
        <w:rPr>
          <w:lang w:val="en-US"/>
        </w:rPr>
        <w:t xml:space="preserve">; and Germany introduced a compassionate-use </w:t>
      </w:r>
      <w:proofErr w:type="spellStart"/>
      <w:r w:rsidRPr="007A17FC">
        <w:rPr>
          <w:lang w:val="en-US"/>
        </w:rPr>
        <w:t>programme</w:t>
      </w:r>
      <w:proofErr w:type="spellEnd"/>
      <w:r w:rsidRPr="007A17FC">
        <w:rPr>
          <w:lang w:val="en-US"/>
        </w:rPr>
        <w:t xml:space="preserve"> for psilocybin in 2025 </w:t>
      </w:r>
      <w:r w:rsidR="00C4252A">
        <w:rPr>
          <w:lang w:val="en-US"/>
        </w:rPr>
        <w:fldChar w:fldCharType="begin"/>
      </w:r>
      <w:r w:rsidR="00C4252A">
        <w:rPr>
          <w:lang w:val="en-US"/>
        </w:rPr>
        <w:instrText xml:space="preserve"> ADDIN ZOTERO_ITEM CSL_CITATION {"citationID":"x04cJcOw","properties":{"formattedCitation":"(Gr\\uc0\\u252{}nder et al., 2025)","plainCitation":"(Gründer et al., 2025)","noteIndex":0},"citationItems":[{"id":3146,"uris":["http://zotero.org/users/4564126/items/TKWGEJBZ"],"itemData":{"id":3146,"type":"article-journal","container-title":"The Lancet Psychiatry","DOI":"10.1016/S2215-0366(25)00277-9","title":"Compassionate use of psilocybin for treatment-resistant depression in Germany","author":[{"family":"Gründer","given":"Gerhard"},{"family":"Mertens","given":"Lea J."},{"family":"Jungaberle","given":"Andrea"},{"family":"Jungaberle","given":"Henrik"},{"family":"Spangemacher","given":"Moritz"}],"issued":{"date-parts":[["2025"]]}}}],"schema":"https://github.com/citation-style-language/schema/raw/master/csl-citation.json"} </w:instrText>
      </w:r>
      <w:r w:rsidR="00C4252A">
        <w:rPr>
          <w:lang w:val="en-US"/>
        </w:rPr>
        <w:fldChar w:fldCharType="separate"/>
      </w:r>
      <w:r w:rsidR="00C4252A" w:rsidRPr="00C4252A">
        <w:rPr>
          <w:lang w:val="en-US" w:eastAsia="en-US"/>
        </w:rPr>
        <w:t>(Gründer et al., 2025)</w:t>
      </w:r>
      <w:r w:rsidR="00C4252A">
        <w:rPr>
          <w:lang w:val="en-US"/>
        </w:rPr>
        <w:fldChar w:fldCharType="end"/>
      </w:r>
      <w:r w:rsidRPr="007A17FC">
        <w:rPr>
          <w:lang w:val="en-US"/>
        </w:rPr>
        <w:t xml:space="preserve">. These developments underscore the need for precise safety </w:t>
      </w:r>
      <w:r w:rsidR="00A30C86" w:rsidRPr="007A17FC">
        <w:rPr>
          <w:lang w:val="en-US"/>
        </w:rPr>
        <w:t>characterization</w:t>
      </w:r>
      <w:r w:rsidRPr="007A17FC">
        <w:rPr>
          <w:lang w:val="en-US"/>
        </w:rPr>
        <w:t xml:space="preserve">, particularly given the heterogeneity of adverse-event (AE) reporting and the presence of substance-specific physiological and psychological risk signals </w:t>
      </w:r>
      <w:r w:rsidR="00C4252A">
        <w:rPr>
          <w:lang w:val="en-US"/>
        </w:rPr>
        <w:fldChar w:fldCharType="begin"/>
      </w:r>
      <w:r w:rsidR="00C4252A">
        <w:rPr>
          <w:lang w:val="en-US"/>
        </w:rPr>
        <w:instrText xml:space="preserve"> ADDIN ZOTERO_ITEM CSL_CITATION {"citationID":"arNap372","properties":{"formattedCitation":"(Breeksema et al., 2022; Colcott et al., 2024; Hinkle et al., 2024)","plainCitation":"(Breeksema et al., 2022; Colcott et al., 2024; Hinkle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B."}],"issued":{"date-parts":[["2024",12,1]]}}}],"schema":"https://github.com/citation-style-language/schema/raw/master/csl-citation.json"} </w:instrText>
      </w:r>
      <w:r w:rsidR="00C4252A">
        <w:rPr>
          <w:lang w:val="en-US"/>
        </w:rPr>
        <w:fldChar w:fldCharType="separate"/>
      </w:r>
      <w:r w:rsidR="00C4252A">
        <w:rPr>
          <w:noProof/>
          <w:lang w:val="en-US"/>
        </w:rPr>
        <w:t>(Breeksema et al., 2022; Colcott et al., 2024; Hinkle et al., 2024)</w:t>
      </w:r>
      <w:r w:rsidR="00C4252A">
        <w:rPr>
          <w:lang w:val="en-US"/>
        </w:rPr>
        <w:fldChar w:fldCharType="end"/>
      </w:r>
      <w:r w:rsidR="00C4252A">
        <w:rPr>
          <w:lang w:val="en-US"/>
        </w:rPr>
        <w:t>.</w:t>
      </w:r>
    </w:p>
    <w:p w14:paraId="06458704" w14:textId="3A41BAAB" w:rsidR="004B3794" w:rsidRPr="007A17FC" w:rsidRDefault="00542108" w:rsidP="00FC19AC">
      <w:pPr>
        <w:spacing w:before="240" w:after="240" w:line="360" w:lineRule="auto"/>
        <w:ind w:right="600"/>
        <w:rPr>
          <w:lang w:val="en-US"/>
        </w:rPr>
      </w:pPr>
      <w:r w:rsidRPr="007A17FC">
        <w:rPr>
          <w:lang w:val="en-US"/>
        </w:rPr>
        <w:t>Existing meta-analyses of psychedelic-assisted therapy</w:t>
      </w:r>
      <w:r w:rsidR="00C4252A">
        <w:rPr>
          <w:lang w:val="en-US"/>
        </w:rPr>
        <w:t xml:space="preserve"> </w:t>
      </w:r>
      <w:r w:rsidRPr="007A17FC">
        <w:rPr>
          <w:lang w:val="en-US"/>
        </w:rPr>
        <w:t xml:space="preserve"> </w:t>
      </w:r>
      <w:r w:rsidR="00C4252A">
        <w:rPr>
          <w:lang w:val="en-US"/>
        </w:rPr>
        <w:fldChar w:fldCharType="begin"/>
      </w:r>
      <w:r w:rsidR="00C4252A">
        <w:rPr>
          <w:lang w:val="en-US"/>
        </w:rPr>
        <w:instrText xml:space="preserve"> ADDIN ZOTERO_ITEM CSL_CITATION {"citationID":"dxXol6hc","properties":{"formattedCitation":"(Breeksema et al., 2022; Colcott et al., 2024; dos\\uc0\\u160{}Santos &amp; Hallak, 2025; Hinkle et al., 2024; H\\uc0\\u248{}jlund et al., 2025; Perez et al., 2023)","plainCitation":"(Breeksema et al., 2022; Colcott et al., 2024; dos Santos &amp; Hallak, 2025; Hinkle et al., 2024; Højlund et al., 2025; Perez et al., 2023)","noteIndex":0},"citationItems":[{"id":379,"uris":["http://zotero.org/users/4564126/items/6273RGTQ"],"itemData":{"id":379,"type":"article-journal","abstract":"INTRODUCTION: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3042,"uris":["http://zotero.org/users/4564126/items/FWV3WLP7"],"itemData":{"id":3042,"type":"article-journal","container-title":"CNS Spectrums","DOI":"10.1017/s109285292400213x","title":"Ayahuasca: pharmacology, safety, and therapeutic effects","author":[{"family":"Santos","given":"Rafael Guimarães","non-dropping-particle":"dos"},{"family":"Hallak","given":"Jaime Eduardo Cecilio"}],"issued":{"date-parts":[["2025"]]}}},{"id":75,"uris":["http://zotero.org/users/4564126/items/D4ZSN2VH"],"itemData":{"id":75,"type":"article-journal","abstract":"IMPORTANCE: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A."},{"family":"Solmi","given":"Marco"}],"issued":{"date-parts":[["2025"]]}}},{"id":607,"uris":["http://zotero.org/users/4564126/items/YWI9MSMP"],"itemData":{"id":607,"type":"article-journal","abstract":"Psilocybin is increasingly studied for its antidepressant effect, but its optimal dosage for depression remains unclear. We conducted a systematic review and a  dose-response meta-analysis to find the optimal dosage of psilocybin to reduce  depression scores. Following our protocol (CRD 42022220190) multiple electronic  databases were searched from their inception until February 2023, to identify  double-blind randomized placebo-controlled (RCTs) fixed-dose trials evaluating  the use of psilocybin for adult patients with primary or secondary depression. A  one-stage dose-response meta-analysis with restricted cubic splines was used.  Cochrane risk of bias was used to assess risk of bias. Our analysis included  seven studies with a total of 489 participants. Among these, four studies focused  on primary depression (N = 366), including one study with patients suffering from  treatment-resistant depression. The remaining three studies examined secondary  depression (N = 123). The determined 95% effective doses per day (ED95) were  8.92, 24.68, and 36.08 mg/70 kg for patients with secondary depression, primary  depression, and both subgroups, respectively. We observed significant  dose-response associations for all curves, each plateauing at different levels,  except for the bell-shaped curve observed in the case of secondary depression.  Additionally, we found significant dose-response associations for various side  effects, including physical discomfort, blood pressure increase, nausea/vomiting,  headache/migraine, and the risk of prolonged psychosis. In conclusion, we  discovered specific ED95 values for different populations, indicating higher ED95  values for treatment-resistant depression, primary depression, and secondary  depression groups. Further RCTs are necessary for each population to determine  the optimal dosage, allowing for maximum efficacy while minimizing side effects.","container-title":"European neuropsychopharmacology : the journal of the European College of Neuropsychopharmacology","DOI":"10.1016/j.euroneuro.2023.07.011","ISSN":"1873-7862 0924-977X","journalAbbreviation":"Eur Neuropsychopharmacol","language":"eng","license":"Copyright © 2023 The Author(s). Published by Elsevier B.V. All rights reserved.","note":"publisher-place: Netherlands","page":"61-76","PMID":"37557019","title":"Psilocybin-assisted therapy for depression: A systematic review and dose-response meta-analysis of human studies.","volume":"76","author":[{"family":"Perez","given":"Natacha"},{"family":"Langlest","given":"Florent"},{"family":"Mallet","given":"Luc"},{"family":"De Pieri","given":"Marco"},{"family":"Sentissi","given":"Othman"},{"family":"Thorens","given":"Gabriel"},{"family":"Seragnoli","given":"Federico"},{"family":"Zullino","given":"Daniele"},{"family":"Kirschner","given":"Matthias"},{"family":"Kaiser","given":"Stefan"},{"family":"Solmi","given":"Marco"},{"family":"Sabé","given":"Michel"}],"issued":{"date-parts":[["2023",11]]}}}],"schema":"https://github.com/citation-style-language/schema/raw/master/csl-citation.json"} </w:instrText>
      </w:r>
      <w:r w:rsidR="00C4252A">
        <w:rPr>
          <w:lang w:val="en-US"/>
        </w:rPr>
        <w:fldChar w:fldCharType="separate"/>
      </w:r>
      <w:r w:rsidR="00C4252A" w:rsidRPr="00C4252A">
        <w:rPr>
          <w:lang w:val="en-US" w:eastAsia="en-US"/>
        </w:rPr>
        <w:t>(Breeksema et al., 2022; Colcott et al., 2024; dos Santos &amp; Hallak, 2025; Hinkle et al., 2024; Højlund et al., 2025; Perez et al., 2023)</w:t>
      </w:r>
      <w:r w:rsidR="00C4252A">
        <w:rPr>
          <w:lang w:val="en-US"/>
        </w:rPr>
        <w:fldChar w:fldCharType="end"/>
      </w:r>
      <w:r w:rsidR="00C4252A">
        <w:rPr>
          <w:lang w:val="en-US"/>
        </w:rPr>
        <w:t xml:space="preserve"> </w:t>
      </w:r>
      <w:r w:rsidRPr="007A17FC">
        <w:rPr>
          <w:lang w:val="en-US"/>
        </w:rPr>
        <w:t xml:space="preserve">have consistently reported that adverse events are predominantly transient and occur during the acute dosing phase, providing pooled incidence or drug-versus-placebo risk estimates across compounds or for specific agents such as psilocybin and MDMA, but without resolving how adverse-event risk scales with dose, differs across </w:t>
      </w:r>
      <w:r w:rsidR="00682EED">
        <w:rPr>
          <w:lang w:val="en-US"/>
        </w:rPr>
        <w:t>substance</w:t>
      </w:r>
      <w:r w:rsidRPr="007A17FC">
        <w:rPr>
          <w:lang w:val="en-US"/>
        </w:rPr>
        <w:t xml:space="preserve">s, or varies between acute and post-acute windows, limitations that are particularly relevant </w:t>
      </w:r>
      <w:r w:rsidRPr="007A17FC">
        <w:rPr>
          <w:lang w:val="en-US"/>
        </w:rPr>
        <w:lastRenderedPageBreak/>
        <w:t>given the medical and psychiatric comorbidity profiles of patients now considered for clinical psychedelic interventions.</w:t>
      </w:r>
    </w:p>
    <w:p w14:paraId="6EA73E3B" w14:textId="24C7E948" w:rsidR="000829E4" w:rsidRPr="00C97945" w:rsidRDefault="00542108" w:rsidP="004B3794">
      <w:pPr>
        <w:spacing w:before="240" w:after="240" w:line="360" w:lineRule="auto"/>
        <w:ind w:right="600"/>
      </w:pPr>
      <w:r w:rsidRPr="007A17FC">
        <w:rPr>
          <w:highlight w:val="yellow"/>
          <w:lang w:val="en-US"/>
        </w:rPr>
        <w:br/>
      </w:r>
      <w:r w:rsidRPr="007A17FC">
        <w:rPr>
          <w:lang w:val="en-US"/>
        </w:rPr>
        <w:t xml:space="preserve">Patients eligible for psychedelic-assisted interventions frequently present with comorbidities including cardiovascular disease, metabolic dysregulation, trauma-related autonomic hyperarousal, and complex psychiatric histories that may heighten susceptibility to autonomic, cardiovascular, or transient affective and ideational destabilization </w:t>
      </w:r>
      <w:r w:rsidR="00C4252A">
        <w:rPr>
          <w:lang w:val="en-US"/>
        </w:rPr>
        <w:fldChar w:fldCharType="begin"/>
      </w:r>
      <w:r w:rsidR="00C4252A">
        <w:rPr>
          <w:lang w:val="en-US"/>
        </w:rPr>
        <w:instrText xml:space="preserve"> ADDIN ZOTERO_ITEM CSL_CITATION {"citationID":"SvUaFiYB","properties":{"formattedCitation":"(Sarparast et al., 2022; Scala et al., 2024)","plainCitation":"(Sarparast et al., 2022; Scala et al., 2024)","noteIndex":0},"citationItems":[{"id":3170,"uris":["http://zotero.org/users/4564126/items/5ESQF8CR"],"itemData":{"id":3170,"type":"article-journal","container-title":"Psychopharmacology","DOI":"10.1007/s00213-022-06083-y","ISSN":"0033-3158, 1432-2072","issue":"6","journalAbbreviation":"Psychopharmacology","language":"en","page":"1945-1976","source":"DOI.org (Crossref)","title":"Drug-drug interactions between psychiatric medications and MDMA or psilocybin: a systematic review","title-short":"Drug-drug interactions between psychiatric medications and MDMA or psilocybin","volume":"239","author":[{"family":"Sarparast","given":"Aryan"},{"family":"Thomas","given":"Kelan"},{"family":"Malcolm","given":"Benjamin"},{"family":"Stauffer","given":"Christopher S."}],"issued":{"date-parts":[["2022",6]]}}},{"id":187,"uris":["http://zotero.org/users/4564126/items/7AP97KSK"],"itemData":{"id":187,"type":"article-journal","abstract":"The revival of psilocybin in psychopharmacological research heralds a potential paradigm shift for treating mood and anxiety disorders, and other psychiatric  conditions beyond the psychotic spectrum. This critical review evaluates current  evidence on psilocybin's efficacy, juxtaposing potential benefits with the  practical aspects of psychedelic-assisted psychotherapy (PAP) and the  methodological constraints of existing research.An electronic literature search  was conducted using PubMed/MEDLINE, selecting studies published up to December  2023 that explored the clinical use of psilocybin in mood and anxiety disorders,  obsessive-compulsive disorder, post-traumatic stress disorder, and substance use  disorder. Despite promising preliminary results suggesting psilocybin's efficacy  in alleviating depression and anxiety, as well as obsessions, compulsions, and  addictive behaviors, significant evidence gaps persist. These include evaluating  the efficacy of psilocybin compared to standard antidepressants or anxiolytic  molecules and identifying patient subpopulations that might benefit most from  PAP. Concerns about psilocybin's safety, long-term efficacy, and optimal dosage  remain unclear due to previous trials' limitations. Real-world implementation  faces challenges, including infrastructural requirements, personnel training, and  unresolved legal and ethical issues. This paper argues for further research to  substantiate the evidence base, emphasizing the need for larger studies that  overcome current methodological limitations and explore psilocybin's full  therapeutic potential. While psilocybin holds promise for psychiatry, its  successful translation from research to clinical practice demands more robust  evidence on efficacy, safety, and methodological rigor. In addition, other  factors, such as cultural stigma and legal/ethical issues, need to be  successfully addressed to facilitate psilocybin's implementation in healthcare  systems.","container-title":"CNS spectrums","DOI":"10.1017/S1092852924002268","ISSN":"1092-8529","issue":"6","journalAbbreviation":"CNS Spectr","language":"eng","note":"publisher-place: United States","page":"570-584","PMID":"39655426","title":"The revival of psilocybin between scientific excitement, evidence of efficacy, and real-world challenges.","volume":"29","author":[{"family":"Scala","given":"Mauro"},{"family":"Fabbri","given":"Chiara"},{"family":"Fusar-Poli","given":"Paolo"},{"family":"Di Lorenzo","given":"Giorgio"},{"family":"Ferrara","given":"Maria"},{"family":"Amerio","given":"Andrea"},{"family":"Fusar-Poli","given":"Laura"},{"family":"Pichiecchio","given":"Anna"},{"family":"Asteggiano","given":"Carlo"},{"family":"Menchetti","given":"Marco"},{"family":"De Ronchi","given":"Diana"},{"family":"Fanelli","given":"Giuseppe"},{"family":"Serretti","given":"Alessandro"}],"issued":{"date-parts":[["2024",12]]}}}],"schema":"https://github.com/citation-style-language/schema/raw/master/csl-citation.json"} </w:instrText>
      </w:r>
      <w:r w:rsidR="00C4252A">
        <w:rPr>
          <w:lang w:val="en-US"/>
        </w:rPr>
        <w:fldChar w:fldCharType="separate"/>
      </w:r>
      <w:r w:rsidR="00C4252A">
        <w:rPr>
          <w:noProof/>
          <w:lang w:val="en-US"/>
        </w:rPr>
        <w:t>(Sarparast et al., 2022; Scala et al., 2024)</w:t>
      </w:r>
      <w:r w:rsidR="00C4252A">
        <w:rPr>
          <w:lang w:val="en-US"/>
        </w:rPr>
        <w:fldChar w:fldCharType="end"/>
      </w:r>
      <w:r w:rsidRPr="007A17FC">
        <w:rPr>
          <w:lang w:val="en-US"/>
        </w:rPr>
        <w:t xml:space="preserve">. MDMA’s sympathomimetic profile produces transient hypertension, tachycardia, hyperthermia, and neuromuscular activation under controlled conditions </w:t>
      </w:r>
      <w:r w:rsidR="00C4252A">
        <w:rPr>
          <w:lang w:val="en-US"/>
        </w:rPr>
        <w:fldChar w:fldCharType="begin"/>
      </w:r>
      <w:r w:rsidR="00C4252A">
        <w:rPr>
          <w:lang w:val="en-US"/>
        </w:rPr>
        <w:instrText xml:space="preserve"> ADDIN ZOTERO_ITEM CSL_CITATION {"citationID":"wmZMfFTU","properties":{"formattedCitation":"(Colcott et al., 2024; Mitchell et al., 2021; Mitchell &amp; others, 2023; Mithoefer et al., 2011; Vizeli et al., 2024)","plainCitation":"(Colcott et al., 2024; Mitchell et al., 2021; Mitchell &amp; others, 2023; Mithoefer et al., 2011; Vizeli et al., 2024)","noteIndex":0},"citationItems":[{"id":1419,"uris":["http://zotero.org/users/4564126/items/Q2ACQDPN"],"itemData":{"id":1419,"type":"article-journal","abstract":"Evidence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3066,"uris":["http://zotero.org/users/4564126/items/K76B3IKE"],"itemData":{"id":3066,"type":"article-journal","container-title":"Nature Medicine","DOI":"10.1038/s41591-023-02504-7","issue":"9","page":"2238–2247","title":"MDMA-assisted therapy for moderate to severe PTSD: confirmatory phase 3 trial","volume":"29","author":[{"family":"Mitchell","given":"J. M."},{"literal":"others"}],"issued":{"date-parts":[["2023"]]}}},{"id":3015,"uris":["http://zotero.org/users/4564126/items/49LDNVVF"],"itemData":{"id":3015,"type":"article-journal","abstract":"Case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T"},{"family":"Jerome","given":"Lisa"},{"family":"Doblin","given":"Rick"}],"issued":{"date-parts":[["2011",4]]}}},{"id":1438,"uris":["http://zotero.org/users/4564126/items/ER47A7UP"],"itemData":{"id":1438,"type":"article-journal","abstract":"The pharmacodynamic effects of lysergic acid diethylamide (LSD) are diverse and different in different individuals. Effects of other psychoactive substances have  been shown to be critically influenced by non-pharmacological factors such as  personality traits and mood states. The aim of this study was to determine  pharmacological and psychological predictors of the LSD effects in healthy human  subjects. This analysis is based on nine double-blind, placebo-controlled,  cross-over studies with a total of 213 healthy subjects receiving between  25-200 µg LSD. The influence of sex, age, dose, body weight, pharmacogenetic,  drug experience, personality, setting, and mood before drug intake on the peak  autonomic and total subjective responses to LSD was investigated using multiple  linear mixed effects models and Least Absolute Shrinkage and Selection Operator  regression. Results were adjusted for LSD dose and corrected for multiple  testing. LSD dose emerged as the most influential predictor, exhibiting a  positive correlation with most response variables. Pre-drug mental states such as  \"Well-Being\", \"Emotional Excitability\", and \"Anxiety\" were also important  predictor for a range of subjective effects but also heart rate and body  temperature. The trait \"Openness to Experiences\" was positively correlated with  elevated ratings in \"Oceanic Boundlessness\" and mystical-type effects. Previous  experiences with hallucinogens have been negatively associated with the overall  altered state of consciousness and particularly with \"Anxious Ego Dissolution\".  Acute anxiety negatively correlated with the genetically determined functionality  of the Cytochrome 2D6 enzyme. In summary, besides the amount of drug consumed,  non-pharmacological factors such as personal traits and current mood also  significantly predicted the subjective drug experience. Sex and body weight were  not significant factors in influencing the drug experience.","container-title":"Translational psychiatry","DOI":"10.1038/s41398-024-03074-9","ISSN":"2158-3188","issue":"1","journalAbbreviation":"Transl Psychiatry","language":"eng","license":"© 2024. The Author(s).","note":"publisher-place: United States","page":"357","PMID":"39231959","PMCID":"PMC11374807","title":"Pharmacological and non-pharmacological predictors of the LSD experience in healthy participants.","volume":"14","author":[{"family":"Vizeli","given":"Patrick"},{"family":"Studerus","given":"Erich"},{"family":"Holze","given":"Friederike"},{"family":"Schmid","given":"Yasmin"},{"family":"Dolder","given":"Patrick C."},{"family":"Ley","given":"Laura"},{"family":"Straumann","given":"Isabelle"},{"family":"Becker","given":"Anna M."},{"family":"Müller","given":"Felix"},{"family":"Arikci","given":"Denis"},{"family":"Liechti","given":"Matthias E."}],"issued":{"date-parts":[["2024",9,4]]}}}],"schema":"https://github.com/citation-style-language/schema/raw/master/csl-citation.json"} </w:instrText>
      </w:r>
      <w:r w:rsidR="00C4252A">
        <w:rPr>
          <w:lang w:val="en-US"/>
        </w:rPr>
        <w:fldChar w:fldCharType="separate"/>
      </w:r>
      <w:r w:rsidR="00C4252A">
        <w:rPr>
          <w:noProof/>
          <w:lang w:val="en-US"/>
        </w:rPr>
        <w:t>(Colcott et al., 2024; Mitchell et al., 2021; Mitchell &amp; others, 2023; Mithoefer et al., 2011; Vizeli et al., 2024)</w:t>
      </w:r>
      <w:r w:rsidR="00C4252A">
        <w:rPr>
          <w:lang w:val="en-US"/>
        </w:rPr>
        <w:fldChar w:fldCharType="end"/>
      </w:r>
      <w:r w:rsidRPr="007A17FC">
        <w:rPr>
          <w:lang w:val="en-US"/>
        </w:rPr>
        <w:t xml:space="preserve">. In contrast, serotonergic psychedelics predominantly elicit dose-dependent affective shifts, anxiety, perceptual alterations, and mild somatic discomfort such as nausea, dizziness, or headache </w:t>
      </w:r>
      <w:r w:rsidR="00C4252A">
        <w:rPr>
          <w:lang w:val="en-US"/>
        </w:rPr>
        <w:fldChar w:fldCharType="begin"/>
      </w:r>
      <w:r w:rsidR="00C4252A">
        <w:rPr>
          <w:lang w:val="en-US"/>
        </w:rPr>
        <w:instrText xml:space="preserve"> ADDIN ZOTERO_ITEM CSL_CITATION {"citationID":"7cbnuGeP","properties":{"formattedCitation":"(Breeksema et al., 2022; Dos Santos et al., 2021; Holze et al., 2023; Palhano-Fontes et al., 2019; Scala et al., 2024)","plainCitation":"(Breeksema et al., 2022; Dos Santos et al., 2021; Holze et al., 2023; Palhano-Fontes et al., 2019; Scala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B."}],"issued":{"date-parts":[["2019",3]]}}},{"id":187,"uris":["http://zotero.org/users/4564126/items/7AP97KSK"],"itemData":{"id":187,"type":"article-journal","abstract":"The revival of psilocybin in psychopharmacological research heralds a potential paradigm shift for treating mood and anxiety disorders, and other psychiatric  conditions beyond the psychotic spectrum. This critical review evaluates current  evidence on psilocybin's efficacy, juxtaposing potential benefits with the  practical aspects of psychedelic-assisted psychotherapy (PAP) and the  methodological constraints of existing research.An electronic literature search  was conducted using PubMed/MEDLINE, selecting studies published up to December  2023 that explored the clinical use of psilocybin in mood and anxiety disorders,  obsessive-compulsive disorder, post-traumatic stress disorder, and substance use  disorder. Despite promising preliminary results suggesting psilocybin's efficacy  in alleviating depression and anxiety, as well as obsessions, compulsions, and  addictive behaviors, significant evidence gaps persist. These include evaluating  the efficacy of psilocybin compared to standard antidepressants or anxiolytic  molecules and identifying patient subpopulations that might benefit most from  PAP. Concerns about psilocybin's safety, long-term efficacy, and optimal dosage  remain unclear due to previous trials' limitations. Real-world implementation  faces challenges, including infrastructural requirements, personnel training, and  unresolved legal and ethical issues. This paper argues for further research to  substantiate the evidence base, emphasizing the need </w:instrText>
      </w:r>
      <w:r w:rsidR="00C4252A" w:rsidRPr="00C97945">
        <w:instrText xml:space="preserve">for larger studies that  overcome current methodological limitations and explore psilocybin's full  therapeutic potential. While psilocybin holds promise for psychiatry, its  successful translation from research to clinical practice demands more robust  evidence on efficacy, safety, and methodological rigor. In addition, other  factors, such as cultural stigma and legal/ethical issues, need to be  successfully addressed to facilitate psilocybin's implementation in healthcare  systems.","container-title":"CNS spectrums","DOI":"10.1017/S1092852924002268","ISSN":"1092-8529","issue":"6","journalAbbreviation":"CNS Spectr","language":"eng","note":"publisher-place: United States","page":"570-584","PMID":"39655426","title":"The revival of psilocybin between scientific excitement, evidence of efficacy, and real-world challenges.","volume":"29","author":[{"family":"Scala","given":"Mauro"},{"family":"Fabbri","given":"Chiara"},{"family":"Fusar-Poli","given":"Paolo"},{"family":"Di Lorenzo","given":"Giorgio"},{"family":"Ferrara","given":"Maria"},{"family":"Amerio","given":"Andrea"},{"family":"Fusar-Poli","given":"Laura"},{"family":"Pichiecchio","given":"Anna"},{"family":"Asteggiano","given":"Carlo"},{"family":"Menchetti","given":"Marco"},{"family":"De Ronchi","given":"Diana"},{"family":"Fanelli","given":"Giuseppe"},{"family":"Serretti","given":"Alessandro"}],"issued":{"date-parts":[["2024",12]]}}}],"schema":"https://github.com/citation-style-language/schema/raw/master/csl-citation.json"} </w:instrText>
      </w:r>
      <w:r w:rsidR="00C4252A">
        <w:rPr>
          <w:lang w:val="en-US"/>
        </w:rPr>
        <w:fldChar w:fldCharType="separate"/>
      </w:r>
      <w:r w:rsidR="00C4252A" w:rsidRPr="00C97945">
        <w:rPr>
          <w:noProof/>
        </w:rPr>
        <w:t>(Breeksema et al., 2022; Dos Santos et al., 2021; Holze et al., 2023; Palhano-Fontes et al., 2019; Scala et al., 2024)</w:t>
      </w:r>
      <w:r w:rsidR="00C4252A">
        <w:rPr>
          <w:lang w:val="en-US"/>
        </w:rPr>
        <w:fldChar w:fldCharType="end"/>
      </w:r>
      <w:r w:rsidRPr="00C97945">
        <w:t>.</w:t>
      </w:r>
    </w:p>
    <w:p w14:paraId="210B4776" w14:textId="4F9EBEEB" w:rsidR="000829E4" w:rsidRPr="007A17FC" w:rsidRDefault="00542108" w:rsidP="00FC19AC">
      <w:pPr>
        <w:spacing w:before="240" w:after="240" w:line="360" w:lineRule="auto"/>
        <w:rPr>
          <w:lang w:val="en-US"/>
        </w:rPr>
      </w:pPr>
      <w:r w:rsidRPr="007A17FC">
        <w:rPr>
          <w:lang w:val="en-US"/>
        </w:rPr>
        <w:t xml:space="preserve">Although modern RCTs generally report </w:t>
      </w:r>
      <w:r w:rsidR="00CB1243" w:rsidRPr="007A17FC">
        <w:rPr>
          <w:lang w:val="en-US"/>
        </w:rPr>
        <w:t>favorable</w:t>
      </w:r>
      <w:r w:rsidRPr="007A17FC">
        <w:rPr>
          <w:lang w:val="en-US"/>
        </w:rPr>
        <w:t xml:space="preserve"> tolerability, existing systematic reviews provide only pooled AE incidence </w:t>
      </w:r>
      <w:r w:rsidR="00C4252A">
        <w:rPr>
          <w:lang w:val="en-US"/>
        </w:rPr>
        <w:fldChar w:fldCharType="begin"/>
      </w:r>
      <w:r w:rsidR="00C4252A">
        <w:rPr>
          <w:lang w:val="en-US"/>
        </w:rPr>
        <w:instrText xml:space="preserve"> ADDIN ZOTERO_ITEM CSL_CITATION {"citationID":"THqE9FTm","properties":{"formattedCitation":"(Breeksema et al., 2022; Hinkle et al., 2024)","plainCitation":"(Breeksema et al., 2022; Hinkle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B."}],"issued":{"date-parts":[["2024",12,1]]}}}],"schema":"https://github.com/citation-style-language/schema/raw/master/csl-citation.json"} </w:instrText>
      </w:r>
      <w:r w:rsidR="00C4252A">
        <w:rPr>
          <w:lang w:val="en-US"/>
        </w:rPr>
        <w:fldChar w:fldCharType="separate"/>
      </w:r>
      <w:r w:rsidR="00C4252A">
        <w:rPr>
          <w:noProof/>
          <w:lang w:val="en-US"/>
        </w:rPr>
        <w:t>(Breeksema et al., 2022; Hinkle et al., 2024)</w:t>
      </w:r>
      <w:r w:rsidR="00C4252A">
        <w:rPr>
          <w:lang w:val="en-US"/>
        </w:rPr>
        <w:fldChar w:fldCharType="end"/>
      </w:r>
      <w:r w:rsidRPr="007A17FC">
        <w:rPr>
          <w:lang w:val="en-US"/>
        </w:rPr>
        <w:t xml:space="preserve"> or </w:t>
      </w:r>
      <w:r w:rsidR="00682EED">
        <w:rPr>
          <w:lang w:val="en-US"/>
        </w:rPr>
        <w:t>substance</w:t>
      </w:r>
      <w:r w:rsidRPr="007A17FC">
        <w:rPr>
          <w:lang w:val="en-US"/>
        </w:rPr>
        <w:t xml:space="preserve">-specific summaries such as for MDMA </w:t>
      </w:r>
      <w:r w:rsidR="00C4252A">
        <w:rPr>
          <w:lang w:val="en-US"/>
        </w:rPr>
        <w:fldChar w:fldCharType="begin"/>
      </w:r>
      <w:r w:rsidR="00C4252A">
        <w:rPr>
          <w:lang w:val="en-US"/>
        </w:rPr>
        <w:instrText xml:space="preserve"> ADDIN ZOTERO_ITEM CSL_CITATION {"citationID":"g1F1arNv","properties":{"formattedCitation":"(Colcott et al., 2024)","plainCitation":"(Colcott et al., 2024)","noteIndex":0},"citationItems":[{"id":1419,"uris":["http://zotero.org/users/4564126/items/Q2ACQDPN"],"itemData":{"id":1419,"type":"article-journal","abstract":"Evidence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A."},{"family":"Carter","given":"Olivia"},{"family":"Meikle","given":"Sally"},{"family":"Bedi","given":"Gillinder"}],"issued":{"date-parts":[["2024",7]]}}}],"schema":"https://github.com/citation-style-language/schema/raw/master/csl-citation.json"} </w:instrText>
      </w:r>
      <w:r w:rsidR="00C4252A">
        <w:rPr>
          <w:lang w:val="en-US"/>
        </w:rPr>
        <w:fldChar w:fldCharType="separate"/>
      </w:r>
      <w:r w:rsidR="00C4252A">
        <w:rPr>
          <w:noProof/>
          <w:lang w:val="en-US"/>
        </w:rPr>
        <w:t>(Colcott et al., 2024)</w:t>
      </w:r>
      <w:r w:rsidR="00C4252A">
        <w:rPr>
          <w:lang w:val="en-US"/>
        </w:rPr>
        <w:fldChar w:fldCharType="end"/>
      </w:r>
      <w:r w:rsidRPr="007A17FC">
        <w:rPr>
          <w:lang w:val="en-US"/>
        </w:rPr>
        <w:t xml:space="preserve"> without modelling how AE risk scales with dose. No cross-</w:t>
      </w:r>
      <w:r w:rsidR="00682EED">
        <w:rPr>
          <w:lang w:val="en-US"/>
        </w:rPr>
        <w:t>substance</w:t>
      </w:r>
      <w:r w:rsidRPr="007A17FC">
        <w:rPr>
          <w:lang w:val="en-US"/>
        </w:rPr>
        <w:t xml:space="preserve"> dose–response meta-analysis has quantified whether AEs </w:t>
      </w:r>
      <w:r w:rsidR="004B3794">
        <w:rPr>
          <w:lang w:val="en-US"/>
        </w:rPr>
        <w:t>increase</w:t>
      </w:r>
      <w:r w:rsidR="004B3794" w:rsidRPr="007A17FC">
        <w:rPr>
          <w:lang w:val="en-US"/>
        </w:rPr>
        <w:t xml:space="preserve"> </w:t>
      </w:r>
      <w:r w:rsidRPr="007A17FC">
        <w:rPr>
          <w:lang w:val="en-US"/>
        </w:rPr>
        <w:t xml:space="preserve">linearly, follow nonlinear trajectories, </w:t>
      </w:r>
      <w:r w:rsidR="004B3794">
        <w:rPr>
          <w:lang w:val="en-US"/>
        </w:rPr>
        <w:t>exhibit</w:t>
      </w:r>
      <w:r w:rsidRPr="007A17FC">
        <w:rPr>
          <w:lang w:val="en-US"/>
        </w:rPr>
        <w:t xml:space="preserve"> threshold </w:t>
      </w:r>
      <w:r w:rsidR="004B3794">
        <w:rPr>
          <w:lang w:val="en-US"/>
        </w:rPr>
        <w:t>effects</w:t>
      </w:r>
      <w:r w:rsidRPr="007A17FC">
        <w:rPr>
          <w:lang w:val="en-US"/>
        </w:rPr>
        <w:t>, or differ between acute (in-session) and post-acute (follow-up) windows. This gap is critical for risk-stratification, clinical implementation, risk</w:t>
      </w:r>
      <w:r w:rsidR="004B3794">
        <w:rPr>
          <w:lang w:val="en-US"/>
        </w:rPr>
        <w:t xml:space="preserve"> </w:t>
      </w:r>
      <w:r w:rsidRPr="007A17FC">
        <w:rPr>
          <w:lang w:val="en-US"/>
        </w:rPr>
        <w:t>management and regulatory decision-making.</w:t>
      </w:r>
    </w:p>
    <w:p w14:paraId="48C12E3E" w14:textId="2CB23E85" w:rsidR="000829E4" w:rsidRPr="007A17FC" w:rsidRDefault="00A30C86" w:rsidP="00FC19AC">
      <w:pPr>
        <w:spacing w:before="240" w:after="240" w:line="360" w:lineRule="auto"/>
        <w:rPr>
          <w:b/>
          <w:bCs/>
          <w:sz w:val="34"/>
          <w:szCs w:val="34"/>
          <w:lang w:val="en-US"/>
        </w:rPr>
      </w:pPr>
      <w:r>
        <w:rPr>
          <w:lang w:val="en-US"/>
        </w:rPr>
        <w:t>Accordingly</w:t>
      </w:r>
      <w:r w:rsidR="00542108" w:rsidRPr="007A17FC">
        <w:rPr>
          <w:lang w:val="en-US"/>
        </w:rPr>
        <w:t>, we conducted the first cross-</w:t>
      </w:r>
      <w:r w:rsidR="00682EED">
        <w:rPr>
          <w:lang w:val="en-US"/>
        </w:rPr>
        <w:t>substance</w:t>
      </w:r>
      <w:r w:rsidR="00542108" w:rsidRPr="007A17FC">
        <w:rPr>
          <w:lang w:val="en-US"/>
        </w:rPr>
        <w:t xml:space="preserve"> dose–response meta-analysis of AEs across RCTs involving LSD, psilocybin, MDMA, and ayahuasca</w:t>
      </w:r>
      <w:r w:rsidR="004B3794">
        <w:rPr>
          <w:lang w:val="en-US"/>
        </w:rPr>
        <w:t xml:space="preserve">, </w:t>
      </w:r>
      <w:r w:rsidR="004B3794" w:rsidRPr="004B3794">
        <w:rPr>
          <w:b/>
          <w:bCs/>
          <w:lang w:val="en-US"/>
        </w:rPr>
        <w:t>pooling data across indications/disorders</w:t>
      </w:r>
      <w:r w:rsidR="00542108" w:rsidRPr="007A17FC">
        <w:rPr>
          <w:lang w:val="en-US"/>
        </w:rPr>
        <w:t xml:space="preserve">. Using </w:t>
      </w:r>
      <w:proofErr w:type="spellStart"/>
      <w:r w:rsidR="00542108" w:rsidRPr="007A17FC">
        <w:rPr>
          <w:lang w:val="en-US"/>
        </w:rPr>
        <w:t>harmonised</w:t>
      </w:r>
      <w:proofErr w:type="spellEnd"/>
      <w:r w:rsidR="00542108" w:rsidRPr="007A17FC">
        <w:rPr>
          <w:lang w:val="en-US"/>
        </w:rPr>
        <w:t xml:space="preserve"> AE terminology, standardized reference-arm selection, and linear or spline-based meta-regression, we quantified (1) </w:t>
      </w:r>
      <w:r w:rsidR="00682EED">
        <w:rPr>
          <w:lang w:val="en-US"/>
        </w:rPr>
        <w:t>substance</w:t>
      </w:r>
      <w:r w:rsidR="00542108" w:rsidRPr="007A17FC">
        <w:rPr>
          <w:lang w:val="en-US"/>
        </w:rPr>
        <w:t>-specific global dose–response functions, (2) AE-specific dose gradients, and (3) differential acute versus post-acute AE profiles. This analysis provides a comparative, dose-dependent safety framework to inform psychedelic-assisted therapy as it moves toward regulated clinical use.</w:t>
      </w:r>
    </w:p>
    <w:p w14:paraId="3617D917" w14:textId="77777777" w:rsidR="000829E4" w:rsidRPr="007A17FC" w:rsidRDefault="00542108">
      <w:pPr>
        <w:pStyle w:val="Titre2"/>
        <w:rPr>
          <w:lang w:val="en-US"/>
        </w:rPr>
      </w:pPr>
      <w:bookmarkStart w:id="0" w:name="_khc7fk2njxk9" w:colFirst="0" w:colLast="0"/>
      <w:bookmarkEnd w:id="0"/>
      <w:r w:rsidRPr="007A17FC">
        <w:rPr>
          <w:lang w:val="en-US"/>
        </w:rPr>
        <w:lastRenderedPageBreak/>
        <w:t>2. Methods</w:t>
      </w:r>
    </w:p>
    <w:p w14:paraId="4BF015A8" w14:textId="77777777" w:rsidR="000829E4" w:rsidRPr="007A17FC" w:rsidRDefault="00542108">
      <w:pPr>
        <w:pStyle w:val="Titre3"/>
        <w:keepNext w:val="0"/>
        <w:keepLines w:val="0"/>
        <w:rPr>
          <w:lang w:val="en-US"/>
        </w:rPr>
      </w:pPr>
      <w:bookmarkStart w:id="1" w:name="_tiebrw7imgch" w:colFirst="0" w:colLast="0"/>
      <w:bookmarkEnd w:id="1"/>
      <w:r w:rsidRPr="007A17FC">
        <w:rPr>
          <w:lang w:val="en-US"/>
        </w:rPr>
        <w:t>2.1 Study design and registration</w:t>
      </w:r>
    </w:p>
    <w:p w14:paraId="547BA0C0" w14:textId="2D603B2C" w:rsidR="000829E4" w:rsidRPr="007A17FC" w:rsidRDefault="00542108" w:rsidP="00FC19AC">
      <w:pPr>
        <w:spacing w:before="240" w:after="240" w:line="360" w:lineRule="auto"/>
        <w:rPr>
          <w:lang w:val="en-US"/>
        </w:rPr>
      </w:pPr>
      <w:r w:rsidRPr="007A17FC">
        <w:rPr>
          <w:lang w:val="en-US"/>
        </w:rPr>
        <w:t>This systematic review and dose–response meta-analysis was conducted in accordance with the PRISMA 2020 guidelines (Supplementary Information 1). The protocol was prospectively registered on PROSPERO in March 2025 (CRD42023399591). The present work builds on the dataset generated in the living systematic review by Højlund et al. (2025)</w:t>
      </w:r>
      <w:r w:rsidR="0090474B">
        <w:rPr>
          <w:lang w:val="en-US"/>
        </w:rPr>
        <w:t xml:space="preserve"> </w:t>
      </w:r>
      <w:r w:rsidRPr="007A17FC">
        <w:rPr>
          <w:lang w:val="en-US"/>
        </w:rPr>
        <w:t xml:space="preserve">and incorporates an updated search performed by our team in November 2025. The complete PRISMA flow diagram for the initial study identification and selection process is available in the original publication </w:t>
      </w:r>
      <w:r w:rsidR="0090474B">
        <w:rPr>
          <w:lang w:val="en-US"/>
        </w:rPr>
        <w:fldChar w:fldCharType="begin"/>
      </w:r>
      <w:r w:rsidR="0090474B">
        <w:rPr>
          <w:lang w:val="en-US"/>
        </w:rPr>
        <w:instrText xml:space="preserve"> ADDIN ZOTERO_ITEM CSL_CITATION {"citationID":"KeQvKQaZ","properties":{"formattedCitation":"(H\\uc0\\u248{}jlund et al., 2025)","plainCitation":"(Højlund et al., 2025)","noteIndex":0},"citationItems":[{"id":3114,"uris":["http://zotero.org/users/4564126/items/LVT7ZESL"],"itemData":{"id":3114,"type":"article-journal","container-title":"European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A."},{"family":"Solmi","given":"Marco"}],"issued":{"date-parts":[["2025"]]}}}],"schema":"https://github.com/citation-style-language/schema/raw/master/csl-citation.json"} </w:instrText>
      </w:r>
      <w:r w:rsidR="0090474B">
        <w:rPr>
          <w:lang w:val="en-US"/>
        </w:rPr>
        <w:fldChar w:fldCharType="separate"/>
      </w:r>
      <w:r w:rsidR="0090474B" w:rsidRPr="0090474B">
        <w:rPr>
          <w:lang w:val="fr-FR" w:eastAsia="en-US"/>
        </w:rPr>
        <w:t>(Højlund et al., 2025)</w:t>
      </w:r>
      <w:r w:rsidR="0090474B">
        <w:rPr>
          <w:lang w:val="en-US"/>
        </w:rPr>
        <w:fldChar w:fldCharType="end"/>
      </w:r>
      <w:r w:rsidRPr="007A17FC">
        <w:rPr>
          <w:lang w:val="en-US"/>
        </w:rPr>
        <w:t xml:space="preserve">. </w:t>
      </w:r>
    </w:p>
    <w:p w14:paraId="25D2D3F9" w14:textId="77777777" w:rsidR="000829E4" w:rsidRPr="007A17FC" w:rsidRDefault="00542108">
      <w:pPr>
        <w:pStyle w:val="Titre3"/>
        <w:keepNext w:val="0"/>
        <w:keepLines w:val="0"/>
        <w:rPr>
          <w:lang w:val="en-US"/>
        </w:rPr>
      </w:pPr>
      <w:bookmarkStart w:id="2" w:name="_u2kn0cqsyrb1" w:colFirst="0" w:colLast="0"/>
      <w:bookmarkEnd w:id="2"/>
      <w:r w:rsidRPr="007A17FC">
        <w:rPr>
          <w:lang w:val="en-US"/>
        </w:rPr>
        <w:t>2.2 Literature search strategy</w:t>
      </w:r>
    </w:p>
    <w:p w14:paraId="241AB25A" w14:textId="53AC3098" w:rsidR="000829E4" w:rsidRPr="004B3794" w:rsidRDefault="00542108" w:rsidP="00FC19AC">
      <w:pPr>
        <w:spacing w:before="240" w:after="240" w:line="360" w:lineRule="auto"/>
        <w:rPr>
          <w:lang w:val="en-US"/>
        </w:rPr>
      </w:pPr>
      <w:r w:rsidRPr="004B3794">
        <w:rPr>
          <w:lang w:val="en-US"/>
        </w:rPr>
        <w:t>The primary literature search was originally conducted by Højlund et al. (2025), who systematically screened Medline, Scopus, and the Cochrane Central Register of Controlled Trials from inception to July 8, 2025</w:t>
      </w:r>
      <w:r w:rsidR="00CB1243" w:rsidRPr="004B3794">
        <w:rPr>
          <w:lang w:val="en-US"/>
        </w:rPr>
        <w:t>. The full list of search terms is available in supplementary materials (</w:t>
      </w:r>
      <w:r w:rsidR="00FC19AC" w:rsidRPr="004B3794">
        <w:rPr>
          <w:color w:val="000000"/>
          <w:lang w:val="en-US"/>
        </w:rPr>
        <w:t>Supplementary Methods S1</w:t>
      </w:r>
      <w:r w:rsidR="00CB1243" w:rsidRPr="004B3794">
        <w:rPr>
          <w:lang w:val="en-US"/>
        </w:rPr>
        <w:t xml:space="preserve">) </w:t>
      </w:r>
    </w:p>
    <w:p w14:paraId="2F38F7B2" w14:textId="5341431B" w:rsidR="000829E4" w:rsidRPr="007A17FC" w:rsidRDefault="004B3794" w:rsidP="00FC19AC">
      <w:pPr>
        <w:spacing w:before="240" w:after="240" w:line="360" w:lineRule="auto"/>
        <w:rPr>
          <w:lang w:val="en-US"/>
        </w:rPr>
      </w:pPr>
      <w:r>
        <w:rPr>
          <w:lang w:val="en-US"/>
        </w:rPr>
        <w:t>In t</w:t>
      </w:r>
      <w:r w:rsidR="00542108" w:rsidRPr="007A17FC">
        <w:rPr>
          <w:lang w:val="en-US"/>
        </w:rPr>
        <w:t>he present meta-analysis, all studies identified in the original search were imported, and the search was updated in November 2025 to ensure that no additional RCTs reporting adverse events were missed. Two reviewers (ME, MS) independently re-screened all previously identified trials to determine whether they contained extractable adverse-event data suitable for dose–response modelling. Reference lists of eligible trials and relevant systematic reviews were also examined to identify any additional studies.</w:t>
      </w:r>
    </w:p>
    <w:p w14:paraId="378328B4" w14:textId="77777777" w:rsidR="000829E4" w:rsidRPr="007A17FC" w:rsidRDefault="00542108" w:rsidP="00FC19AC">
      <w:pPr>
        <w:pStyle w:val="Titre3"/>
        <w:keepNext w:val="0"/>
        <w:keepLines w:val="0"/>
        <w:rPr>
          <w:lang w:val="en-US"/>
        </w:rPr>
      </w:pPr>
      <w:bookmarkStart w:id="3" w:name="_ico7fhpoeyag" w:colFirst="0" w:colLast="0"/>
      <w:bookmarkEnd w:id="3"/>
      <w:r w:rsidRPr="007A17FC">
        <w:rPr>
          <w:lang w:val="en-US"/>
        </w:rPr>
        <w:t>2.3 Eligibility criteria and study selection</w:t>
      </w:r>
    </w:p>
    <w:p w14:paraId="3DBD4E58" w14:textId="366FF0AD" w:rsidR="000829E4" w:rsidRPr="007A17FC" w:rsidRDefault="00542108" w:rsidP="00FC19AC">
      <w:pPr>
        <w:spacing w:before="240" w:after="240" w:line="360" w:lineRule="auto"/>
        <w:rPr>
          <w:lang w:val="en-US"/>
        </w:rPr>
      </w:pPr>
      <w:r w:rsidRPr="007A17FC">
        <w:rPr>
          <w:lang w:val="en-US"/>
        </w:rPr>
        <w:t>The initial eligibility assessment including title/abstract screening, full-text review, and extraction of efficacy and safety endpoints was performed as part of the original PRISMA systematic review by Højlund et al. (2025)</w:t>
      </w:r>
      <w:r w:rsidR="000830F2">
        <w:rPr>
          <w:lang w:val="en-US"/>
        </w:rPr>
        <w:t xml:space="preserve"> (Supplementary Figure 1)</w:t>
      </w:r>
      <w:r w:rsidRPr="007A17FC">
        <w:rPr>
          <w:lang w:val="en-US"/>
        </w:rPr>
        <w:t>, in which at least two reviewers independently evaluated each record and resolved discrepancies through consensus.</w:t>
      </w:r>
    </w:p>
    <w:p w14:paraId="22734E5A" w14:textId="1810FBF8" w:rsidR="000829E4" w:rsidRPr="007A17FC" w:rsidRDefault="00542108" w:rsidP="00FC19AC">
      <w:pPr>
        <w:spacing w:before="240" w:after="240" w:line="360" w:lineRule="auto"/>
        <w:rPr>
          <w:lang w:val="en-US"/>
        </w:rPr>
      </w:pPr>
      <w:r w:rsidRPr="007A17FC">
        <w:rPr>
          <w:lang w:val="en-US"/>
        </w:rPr>
        <w:lastRenderedPageBreak/>
        <w:t xml:space="preserve">For the present dose–response analysis, we re-applied eligibility criteria specifically focused on </w:t>
      </w:r>
      <w:r w:rsidR="00CB1243">
        <w:rPr>
          <w:lang w:val="en-US"/>
        </w:rPr>
        <w:t xml:space="preserve">AE </w:t>
      </w:r>
      <w:r w:rsidRPr="007A17FC">
        <w:rPr>
          <w:lang w:val="en-US"/>
        </w:rPr>
        <w:t>extractability. Two reviewers (ME, MS) independently screened all previously included RCTs to identify those reporting arm-level AE frequencies that could be used for meta-analytic modelling. Trials that did not report AEs, or did so in non-extractable formats, were excluded.</w:t>
      </w:r>
    </w:p>
    <w:p w14:paraId="3C919801" w14:textId="77777777" w:rsidR="000829E4" w:rsidRDefault="00542108" w:rsidP="00FC19AC">
      <w:pPr>
        <w:spacing w:before="240" w:after="240" w:line="360" w:lineRule="auto"/>
        <w:rPr>
          <w:lang w:val="en-US"/>
        </w:rPr>
      </w:pPr>
      <w:r w:rsidRPr="007A17FC">
        <w:rPr>
          <w:lang w:val="en-US"/>
        </w:rPr>
        <w:t xml:space="preserve">From the subset of eligible RCTs, arm-level AE counts, intervention doses, and time-window classifications (session vs. follow-up) were verified directly from the original publications. Additional variables required for the present analysis including reference-arm designation and harmonized AE terminology were newly curated by the current authors. Disagreements in AE coding or extraction were resolved through consensus (ME, MS, </w:t>
      </w:r>
      <w:proofErr w:type="spellStart"/>
      <w:r w:rsidRPr="007A17FC">
        <w:rPr>
          <w:lang w:val="en-US"/>
        </w:rPr>
        <w:t>MSo</w:t>
      </w:r>
      <w:proofErr w:type="spellEnd"/>
      <w:r w:rsidRPr="007A17FC">
        <w:rPr>
          <w:lang w:val="en-US"/>
        </w:rPr>
        <w:t>). All data were processed using a reproducible R workflow described below.</w:t>
      </w:r>
    </w:p>
    <w:p w14:paraId="6E53C19D" w14:textId="42A595D2" w:rsidR="004B3794" w:rsidRPr="007A17FC" w:rsidRDefault="004B3794" w:rsidP="00FC19AC">
      <w:pPr>
        <w:spacing w:before="240" w:after="240" w:line="360" w:lineRule="auto"/>
        <w:rPr>
          <w:lang w:val="en-US"/>
        </w:rPr>
      </w:pPr>
      <w:r w:rsidRPr="004B3794">
        <w:rPr>
          <w:lang w:val="en-US"/>
        </w:rPr>
        <w:t>Included RCTs were primarily designed around a single main DSM/ICD diagnosis per protocol (e.g., PTSD, MDD, anxiety disorders, AUD, ADHD), although study-specific comorbidities were variably allowed. Because AE counts and dose variation were limited within individual diagnostic strata, primary dose–response analyses were prespecified as transdiagnostic (pooled across disorders) and stratified by molecule.</w:t>
      </w:r>
    </w:p>
    <w:p w14:paraId="4CD640CB" w14:textId="74CD3CEE" w:rsidR="00CD0DB3" w:rsidRPr="00CD0DB3" w:rsidRDefault="00542108" w:rsidP="00CD0DB3">
      <w:pPr>
        <w:spacing w:after="240"/>
        <w:rPr>
          <w:lang w:val="en-US"/>
        </w:rPr>
      </w:pPr>
      <w:bookmarkStart w:id="4" w:name="_9hu8k61be85y" w:colFirst="0" w:colLast="0"/>
      <w:bookmarkEnd w:id="4"/>
      <w:r w:rsidRPr="00CD0DB3">
        <w:rPr>
          <w:b/>
          <w:bCs/>
          <w:lang w:val="en-US"/>
        </w:rPr>
        <w:t>2.4 Statistical analysis</w:t>
      </w:r>
    </w:p>
    <w:p w14:paraId="4DB34816" w14:textId="500FD1A1" w:rsidR="00CD0DB3" w:rsidRPr="00CD0DB3" w:rsidRDefault="00CD0DB3" w:rsidP="00FC19AC">
      <w:pPr>
        <w:spacing w:after="240" w:line="360" w:lineRule="auto"/>
        <w:rPr>
          <w:lang w:val="en-US"/>
        </w:rPr>
      </w:pPr>
      <w:bookmarkStart w:id="5" w:name="_qkbr113iamdc" w:colFirst="0" w:colLast="0"/>
      <w:bookmarkEnd w:id="5"/>
      <w:r w:rsidRPr="00CD0DB3">
        <w:rPr>
          <w:lang w:val="en-US"/>
        </w:rPr>
        <w:t xml:space="preserve">Raw datasets were imported into R through a fully reproducible analysis pipeline. Comparator arms were </w:t>
      </w:r>
      <w:proofErr w:type="spellStart"/>
      <w:r w:rsidRPr="00CD0DB3">
        <w:rPr>
          <w:lang w:val="en-US"/>
        </w:rPr>
        <w:t>harmonised</w:t>
      </w:r>
      <w:proofErr w:type="spellEnd"/>
      <w:r w:rsidRPr="00CD0DB3">
        <w:rPr>
          <w:lang w:val="en-US"/>
        </w:rPr>
        <w:t xml:space="preserve"> into inactive placebo, active placebo, or active non-psychedelic control. When arm type was not explicitly reported, zero-dose arms labelled as “placebo” were classified as inactive placebo; all remaining arms were treated as active. Within each substance-by-study subset, reference arms were selected using a predefined hierarchy </w:t>
      </w:r>
      <w:proofErr w:type="spellStart"/>
      <w:r w:rsidRPr="00CD0DB3">
        <w:rPr>
          <w:lang w:val="en-US"/>
        </w:rPr>
        <w:t>prioritising</w:t>
      </w:r>
      <w:proofErr w:type="spellEnd"/>
      <w:r w:rsidRPr="00CD0DB3">
        <w:rPr>
          <w:lang w:val="en-US"/>
        </w:rPr>
        <w:t xml:space="preserve"> inactive placebo, followed by active placebo, and then the lowest active psychedelic dose.</w:t>
      </w:r>
      <w:r w:rsidR="006E710C">
        <w:rPr>
          <w:lang w:val="en-US"/>
        </w:rPr>
        <w:t xml:space="preserve"> </w:t>
      </w:r>
      <w:r w:rsidR="006E710C" w:rsidRPr="006E710C">
        <w:rPr>
          <w:color w:val="000000" w:themeColor="text1"/>
          <w:lang w:val="en-US"/>
        </w:rPr>
        <w:t>Microdosing was kept separate from both placebo and dose in all analyses and was not collapsed into the placebo group or treated as a true zero-dose condition.</w:t>
      </w:r>
    </w:p>
    <w:p w14:paraId="6E05F86F" w14:textId="2A0BC63A" w:rsidR="00CD0DB3" w:rsidRPr="00CD0DB3" w:rsidRDefault="00CD0DB3" w:rsidP="00FC19AC">
      <w:pPr>
        <w:spacing w:after="240" w:line="360" w:lineRule="auto"/>
      </w:pPr>
      <w:r w:rsidRPr="00CD0DB3">
        <w:rPr>
          <w:lang w:val="en-US"/>
        </w:rPr>
        <w:t xml:space="preserve">Arm-level adverse-event (AE) data were </w:t>
      </w:r>
      <w:proofErr w:type="spellStart"/>
      <w:r w:rsidRPr="00CD0DB3">
        <w:rPr>
          <w:lang w:val="en-US"/>
        </w:rPr>
        <w:t>harmonised</w:t>
      </w:r>
      <w:proofErr w:type="spellEnd"/>
      <w:r w:rsidRPr="00CD0DB3">
        <w:rPr>
          <w:lang w:val="en-US"/>
        </w:rPr>
        <w:t xml:space="preserve"> and transformed into 2×2 contingency tables contrasting each active dose with its designated reference arm. Odds ratios were computed using the </w:t>
      </w:r>
      <w:proofErr w:type="spellStart"/>
      <w:r w:rsidRPr="00C97945">
        <w:rPr>
          <w:i/>
          <w:iCs/>
          <w:lang w:val="en-US"/>
        </w:rPr>
        <w:t>escalc</w:t>
      </w:r>
      <w:proofErr w:type="spellEnd"/>
      <w:r w:rsidRPr="00CD0DB3">
        <w:rPr>
          <w:lang w:val="en-US"/>
        </w:rPr>
        <w:t xml:space="preserve"> function from the </w:t>
      </w:r>
      <w:proofErr w:type="spellStart"/>
      <w:r w:rsidRPr="00C97945">
        <w:rPr>
          <w:i/>
          <w:iCs/>
          <w:lang w:val="en-US"/>
        </w:rPr>
        <w:t>metafor</w:t>
      </w:r>
      <w:proofErr w:type="spellEnd"/>
      <w:r w:rsidRPr="00CD0DB3">
        <w:rPr>
          <w:lang w:val="en-US"/>
        </w:rPr>
        <w:t xml:space="preserve"> package </w:t>
      </w:r>
      <w:r w:rsidR="0090474B">
        <w:rPr>
          <w:lang w:val="en-US"/>
        </w:rPr>
        <w:fldChar w:fldCharType="begin"/>
      </w:r>
      <w:r w:rsidR="0090474B">
        <w:rPr>
          <w:lang w:val="en-US"/>
        </w:rPr>
        <w:instrText xml:space="preserve"> ADDIN ZOTERO_ITEM CSL_CITATION {"citationID":"1Bb2uQDj","properties":{"formattedCitation":"(Viechtbauer, 2010)","plainCitation":"(Viechtbauer, 2010)","noteIndex":0},"citationItems":[{"id":3148,"uris":["http://zotero.org/users/4564126/items/SR32N5Z3"],"itemData":{"id":3148,"type":"article-journal","container-title":"Journal of Statistical Software","DOI":"10.18637/jss.v036.i03","issue":"3","page":"1–48","title":"Conducting Meta-Analyses in R with the metafor Package","volume":"36","author":[{"family":"Viechtbauer","given":"Wolfgang"}],"issued":{"date-parts":[["2010"]]}}}],"schema":"https://github.com/citation-style-language/schema/raw/master/csl-citation.json"} </w:instrText>
      </w:r>
      <w:r w:rsidR="0090474B">
        <w:rPr>
          <w:lang w:val="en-US"/>
        </w:rPr>
        <w:fldChar w:fldCharType="separate"/>
      </w:r>
      <w:r w:rsidR="0090474B">
        <w:rPr>
          <w:noProof/>
          <w:lang w:val="en-US"/>
        </w:rPr>
        <w:t>(Viechtbauer, 2010)</w:t>
      </w:r>
      <w:r w:rsidR="0090474B">
        <w:rPr>
          <w:lang w:val="en-US"/>
        </w:rPr>
        <w:fldChar w:fldCharType="end"/>
      </w:r>
      <w:r w:rsidR="0090474B">
        <w:rPr>
          <w:lang w:val="en-US"/>
        </w:rPr>
        <w:t xml:space="preserve"> </w:t>
      </w:r>
      <w:r w:rsidRPr="00CD0DB3">
        <w:rPr>
          <w:lang w:val="en-US"/>
        </w:rPr>
        <w:t xml:space="preserve">applying a Haldane–Anscombe correction (0.5) only in the presence of zero-cell counts </w:t>
      </w:r>
      <w:r w:rsidR="0090474B">
        <w:rPr>
          <w:lang w:val="en-US"/>
        </w:rPr>
        <w:fldChar w:fldCharType="begin"/>
      </w:r>
      <w:r w:rsidR="0090474B">
        <w:rPr>
          <w:lang w:val="en-US"/>
        </w:rPr>
        <w:instrText xml:space="preserve"> ADDIN ZOTERO_ITEM CSL_CITATION {"citationID":"R5mkNbu4","properties":{"formattedCitation":"(Fleiss, 1994)","plainCitation":"(Fleiss, 1994)","noteIndex":0},"citationItems":[{"id":3149,"uris":["http://zotero.org/users/4564126/items/77DQ7KQX"],"itemData":{"id":3149,"type":"book","edition":"2","event-place":"New York","publisher":"Wiley","publisher-place":"New York","title":"Statistical Methods for Rates and Proportions","author":[{"family":"Fleiss","given":"Joseph L."}],"issued":{"date-parts":[["1994"]]}}}],"schema":"https://github.com/citation-style-language/schema/raw/master/csl-citation.json"} </w:instrText>
      </w:r>
      <w:r w:rsidR="0090474B">
        <w:rPr>
          <w:lang w:val="en-US"/>
        </w:rPr>
        <w:fldChar w:fldCharType="separate"/>
      </w:r>
      <w:r w:rsidR="0090474B">
        <w:rPr>
          <w:noProof/>
          <w:lang w:val="en-US"/>
        </w:rPr>
        <w:t>(Fleiss, 1994)</w:t>
      </w:r>
      <w:r w:rsidR="0090474B">
        <w:rPr>
          <w:lang w:val="en-US"/>
        </w:rPr>
        <w:fldChar w:fldCharType="end"/>
      </w:r>
      <w:r w:rsidRPr="00CD0DB3">
        <w:rPr>
          <w:lang w:val="en-US"/>
        </w:rPr>
        <w:t xml:space="preserve">. </w:t>
      </w:r>
      <w:proofErr w:type="spellStart"/>
      <w:r w:rsidRPr="00CD0DB3">
        <w:t>Resulting</w:t>
      </w:r>
      <w:proofErr w:type="spellEnd"/>
      <w:r w:rsidRPr="00CD0DB3">
        <w:t xml:space="preserve"> log-</w:t>
      </w:r>
      <w:proofErr w:type="spellStart"/>
      <w:r w:rsidRPr="00CD0DB3">
        <w:lastRenderedPageBreak/>
        <w:t>odds</w:t>
      </w:r>
      <w:proofErr w:type="spellEnd"/>
      <w:r w:rsidRPr="00CD0DB3">
        <w:t xml:space="preserve"> ratios (yi) and sampling variances (vi) </w:t>
      </w:r>
      <w:proofErr w:type="spellStart"/>
      <w:r w:rsidRPr="00CD0DB3">
        <w:t>retained</w:t>
      </w:r>
      <w:proofErr w:type="spellEnd"/>
      <w:r w:rsidRPr="00CD0DB3">
        <w:t xml:space="preserve"> information on active dose, </w:t>
      </w:r>
      <w:proofErr w:type="spellStart"/>
      <w:r w:rsidRPr="00CD0DB3">
        <w:t>reference</w:t>
      </w:r>
      <w:proofErr w:type="spellEnd"/>
      <w:r w:rsidRPr="00CD0DB3">
        <w:t xml:space="preserve"> dose, dose </w:t>
      </w:r>
      <w:proofErr w:type="spellStart"/>
      <w:r w:rsidRPr="00CD0DB3">
        <w:t>difference</w:t>
      </w:r>
      <w:proofErr w:type="spellEnd"/>
      <w:r w:rsidRPr="00CD0DB3">
        <w:t xml:space="preserve">, substance, AE </w:t>
      </w:r>
      <w:proofErr w:type="spellStart"/>
      <w:r w:rsidRPr="00CD0DB3">
        <w:t>term</w:t>
      </w:r>
      <w:proofErr w:type="spellEnd"/>
      <w:r w:rsidRPr="00CD0DB3">
        <w:t xml:space="preserve">, </w:t>
      </w:r>
      <w:proofErr w:type="spellStart"/>
      <w:r w:rsidRPr="00CD0DB3">
        <w:t>study</w:t>
      </w:r>
      <w:proofErr w:type="spellEnd"/>
      <w:r w:rsidRPr="00CD0DB3">
        <w:t xml:space="preserve"> identifier, and time </w:t>
      </w:r>
      <w:proofErr w:type="spellStart"/>
      <w:r w:rsidRPr="00CD0DB3">
        <w:t>window</w:t>
      </w:r>
      <w:proofErr w:type="spellEnd"/>
      <w:r w:rsidRPr="00CD0DB3">
        <w:t xml:space="preserve"> (session vs follow-up).</w:t>
      </w:r>
    </w:p>
    <w:p w14:paraId="2A37C724" w14:textId="517F2CEC" w:rsidR="00CD0DB3" w:rsidRPr="00CD0DB3" w:rsidRDefault="00CD0DB3" w:rsidP="00FC19AC">
      <w:pPr>
        <w:spacing w:after="240" w:line="360" w:lineRule="auto"/>
      </w:pPr>
      <w:proofErr w:type="spellStart"/>
      <w:r w:rsidRPr="00CD0DB3">
        <w:t>Random-effects</w:t>
      </w:r>
      <w:proofErr w:type="spellEnd"/>
      <w:r w:rsidRPr="00CD0DB3">
        <w:t xml:space="preserve"> </w:t>
      </w:r>
      <w:proofErr w:type="spellStart"/>
      <w:r w:rsidRPr="00CD0DB3">
        <w:t>meta</w:t>
      </w:r>
      <w:proofErr w:type="spellEnd"/>
      <w:r w:rsidRPr="00CD0DB3">
        <w:t xml:space="preserve">-analyses </w:t>
      </w:r>
      <w:proofErr w:type="spellStart"/>
      <w:r w:rsidRPr="00CD0DB3">
        <w:t>using</w:t>
      </w:r>
      <w:proofErr w:type="spellEnd"/>
      <w:r w:rsidRPr="00CD0DB3">
        <w:t xml:space="preserve"> </w:t>
      </w:r>
      <w:proofErr w:type="spellStart"/>
      <w:r w:rsidRPr="00CD0DB3">
        <w:t>restricted</w:t>
      </w:r>
      <w:proofErr w:type="spellEnd"/>
      <w:r w:rsidRPr="00CD0DB3">
        <w:t xml:space="preserve"> maximum </w:t>
      </w:r>
      <w:proofErr w:type="spellStart"/>
      <w:r w:rsidRPr="00CD0DB3">
        <w:t>likelihood</w:t>
      </w:r>
      <w:proofErr w:type="spellEnd"/>
      <w:r w:rsidRPr="00CD0DB3">
        <w:t xml:space="preserve"> (REML) </w:t>
      </w:r>
      <w:proofErr w:type="spellStart"/>
      <w:r w:rsidRPr="00CD0DB3">
        <w:t>were</w:t>
      </w:r>
      <w:proofErr w:type="spellEnd"/>
      <w:r w:rsidRPr="00CD0DB3">
        <w:t xml:space="preserve"> </w:t>
      </w:r>
      <w:proofErr w:type="spellStart"/>
      <w:r w:rsidRPr="00CD0DB3">
        <w:t>conducted</w:t>
      </w:r>
      <w:proofErr w:type="spellEnd"/>
      <w:r w:rsidRPr="00CD0DB3">
        <w:t xml:space="preserve"> to </w:t>
      </w:r>
      <w:proofErr w:type="spellStart"/>
      <w:r w:rsidRPr="00CD0DB3">
        <w:t>estimate</w:t>
      </w:r>
      <w:proofErr w:type="spellEnd"/>
      <w:r w:rsidRPr="00CD0DB3">
        <w:t xml:space="preserve"> </w:t>
      </w:r>
      <w:proofErr w:type="spellStart"/>
      <w:r w:rsidRPr="00CD0DB3">
        <w:t>pooled</w:t>
      </w:r>
      <w:proofErr w:type="spellEnd"/>
      <w:r w:rsidRPr="00CD0DB3">
        <w:t xml:space="preserve"> AE </w:t>
      </w:r>
      <w:proofErr w:type="spellStart"/>
      <w:r w:rsidRPr="00CD0DB3">
        <w:t>effects</w:t>
      </w:r>
      <w:proofErr w:type="spellEnd"/>
      <w:r w:rsidRPr="00CD0DB3">
        <w:t xml:space="preserve"> at </w:t>
      </w:r>
      <w:proofErr w:type="spellStart"/>
      <w:r w:rsidRPr="00CD0DB3">
        <w:t>both</w:t>
      </w:r>
      <w:proofErr w:type="spellEnd"/>
      <w:r w:rsidRPr="00CD0DB3">
        <w:t xml:space="preserve"> the global and AE-</w:t>
      </w:r>
      <w:proofErr w:type="spellStart"/>
      <w:r w:rsidRPr="00CD0DB3">
        <w:t>specific</w:t>
      </w:r>
      <w:proofErr w:type="spellEnd"/>
      <w:r w:rsidRPr="00CD0DB3">
        <w:t xml:space="preserve"> </w:t>
      </w:r>
      <w:proofErr w:type="spellStart"/>
      <w:r w:rsidRPr="00CD0DB3">
        <w:t>levels</w:t>
      </w:r>
      <w:proofErr w:type="spellEnd"/>
      <w:r w:rsidRPr="00CD0DB3">
        <w:t xml:space="preserve">. </w:t>
      </w:r>
      <w:proofErr w:type="spellStart"/>
      <w:r w:rsidRPr="00CD0DB3">
        <w:t>Between-study</w:t>
      </w:r>
      <w:proofErr w:type="spellEnd"/>
      <w:r w:rsidRPr="00CD0DB3">
        <w:t xml:space="preserve"> </w:t>
      </w:r>
      <w:proofErr w:type="spellStart"/>
      <w:r w:rsidRPr="00CD0DB3">
        <w:t>heterogeneity</w:t>
      </w:r>
      <w:proofErr w:type="spellEnd"/>
      <w:r w:rsidRPr="00CD0DB3">
        <w:t xml:space="preserve"> </w:t>
      </w:r>
      <w:proofErr w:type="spellStart"/>
      <w:r w:rsidRPr="00CD0DB3">
        <w:t>was</w:t>
      </w:r>
      <w:proofErr w:type="spellEnd"/>
      <w:r w:rsidRPr="00CD0DB3">
        <w:t xml:space="preserve"> </w:t>
      </w:r>
      <w:proofErr w:type="spellStart"/>
      <w:r w:rsidRPr="00CD0DB3">
        <w:t>quantified</w:t>
      </w:r>
      <w:proofErr w:type="spellEnd"/>
      <w:r w:rsidRPr="00CD0DB3">
        <w:t xml:space="preserve"> </w:t>
      </w:r>
      <w:proofErr w:type="spellStart"/>
      <w:r w:rsidRPr="00CD0DB3">
        <w:t>using</w:t>
      </w:r>
      <w:proofErr w:type="spellEnd"/>
      <w:r w:rsidRPr="00CD0DB3">
        <w:t xml:space="preserve"> τ² and I² </w:t>
      </w:r>
      <w:proofErr w:type="spellStart"/>
      <w:r w:rsidRPr="00CD0DB3">
        <w:t>statistics</w:t>
      </w:r>
      <w:proofErr w:type="spellEnd"/>
      <w:r w:rsidRPr="00CD0DB3">
        <w:t xml:space="preserve">. </w:t>
      </w:r>
      <w:proofErr w:type="spellStart"/>
      <w:r w:rsidRPr="00CD0DB3">
        <w:t>Given</w:t>
      </w:r>
      <w:proofErr w:type="spellEnd"/>
      <w:r w:rsidRPr="00CD0DB3">
        <w:t xml:space="preserve"> the </w:t>
      </w:r>
      <w:proofErr w:type="spellStart"/>
      <w:r w:rsidRPr="00CD0DB3">
        <w:t>limited</w:t>
      </w:r>
      <w:proofErr w:type="spellEnd"/>
      <w:r w:rsidRPr="00CD0DB3">
        <w:t xml:space="preserve"> </w:t>
      </w:r>
      <w:proofErr w:type="spellStart"/>
      <w:r w:rsidRPr="00CD0DB3">
        <w:t>number</w:t>
      </w:r>
      <w:proofErr w:type="spellEnd"/>
      <w:r w:rsidRPr="00CD0DB3">
        <w:t xml:space="preserve"> of </w:t>
      </w:r>
      <w:proofErr w:type="spellStart"/>
      <w:r w:rsidRPr="00CD0DB3">
        <w:t>contrasts</w:t>
      </w:r>
      <w:proofErr w:type="spellEnd"/>
      <w:r w:rsidRPr="00CD0DB3">
        <w:t xml:space="preserve"> for </w:t>
      </w:r>
      <w:proofErr w:type="spellStart"/>
      <w:r w:rsidRPr="00CD0DB3">
        <w:t>most</w:t>
      </w:r>
      <w:proofErr w:type="spellEnd"/>
      <w:r w:rsidRPr="00CD0DB3">
        <w:t xml:space="preserve"> AE-</w:t>
      </w:r>
      <w:proofErr w:type="spellStart"/>
      <w:r w:rsidRPr="00CD0DB3">
        <w:t>specific</w:t>
      </w:r>
      <w:proofErr w:type="spellEnd"/>
      <w:r w:rsidRPr="00CD0DB3">
        <w:t xml:space="preserve"> </w:t>
      </w:r>
      <w:proofErr w:type="spellStart"/>
      <w:r w:rsidRPr="00CD0DB3">
        <w:t>outcomes</w:t>
      </w:r>
      <w:proofErr w:type="spellEnd"/>
      <w:r w:rsidRPr="00CD0DB3">
        <w:t xml:space="preserve"> (</w:t>
      </w:r>
      <w:proofErr w:type="spellStart"/>
      <w:r w:rsidR="00791DDC">
        <w:t>mean</w:t>
      </w:r>
      <w:proofErr w:type="spellEnd"/>
      <w:r w:rsidR="00791DDC">
        <w:t xml:space="preserve"> k= </w:t>
      </w:r>
      <w:r w:rsidR="000D2B6D">
        <w:t>3.6</w:t>
      </w:r>
      <w:r w:rsidRPr="00CD0DB3">
        <w:t xml:space="preserve">), </w:t>
      </w:r>
      <w:proofErr w:type="spellStart"/>
      <w:r w:rsidRPr="00CD0DB3">
        <w:t>formal</w:t>
      </w:r>
      <w:proofErr w:type="spellEnd"/>
      <w:r w:rsidRPr="00CD0DB3">
        <w:t xml:space="preserve"> </w:t>
      </w:r>
      <w:proofErr w:type="spellStart"/>
      <w:r w:rsidRPr="00CD0DB3">
        <w:t>assessments</w:t>
      </w:r>
      <w:proofErr w:type="spellEnd"/>
      <w:r w:rsidRPr="00CD0DB3">
        <w:t xml:space="preserve"> of </w:t>
      </w:r>
      <w:proofErr w:type="spellStart"/>
      <w:r w:rsidRPr="00CD0DB3">
        <w:t>small-study</w:t>
      </w:r>
      <w:proofErr w:type="spellEnd"/>
      <w:r w:rsidRPr="00CD0DB3">
        <w:t xml:space="preserve"> </w:t>
      </w:r>
      <w:proofErr w:type="spellStart"/>
      <w:r w:rsidRPr="00CD0DB3">
        <w:t>effects</w:t>
      </w:r>
      <w:proofErr w:type="spellEnd"/>
      <w:r w:rsidRPr="00CD0DB3">
        <w:t xml:space="preserve"> </w:t>
      </w:r>
      <w:proofErr w:type="spellStart"/>
      <w:r w:rsidRPr="00CD0DB3">
        <w:t>were</w:t>
      </w:r>
      <w:proofErr w:type="spellEnd"/>
      <w:r w:rsidRPr="00CD0DB3">
        <w:t xml:space="preserve"> not </w:t>
      </w:r>
      <w:proofErr w:type="spellStart"/>
      <w:r w:rsidRPr="00CD0DB3">
        <w:t>performed</w:t>
      </w:r>
      <w:proofErr w:type="spellEnd"/>
      <w:r w:rsidRPr="00CD0DB3">
        <w:t>.</w:t>
      </w:r>
    </w:p>
    <w:p w14:paraId="177D26E2" w14:textId="400D538A" w:rsidR="00CD0DB3" w:rsidRPr="00CD0DB3" w:rsidRDefault="00CD0DB3" w:rsidP="00FC19AC">
      <w:pPr>
        <w:spacing w:after="240" w:line="360" w:lineRule="auto"/>
      </w:pPr>
      <w:r w:rsidRPr="00CD0DB3">
        <w:t>Dose–</w:t>
      </w:r>
      <w:proofErr w:type="spellStart"/>
      <w:r w:rsidRPr="00CD0DB3">
        <w:t>response</w:t>
      </w:r>
      <w:proofErr w:type="spellEnd"/>
      <w:r w:rsidRPr="00CD0DB3">
        <w:t xml:space="preserve"> </w:t>
      </w:r>
      <w:proofErr w:type="spellStart"/>
      <w:r w:rsidRPr="00CD0DB3">
        <w:t>relationships</w:t>
      </w:r>
      <w:proofErr w:type="spellEnd"/>
      <w:r w:rsidRPr="00CD0DB3">
        <w:t xml:space="preserve"> </w:t>
      </w:r>
      <w:proofErr w:type="spellStart"/>
      <w:r w:rsidRPr="00CD0DB3">
        <w:t>were</w:t>
      </w:r>
      <w:proofErr w:type="spellEnd"/>
      <w:r w:rsidRPr="00CD0DB3">
        <w:t xml:space="preserve"> </w:t>
      </w:r>
      <w:proofErr w:type="spellStart"/>
      <w:r w:rsidRPr="00CD0DB3">
        <w:t>examined</w:t>
      </w:r>
      <w:proofErr w:type="spellEnd"/>
      <w:r w:rsidRPr="00CD0DB3">
        <w:t xml:space="preserve"> </w:t>
      </w:r>
      <w:proofErr w:type="spellStart"/>
      <w:r w:rsidRPr="00CD0DB3">
        <w:t>using</w:t>
      </w:r>
      <w:proofErr w:type="spellEnd"/>
      <w:r w:rsidRPr="00CD0DB3">
        <w:t xml:space="preserve"> </w:t>
      </w:r>
      <w:proofErr w:type="spellStart"/>
      <w:r w:rsidRPr="00CD0DB3">
        <w:t>random-effects</w:t>
      </w:r>
      <w:proofErr w:type="spellEnd"/>
      <w:r w:rsidRPr="00CD0DB3">
        <w:t xml:space="preserve"> </w:t>
      </w:r>
      <w:proofErr w:type="spellStart"/>
      <w:r w:rsidRPr="00CD0DB3">
        <w:t>meta-regression</w:t>
      </w:r>
      <w:proofErr w:type="spellEnd"/>
      <w:r w:rsidRPr="00CD0DB3">
        <w:t xml:space="preserve"> of arm-</w:t>
      </w:r>
      <w:proofErr w:type="spellStart"/>
      <w:r w:rsidRPr="00CD0DB3">
        <w:t>level</w:t>
      </w:r>
      <w:proofErr w:type="spellEnd"/>
      <w:r w:rsidRPr="00CD0DB3">
        <w:t xml:space="preserve"> log-</w:t>
      </w:r>
      <w:proofErr w:type="spellStart"/>
      <w:r w:rsidRPr="00CD0DB3">
        <w:t>odds</w:t>
      </w:r>
      <w:proofErr w:type="spellEnd"/>
      <w:r w:rsidRPr="00CD0DB3">
        <w:t xml:space="preserve"> ratios. </w:t>
      </w:r>
      <w:proofErr w:type="spellStart"/>
      <w:r w:rsidRPr="00CD0DB3">
        <w:t>Linear</w:t>
      </w:r>
      <w:proofErr w:type="spellEnd"/>
      <w:r w:rsidRPr="00CD0DB3">
        <w:t xml:space="preserve"> dose </w:t>
      </w:r>
      <w:proofErr w:type="spellStart"/>
      <w:r w:rsidRPr="00CD0DB3">
        <w:t>models</w:t>
      </w:r>
      <w:proofErr w:type="spellEnd"/>
      <w:r w:rsidRPr="00CD0DB3">
        <w:t xml:space="preserve"> </w:t>
      </w:r>
      <w:proofErr w:type="spellStart"/>
      <w:r w:rsidRPr="00CD0DB3">
        <w:t>were</w:t>
      </w:r>
      <w:proofErr w:type="spellEnd"/>
      <w:r w:rsidRPr="00CD0DB3">
        <w:t xml:space="preserve"> </w:t>
      </w:r>
      <w:proofErr w:type="spellStart"/>
      <w:r w:rsidRPr="00CD0DB3">
        <w:t>used</w:t>
      </w:r>
      <w:proofErr w:type="spellEnd"/>
      <w:r w:rsidRPr="00CD0DB3">
        <w:t xml:space="preserve"> as the </w:t>
      </w:r>
      <w:proofErr w:type="spellStart"/>
      <w:r w:rsidRPr="00CD0DB3">
        <w:t>primary</w:t>
      </w:r>
      <w:proofErr w:type="spellEnd"/>
      <w:r w:rsidRPr="00CD0DB3">
        <w:t xml:space="preserve"> </w:t>
      </w:r>
      <w:proofErr w:type="spellStart"/>
      <w:r w:rsidRPr="00CD0DB3">
        <w:t>framework</w:t>
      </w:r>
      <w:proofErr w:type="spellEnd"/>
      <w:r w:rsidRPr="00CD0DB3">
        <w:t xml:space="preserve"> for AE-</w:t>
      </w:r>
      <w:proofErr w:type="spellStart"/>
      <w:r w:rsidRPr="00CD0DB3">
        <w:t>specific</w:t>
      </w:r>
      <w:proofErr w:type="spellEnd"/>
      <w:r w:rsidRPr="00CD0DB3">
        <w:t xml:space="preserve"> analyses and for </w:t>
      </w:r>
      <w:proofErr w:type="spellStart"/>
      <w:r w:rsidRPr="00CD0DB3">
        <w:t>hypothesis</w:t>
      </w:r>
      <w:proofErr w:type="spellEnd"/>
      <w:r w:rsidRPr="00CD0DB3">
        <w:t xml:space="preserve"> </w:t>
      </w:r>
      <w:proofErr w:type="spellStart"/>
      <w:r w:rsidRPr="00CD0DB3">
        <w:t>testing</w:t>
      </w:r>
      <w:proofErr w:type="spellEnd"/>
      <w:r w:rsidRPr="00CD0DB3">
        <w:t xml:space="preserve">. Acute (session) and </w:t>
      </w:r>
      <w:proofErr w:type="spellStart"/>
      <w:r w:rsidRPr="00CD0DB3">
        <w:t>delayed</w:t>
      </w:r>
      <w:proofErr w:type="spellEnd"/>
      <w:r w:rsidRPr="00CD0DB3">
        <w:t xml:space="preserve"> (follow-up) </w:t>
      </w:r>
      <w:proofErr w:type="spellStart"/>
      <w:r w:rsidRPr="00CD0DB3">
        <w:t>windows</w:t>
      </w:r>
      <w:proofErr w:type="spellEnd"/>
      <w:r w:rsidRPr="00CD0DB3">
        <w:t xml:space="preserve"> </w:t>
      </w:r>
      <w:proofErr w:type="spellStart"/>
      <w:r w:rsidRPr="00CD0DB3">
        <w:t>were</w:t>
      </w:r>
      <w:proofErr w:type="spellEnd"/>
      <w:r w:rsidRPr="00CD0DB3">
        <w:t xml:space="preserve"> </w:t>
      </w:r>
      <w:proofErr w:type="spellStart"/>
      <w:r w:rsidRPr="00CD0DB3">
        <w:t>analysed</w:t>
      </w:r>
      <w:proofErr w:type="spellEnd"/>
      <w:r w:rsidRPr="00CD0DB3">
        <w:t xml:space="preserve"> </w:t>
      </w:r>
      <w:proofErr w:type="spellStart"/>
      <w:r w:rsidR="006E710C">
        <w:t>separately</w:t>
      </w:r>
      <w:proofErr w:type="spellEnd"/>
      <w:r w:rsidR="006E710C">
        <w:t xml:space="preserve"> </w:t>
      </w:r>
      <w:proofErr w:type="spellStart"/>
      <w:r w:rsidRPr="00CD0DB3">
        <w:t>using</w:t>
      </w:r>
      <w:proofErr w:type="spellEnd"/>
      <w:r w:rsidRPr="00CD0DB3">
        <w:t xml:space="preserve"> </w:t>
      </w:r>
      <w:proofErr w:type="spellStart"/>
      <w:r w:rsidRPr="00CD0DB3">
        <w:t>stratified</w:t>
      </w:r>
      <w:proofErr w:type="spellEnd"/>
      <w:r w:rsidRPr="00CD0DB3">
        <w:t xml:space="preserve"> </w:t>
      </w:r>
      <w:proofErr w:type="spellStart"/>
      <w:r w:rsidRPr="00CD0DB3">
        <w:t>models</w:t>
      </w:r>
      <w:proofErr w:type="spellEnd"/>
      <w:r w:rsidRPr="00CD0DB3">
        <w:t xml:space="preserve"> or joint visualisation </w:t>
      </w:r>
      <w:proofErr w:type="spellStart"/>
      <w:r w:rsidRPr="00CD0DB3">
        <w:t>while</w:t>
      </w:r>
      <w:proofErr w:type="spellEnd"/>
      <w:r w:rsidRPr="00CD0DB3">
        <w:t xml:space="preserve"> </w:t>
      </w:r>
      <w:proofErr w:type="spellStart"/>
      <w:r w:rsidRPr="00CD0DB3">
        <w:t>preserving</w:t>
      </w:r>
      <w:proofErr w:type="spellEnd"/>
      <w:r w:rsidRPr="00CD0DB3">
        <w:t xml:space="preserve"> </w:t>
      </w:r>
      <w:proofErr w:type="spellStart"/>
      <w:r w:rsidRPr="00CD0DB3">
        <w:t>identical</w:t>
      </w:r>
      <w:proofErr w:type="spellEnd"/>
      <w:r w:rsidRPr="00CD0DB3">
        <w:t xml:space="preserve"> </w:t>
      </w:r>
      <w:proofErr w:type="spellStart"/>
      <w:r w:rsidRPr="00CD0DB3">
        <w:t>reference</w:t>
      </w:r>
      <w:proofErr w:type="spellEnd"/>
      <w:r w:rsidRPr="00CD0DB3">
        <w:t xml:space="preserve">-arm </w:t>
      </w:r>
      <w:proofErr w:type="spellStart"/>
      <w:r w:rsidRPr="00CD0DB3">
        <w:t>alignment</w:t>
      </w:r>
      <w:proofErr w:type="spellEnd"/>
      <w:r w:rsidRPr="00CD0DB3">
        <w:t>.</w:t>
      </w:r>
    </w:p>
    <w:p w14:paraId="15ADB963" w14:textId="55844F0C" w:rsidR="00CD0DB3" w:rsidRPr="000752F4" w:rsidRDefault="004B3794" w:rsidP="00FC19AC">
      <w:pPr>
        <w:spacing w:after="240" w:line="360" w:lineRule="auto"/>
        <w:rPr>
          <w:lang w:val="it-CH"/>
        </w:rPr>
      </w:pPr>
      <w:r w:rsidRPr="004B3794">
        <w:rPr>
          <w:lang w:val="it-CH"/>
        </w:rPr>
        <w:t>Primary dose–response meta-regressions were conducted at the molecule level with pooling across diagnostic categories to maximize estimate stability and statistical power.</w:t>
      </w:r>
      <w:r>
        <w:rPr>
          <w:lang w:val="it-CH"/>
        </w:rPr>
        <w:t xml:space="preserve"> </w:t>
      </w:r>
      <w:r w:rsidR="00CD0DB3" w:rsidRPr="004B3794">
        <w:rPr>
          <w:lang w:val="it-CH"/>
        </w:rPr>
        <w:t xml:space="preserve">Restricted cubic spline models were additionally fitted for global AE outcomes when at least three non-reference dose levels were available, to assess potential departures from linearity. </w:t>
      </w:r>
      <w:r w:rsidR="00CD0DB3" w:rsidRPr="000752F4">
        <w:rPr>
          <w:lang w:val="it-CH"/>
        </w:rPr>
        <w:t>Non-linear dose effects were evaluated using omnibus spline tests (QM/QMp). Due to limited dose variability and statistical power at the AE-specific level, spline models were not retained for primary AE-level inference but were used to assess robustness and directional consistency of global dose–response patterns.</w:t>
      </w:r>
    </w:p>
    <w:p w14:paraId="44ADD06C" w14:textId="180F2EAA" w:rsidR="00CD0DB3" w:rsidRPr="00CD0DB3" w:rsidRDefault="00CD0DB3" w:rsidP="00FC19AC">
      <w:pPr>
        <w:spacing w:after="240" w:line="360" w:lineRule="auto"/>
      </w:pPr>
      <w:r w:rsidRPr="000752F4">
        <w:rPr>
          <w:lang w:val="it-CH"/>
        </w:rPr>
        <w:t xml:space="preserve">All analyses were conducted in R version 4.3 </w:t>
      </w:r>
      <w:r w:rsidR="0090474B">
        <w:fldChar w:fldCharType="begin"/>
      </w:r>
      <w:r w:rsidR="0090474B" w:rsidRPr="000752F4">
        <w:rPr>
          <w:lang w:val="it-CH"/>
        </w:rPr>
        <w:instrText xml:space="preserve"> ADDIN ZOTERO_ITEM CSL_CITATION {"citationID":"s4FlsBh3","properties":{"formattedCitation":"(R Core Team, 2023)","plainCitation":"(R Core Team, 2023)","noteIndex":0},"citationItems":[{"id":3150,"uris":["http://zotero.org/users/4564126/items/V7FRNIYK"],"itemData":{"id":3150,"type":"book","event-place":"Vienna, Austria","publisher":"R Foundation for Statistical Computing","publisher-place":"Vienna, Austria","title":"R: A Language and Environment for Statistical Computing","URL":"https://www.R-project.org/","author":[{"literal":"R Core Team"}],"issued":{"date-parts":[["2023"]]}}}],"schema":"https://github.com/citation-style-language/schema/raw/master/csl-citation.json"} </w:instrText>
      </w:r>
      <w:r w:rsidR="0090474B">
        <w:fldChar w:fldCharType="separate"/>
      </w:r>
      <w:r w:rsidR="0090474B" w:rsidRPr="000752F4">
        <w:rPr>
          <w:noProof/>
          <w:lang w:val="it-CH"/>
        </w:rPr>
        <w:t>(R Core Team, 2023)</w:t>
      </w:r>
      <w:r w:rsidR="0090474B">
        <w:fldChar w:fldCharType="end"/>
      </w:r>
      <w:r w:rsidRPr="000752F4">
        <w:rPr>
          <w:lang w:val="it-CH"/>
        </w:rPr>
        <w:t xml:space="preserve">, using </w:t>
      </w:r>
      <w:r w:rsidRPr="000752F4">
        <w:rPr>
          <w:i/>
          <w:iCs/>
          <w:lang w:val="it-CH"/>
        </w:rPr>
        <w:t>metafor</w:t>
      </w:r>
      <w:r w:rsidRPr="000752F4">
        <w:rPr>
          <w:lang w:val="it-CH"/>
        </w:rPr>
        <w:t xml:space="preserve"> for random-effects modelling </w:t>
      </w:r>
      <w:r w:rsidR="0090474B">
        <w:fldChar w:fldCharType="begin"/>
      </w:r>
      <w:r w:rsidR="0090474B" w:rsidRPr="000752F4">
        <w:rPr>
          <w:lang w:val="it-CH"/>
        </w:rPr>
        <w:instrText xml:space="preserve"> ADDIN ZOTERO_ITEM CSL_CITATION {"citationID":"qoRFMHtt","properties":{"formattedCitation":"(Viechtbauer, 2010)","plainCitation":"(Viechtbauer, 2010)","noteIndex":0},"citationItems":[{"id":3148,"uris":["http://zotero.org/users/4564126/items/SR32N5Z3"],"itemData":{"id":3148,"type":"article-journal","container-title":"Journal of Statistical Software","DOI":"10.18637/jss.v036.i03","issue":"3","page":"1–48","title":"Conducting Meta-Analyses in R with the metafor Package","volume":"36","author":[{"family":"Viechtbauer","given":"Wolfgang"}],"issued":{"date-parts":[["2010"]]}}}],"schema":"https://github.com/citation-style-language/schema/raw/master/csl-citation.json"} </w:instrText>
      </w:r>
      <w:r w:rsidR="0090474B">
        <w:fldChar w:fldCharType="separate"/>
      </w:r>
      <w:r w:rsidR="0090474B" w:rsidRPr="000752F4">
        <w:rPr>
          <w:noProof/>
          <w:lang w:val="it-CH"/>
        </w:rPr>
        <w:t>(Viechtbauer, 2010)</w:t>
      </w:r>
      <w:r w:rsidR="0090474B">
        <w:fldChar w:fldCharType="end"/>
      </w:r>
      <w:r w:rsidRPr="000752F4">
        <w:rPr>
          <w:lang w:val="it-CH"/>
        </w:rPr>
        <w:t xml:space="preserve">, </w:t>
      </w:r>
      <w:r w:rsidRPr="000752F4">
        <w:rPr>
          <w:i/>
          <w:iCs/>
          <w:lang w:val="it-CH"/>
        </w:rPr>
        <w:t>dplyr</w:t>
      </w:r>
      <w:r w:rsidRPr="000752F4">
        <w:rPr>
          <w:lang w:val="it-CH"/>
        </w:rPr>
        <w:t xml:space="preserve"> and </w:t>
      </w:r>
      <w:r w:rsidRPr="000752F4">
        <w:rPr>
          <w:i/>
          <w:iCs/>
          <w:lang w:val="it-CH"/>
        </w:rPr>
        <w:t>tidyr</w:t>
      </w:r>
      <w:r w:rsidRPr="000752F4">
        <w:rPr>
          <w:lang w:val="it-CH"/>
        </w:rPr>
        <w:t xml:space="preserve"> for data preprocessing </w:t>
      </w:r>
      <w:r w:rsidR="0090474B">
        <w:fldChar w:fldCharType="begin"/>
      </w:r>
      <w:r w:rsidR="0090474B" w:rsidRPr="000752F4">
        <w:rPr>
          <w:lang w:val="it-CH"/>
        </w:rPr>
        <w:instrText xml:space="preserve"> ADDIN ZOTERO_ITEM CSL_CITATION {"citationID":"U5mgjLjE","properties":{"formattedCitation":"(Wickham et al., 2025)","plainCitation":"(Wickham et al., 2025)","noteIndex":0},"citationItems":[{"id":3156,"uris":["http://zotero.org/users/4564126/items/FHTHIK9H"],"itemData":{"id":3156,"type":"book","title":"dplyr: A Grammar of Data Manipulation","URL":"https://dplyr.tidyverse.org","author":[{"family":"Wickham","given":"Hadley"},{"family":"François","given":"Romain"},{"family":"Henry","given":"Lionel"},{"family":"Müller","given":"Kirill"},{"family":"Vaughan","given":"Davis"}],"issued":{"date-parts":[["2025"]]}}}],"schema":"https://github.com/citation-style-language/schema/raw/master/csl-citation.json"} </w:instrText>
      </w:r>
      <w:r w:rsidR="0090474B">
        <w:fldChar w:fldCharType="separate"/>
      </w:r>
      <w:r w:rsidR="0090474B" w:rsidRPr="000752F4">
        <w:rPr>
          <w:noProof/>
          <w:lang w:val="it-CH"/>
        </w:rPr>
        <w:t>(Wickham et al., 2025)</w:t>
      </w:r>
      <w:r w:rsidR="0090474B">
        <w:fldChar w:fldCharType="end"/>
      </w:r>
      <w:r w:rsidRPr="000752F4">
        <w:rPr>
          <w:lang w:val="it-CH"/>
        </w:rPr>
        <w:t xml:space="preserve">, </w:t>
      </w:r>
      <w:r w:rsidRPr="000752F4">
        <w:rPr>
          <w:i/>
          <w:iCs/>
          <w:lang w:val="it-CH"/>
        </w:rPr>
        <w:t>splines</w:t>
      </w:r>
      <w:r w:rsidRPr="000752F4">
        <w:rPr>
          <w:lang w:val="it-CH"/>
        </w:rPr>
        <w:t xml:space="preserve"> and </w:t>
      </w:r>
      <w:r w:rsidRPr="000752F4">
        <w:rPr>
          <w:i/>
          <w:iCs/>
          <w:lang w:val="it-CH"/>
        </w:rPr>
        <w:t>dosresmeta</w:t>
      </w:r>
      <w:r w:rsidRPr="000752F4">
        <w:rPr>
          <w:lang w:val="it-CH"/>
        </w:rPr>
        <w:t xml:space="preserve"> for dose–response sensitivity analyses </w:t>
      </w:r>
      <w:r w:rsidR="0090474B">
        <w:fldChar w:fldCharType="begin"/>
      </w:r>
      <w:r w:rsidR="0090474B" w:rsidRPr="000752F4">
        <w:rPr>
          <w:lang w:val="it-CH"/>
        </w:rPr>
        <w:instrText xml:space="preserve"> ADDIN ZOTERO_ITEM CSL_CITATION {"citationID":"5nOwzpH3","properties":{"formattedCitation":"(Crippa &amp; Orsini, 2016; Gasparrini et al., 2012)","plainCitation":"(Crippa &amp; Orsini, 2016; Gasparrini et al., 2012)","noteIndex":0},"citationItems":[{"id":3152,"uris":["http://zotero.org/users/4564126/items/BYUX2GE5"],"itemData":{"id":3152,"type":"article-journal","container-title":"BMC Medical Research Methodology","DOI":"10.1186/s12874-016-0183-8","page":"91","title":"Dose-response meta-analysis of differences in means","volume":"16","author":[{"family":"Crippa","given":"Alessio"},{"family":"Orsini","given":"Nicola"}],"issued":{"date-parts":[["2016"]]}}},{"id":3151,"uris":["http://zotero.org/users/4564126/items/EVPXT6JR"],"itemData":{"id":3151,"type":"article-journal","container-title":"Statistics in Medicine","DOI":"10.1002/sim.5471","issue":"29","page":"3821–3839","title":"Multivariate meta-analysis for non-linear and other multi-parameter associations","volume":"31","author":[{"family":"Gasparrini","given":"Antonio"},{"family":"Armstrong","given":"Ben"},{"family":"Kenward","given":"Michael G."}],"issued":{"date-parts":[["2012"]]}}}],"schema":"https://github.com/citation-style-language/schema/raw/master/csl-citation.json"} </w:instrText>
      </w:r>
      <w:r w:rsidR="0090474B">
        <w:fldChar w:fldCharType="separate"/>
      </w:r>
      <w:r w:rsidR="0090474B" w:rsidRPr="000752F4">
        <w:rPr>
          <w:noProof/>
          <w:lang w:val="it-CH"/>
        </w:rPr>
        <w:t>(Crippa &amp; Orsini, 2016; Gasparrini et al., 2012)</w:t>
      </w:r>
      <w:r w:rsidR="0090474B">
        <w:fldChar w:fldCharType="end"/>
      </w:r>
      <w:r w:rsidRPr="000752F4">
        <w:rPr>
          <w:lang w:val="it-CH"/>
        </w:rPr>
        <w:t xml:space="preserve">, and </w:t>
      </w:r>
      <w:r w:rsidRPr="000752F4">
        <w:rPr>
          <w:i/>
          <w:iCs/>
          <w:lang w:val="it-CH"/>
        </w:rPr>
        <w:t>ggplot2</w:t>
      </w:r>
      <w:r w:rsidRPr="000752F4">
        <w:rPr>
          <w:lang w:val="it-CH"/>
        </w:rPr>
        <w:t xml:space="preserve"> for visualisation </w:t>
      </w:r>
      <w:r w:rsidR="0090474B">
        <w:fldChar w:fldCharType="begin"/>
      </w:r>
      <w:r w:rsidR="0090474B" w:rsidRPr="000752F4">
        <w:rPr>
          <w:lang w:val="it-CH"/>
        </w:rPr>
        <w:instrText xml:space="preserve"> ADDIN ZOTERO_ITEM CSL_CITATION {"citationID":"1XsMZmp7","properties":{"formattedCitation":"(Wickham, 2016)","plainCitation":"(Wickham, 2016)","noteIndex":0},"citationItems":[{"id":3153,"uris":["http://zotero.org/users/4564126/items/E8487K9R"],"itemData":{"id":3153,"type":"article-journal","container-title":"Springer","event-place":"New York","publisher-place":"New York","title":"ggplot2: Elegant Graphics for Data Analysis","author":[{"family":"Wickham","given":"Hadley"}],"issued":{"date-parts":[["2016"]]}}}],"schema":"https://github.com/citation-style-language/schema/raw/master/csl-citation.json"} </w:instrText>
      </w:r>
      <w:r w:rsidR="0090474B">
        <w:fldChar w:fldCharType="separate"/>
      </w:r>
      <w:r w:rsidR="0090474B" w:rsidRPr="000752F4">
        <w:rPr>
          <w:noProof/>
          <w:lang w:val="it-CH"/>
        </w:rPr>
        <w:t>(Wickham, 2016)</w:t>
      </w:r>
      <w:r w:rsidR="0090474B">
        <w:fldChar w:fldCharType="end"/>
      </w:r>
      <w:r w:rsidR="0090474B" w:rsidRPr="000752F4">
        <w:rPr>
          <w:lang w:val="it-CH"/>
        </w:rPr>
        <w:t xml:space="preserve">. </w:t>
      </w:r>
      <w:r w:rsidRPr="00CD0DB3">
        <w:t xml:space="preserve">Full code and </w:t>
      </w:r>
      <w:proofErr w:type="spellStart"/>
      <w:r w:rsidRPr="00CD0DB3">
        <w:t>harmonised</w:t>
      </w:r>
      <w:proofErr w:type="spellEnd"/>
      <w:r w:rsidRPr="00CD0DB3">
        <w:t xml:space="preserve"> </w:t>
      </w:r>
      <w:proofErr w:type="spellStart"/>
      <w:r w:rsidRPr="00CD0DB3">
        <w:t>datasets</w:t>
      </w:r>
      <w:proofErr w:type="spellEnd"/>
      <w:r w:rsidRPr="00CD0DB3">
        <w:t xml:space="preserve"> are </w:t>
      </w:r>
      <w:proofErr w:type="spellStart"/>
      <w:r w:rsidRPr="00CD0DB3">
        <w:t>available</w:t>
      </w:r>
      <w:proofErr w:type="spellEnd"/>
      <w:r w:rsidRPr="00CD0DB3">
        <w:t xml:space="preserve"> in the </w:t>
      </w:r>
      <w:proofErr w:type="spellStart"/>
      <w:r w:rsidRPr="00CD0DB3">
        <w:t>project</w:t>
      </w:r>
      <w:proofErr w:type="spellEnd"/>
      <w:r w:rsidRPr="00CD0DB3">
        <w:t xml:space="preserve"> repository</w:t>
      </w:r>
      <w:r w:rsidR="00C97945">
        <w:t xml:space="preserve"> </w:t>
      </w:r>
      <w:r w:rsidR="00C97945" w:rsidRPr="007A17FC">
        <w:rPr>
          <w:lang w:val="en-US"/>
        </w:rPr>
        <w:t>https://github.com/mickaeleskinazi/metaanalysis-psychedelics</w:t>
      </w:r>
      <w:r w:rsidR="00C97945">
        <w:t xml:space="preserve">. </w:t>
      </w:r>
    </w:p>
    <w:p w14:paraId="40D1A586" w14:textId="77777777" w:rsidR="009647C4" w:rsidRDefault="009647C4" w:rsidP="00682EED">
      <w:pPr>
        <w:spacing w:before="240" w:after="240"/>
        <w:rPr>
          <w:lang w:val="en-US"/>
        </w:rPr>
      </w:pPr>
    </w:p>
    <w:p w14:paraId="3623E7FC" w14:textId="3C0A0CBA" w:rsidR="009647C4" w:rsidRPr="00CD0DB3" w:rsidRDefault="009647C4" w:rsidP="00682EED">
      <w:pPr>
        <w:spacing w:before="240" w:after="240"/>
        <w:rPr>
          <w:b/>
          <w:bCs/>
          <w:lang w:val="en-US"/>
        </w:rPr>
      </w:pPr>
      <w:r>
        <w:rPr>
          <w:b/>
          <w:bCs/>
          <w:lang w:val="en-US"/>
        </w:rPr>
        <w:t xml:space="preserve">3. </w:t>
      </w:r>
      <w:r w:rsidRPr="00CD0DB3">
        <w:rPr>
          <w:b/>
          <w:bCs/>
          <w:lang w:val="en-US"/>
        </w:rPr>
        <w:t>Results</w:t>
      </w:r>
    </w:p>
    <w:p w14:paraId="36B3E8AE" w14:textId="77777777" w:rsidR="000829E4" w:rsidRPr="007A17FC" w:rsidRDefault="00542108">
      <w:pPr>
        <w:pStyle w:val="Titre3"/>
        <w:spacing w:before="240" w:after="240"/>
        <w:rPr>
          <w:lang w:val="en-US"/>
        </w:rPr>
      </w:pPr>
      <w:bookmarkStart w:id="6" w:name="_g4u4e882gkpq" w:colFirst="0" w:colLast="0"/>
      <w:bookmarkStart w:id="7" w:name="OLE_LINK2"/>
      <w:bookmarkEnd w:id="6"/>
      <w:r w:rsidRPr="007A17FC">
        <w:rPr>
          <w:lang w:val="en-US"/>
        </w:rPr>
        <w:lastRenderedPageBreak/>
        <w:t>3.1 Study and dosing characteristics</w:t>
      </w:r>
    </w:p>
    <w:p w14:paraId="2EF21954" w14:textId="46598138" w:rsidR="000829E4" w:rsidRPr="007A17FC" w:rsidRDefault="00542108" w:rsidP="00FC19AC">
      <w:pPr>
        <w:spacing w:before="240" w:after="240" w:line="360" w:lineRule="auto"/>
        <w:rPr>
          <w:lang w:val="en-US"/>
        </w:rPr>
      </w:pPr>
      <w:r w:rsidRPr="007A17FC">
        <w:rPr>
          <w:lang w:val="en-US"/>
        </w:rPr>
        <w:t xml:space="preserve">Twenty-eight randomized controlled trials (RCTs) comprising 1,480 participants (45.8% female) met inclusion criteria. MDMA was administered in </w:t>
      </w:r>
      <w:r w:rsidR="00CB1243">
        <w:rPr>
          <w:lang w:val="en-US"/>
        </w:rPr>
        <w:t>1</w:t>
      </w:r>
      <w:r w:rsidR="0090474B">
        <w:rPr>
          <w:lang w:val="en-US"/>
        </w:rPr>
        <w:t>0</w:t>
      </w:r>
      <w:r w:rsidR="00FC19AC">
        <w:rPr>
          <w:lang w:val="en-US"/>
        </w:rPr>
        <w:t xml:space="preserve"> </w:t>
      </w:r>
      <w:r w:rsidRPr="007A17FC">
        <w:rPr>
          <w:lang w:val="en-US"/>
        </w:rPr>
        <w:t xml:space="preserve">trials (n = 197), </w:t>
      </w:r>
      <w:r w:rsidR="0090474B">
        <w:rPr>
          <w:lang w:val="en-US"/>
        </w:rPr>
        <w:fldChar w:fldCharType="begin"/>
      </w:r>
      <w:r w:rsidR="004B3794">
        <w:rPr>
          <w:lang w:val="en-US"/>
        </w:rPr>
        <w:instrText xml:space="preserve"> ADDIN ZOTERO_ITEM CSL_CITATION {"citationID":"LGHvvCty","properties":{"formattedCitation":"(Bouso et al., 2008; Mitchell et al., 2021, 2023; Mithoefer et al., 2011, 2018, 2019; Oehen et al., 2013; Ot\\uc0\\u8217{}alora G et al., 2018; Pacey, s.\\uc0\\u160{}d.; Wolfson et al., 2020)","plainCitation":"(Bouso et al., 2008; Mitchell et al., 2021, 2023; Mithoefer et al., 2011, 2018, 2019; Oehen et al., 2013; Ot’alora G et al., 2018; Pacey, s. d.; Wolfson et al., 2020)","noteIndex":0},"citationItems":[{"id":3008,"uris":["http://zotero.org/users/4564126/items/UHRMJJI8"],"itemData":{"id":3008,"type":"article-journal","abstract":"The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3175,"uris":["http://zotero.org/users/4564126/items/TVDXHU2Y"],"itemData":{"id":3175,"type":"article-journal","abstract":"Abstract\n            \n              This multi-site, randomized, double-blind, confirmatory phase 3 study evaluated the efficacy and safety of 3,4-methylenedioxymethamphetamine-assisted therapy (MDMA-AT) versus placebo with identical therapy in participants with moderate to severe post-traumatic stress disorder (PTSD). Changes in Clinician-Administered PTSD Scale for DSM-5 (CAPS-5) total severity score (primary endpoint) and Sheehan Disability Scale (SDS) functional impairment score (key secondary endpoint) were assessed by blinded independent assessors. Participants were randomized to MDMA-AT (\n              n\n               = 53) or placebo with therapy (\n              n\n               = 51). Overall, 26.9% (28/104) of participants had moderate PTSD, and 73.1% (76/104) of participants had severe PTSD. Participants were ethnoracially diverse: 28 of 104 (26.9%) identified as Hispanic/Latino, and 35 of 104 (33.7%) identified as other than White. Least squares (LS) mean change in CAPS-5 score (95% confidence interval (CI)) was −23.7 (−26.94, −20.44) for MDMA-AT versus −14.8 (−18.28, −11.28) for placebo with therapy (\n              P\n               &lt; 0.001,\n              d\n               = 0.7). LS mean change in SDS score (95% CI) was −3.3 (−4.03, −2.60) for MDMA-AT versus −2.1 (−2.89, −1.33) for placebo with therapy (\n              P\n               = 0.03,\n              d\n               = 0.4). Seven participants had a severe treatment emergent adverse event (TEAE) (MDMA-AT,\n              n\n               = 5 (9.4%); placebo with therapy,\n              n\n               = 2 (3.9%)). There were no deaths or serious TEAEs. These data suggest that MDMA-AT reduced PTSD symptoms and functional impairment in a diverse population with moderate to severe PTSD and was generally well tolerated. ClinicalTrials.gov identifier:\n              NCT04077437\n              .","container-title":"Nature Medicine","DOI":"10.1038/s41591-023-02565-4","ISSN":"1078-8956, 1546-170X","issue":"10","journalAbbreviation":"Nat Med","language":"en","page":"2473-2480","source":"DOI.org (Crossref)","title":"MDMA-assisted therapy for moderate to severe PTSD: a randomized, placebo-controlled phase 3 trial","title-short":"MDMA-assisted therapy for moderate to severe PTSD","volume":"29","author":[{"family":"Mitchell","given":"Jennifer M."},{"family":"Ot’alora G.","given":"Marcela"},{"family":"Van Der Kolk","given":"Bessel"},{"family":"Shannon","given":"Scott"},{"family":"Bogenschutz","given":"Michael"},{"family":"Gelfand","given":"Yevgeniy"},{"family":"Paleos","given":"Casey"},{"family":"Nicholas","given":"Christopher R."},{"family":"Quevedo","given":"Sylvestre"},{"family":"Balliett","given":"Brooke"},{"family":"Hamilton","given":"Scott"},{"family":"Mithoefer","given":"Michael"},{"family":"Kleiman","given":"Sarah"},{"family":"Parker-Guilbert","given":"Kelly"},{"family":"Tzarfaty","given":"Keren"},{"family":"Harrison","given":"Charlotte"},{"family":"De Boer","given":"Alberdina"},{"family":"Doblin","given":"Rick"},{"family":"Yazar-Klosinski","given":"Berra"},{"literal":"MAPP2 Study Collaborator Group"},{"family":"Harrison","given":"Charlotte"},{"family":"Yazar-Klosinski","given":"Berra"},{"family":"Garas","given":"Wael"},{"family":"May","given":"Darrick"},{"family":"Marta","given":"Cole"},{"family":"Walker","given":"Susan"},{"family":"Nielson","given":"Elizabeth"},{"family":"Wells","given":"Gregory"},{"family":"Brown","given":"Randall"},{"family":"Amiaz","given":"Revital"},{"family":"Wallach","given":"Yair"},{"family":"Worthy","given":"Ray"},{"family":"Lilienstein","given":"Alia"},{"family":"Emerson","given":"Amy"}],"issued":{"date-parts":[["2023",10]]}}},{"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T"},{"family":"Jerome","given":"Lisa"},{"family":"Doblin","given":"Rick"}],"issued":{"date-parts":[["2011",4]]}}},{"id":3016,"uris":["http://zotero.org/users/4564126/items/7UW5469Z"],"itemData":{"id":3016,"type":"article-journal","container-title":"The Lancet Psychiatry","DOI":"10.1016/S2215-0366(18)30135-4","ISSN":"22150366","issue":"6","journalAbbreviation":"The Lancet Psychiatry","language":"en","page":"486-497","source":"DOI.org (Crossref)","title":"3,4-methylenedioxymethamphetamine (MDMA)-assisted psychotherapy for post-traumatic stress disorder in military veterans, firefighters, and police officers: a randomised, double-blind, dose-response, phase 2 clinical trial","title-short":"3,4-methylenedioxymethamphetamine (MDMA)-assisted psychotherapy for post-traumatic stress disorder in military veterans, firefighters, and police officers","volume":"5","author":[{"family":"Mithoefer","given":"Michael C"},{"family":"Mithoefer","given":"Ann T"},{"family":"Feduccia","given":"Allison A"},{"family":"Jerome","given":"Lisa"},{"family":"Wagner","given":"Mark"},{"family":"Wymer","given":"Joy"},{"family":"Holland","given":"Julie"},{"family":"Hamilton","given":"Scott"},{"family":"Yazar-Klosinski","given":"Berra"},{"family":"Emerson","given":"Amy"},{"family":"Doblin","given":"Rick"}],"issued":{"date-parts":[["2018",6]]}}},{"id":526,"uris":["http://zotero.org/users/4564126/items/AF9Y8M4M"],"itemData":{"id":526,"type":"article-journal","abstract":"BACKGROUND: Posttraumatic stress disorder is a prevalent mental health condition with substantial impact on daily functioning that lacks sufficient treatment  options. Here we evaluate six phase 2 trials in a pooled analysis to determine  the study design for phase 3 trials of MDMA-assisted psychotherapy for PTSD.  METHODS: Six randomized, double-blind, controlled clinical trials at five study  sites were conducted from April 2004 to February 2017. Active doses of MDMA  (75-125 mg, n = 72) or placebo/control doses (0-40 mg, n = 31) were administered  to individuals with PTSD during manualized psychotherapy sessions in two or three  8-h sessions spaced a month apart. Three non-drug 90-min therapy sessions  preceded the first MDMA exposure, and three to four followed each experimental  session. RESULTS: After two blinded experimental sessions, the active group had  significantly greater reductions in CAPS-IV total scores from baseline than the  control group [MMRM estimated mean difference (SE) between groups - 22.0 (5.17),  P &lt; 0.001]. The between-group Cohen's d effect size was 0.8, indicating a large  treatment effect. After two experimental sessions, more participants in the  active group (54.2%) did not meet CAPS-IV PTSD diagnostic criteria than the  control group (22.6%). Depression symptom improvement on the BDI-II was greatest  for the active group compared to the control group, although only trended towards  significant group differences [MMRM, estimated mean difference (SE) between  groups - 6.0 (3.03), P = 0.053]. All doses of MDMA were well tolerated, with some  expected reactions occurring at greater frequency for the active MDMA group  during experimental sessions and the 7 days following. CONCLUSIONS: MDMA-assisted  psychotherapy was efficacious and well tolerated in a large sample of adults with  PTSD. These studies supported expansion into phase 3 trials and led to FDA  granting Breakthrough Therapy designation for this promising treatment. TRIAL  REGISTRATION: ClinicalTrials.gov Identifier: NCT00090064, NCT00353938,  NCT01958593, NCT01211405, NCT01689740, NCT01793610.","container-title":"Psychopharmacology","DOI":"10.1007/s00213-019-05249-5","ISSN":"1432-2072 0033-3158","issue":"9","journalAbbreviation":"Psychopharmacology (Berl)","language":"eng","note":"publisher-place: Germany","page":"2735-2745","PMID":"31065731","PMCID":"PMC6695343","title":"MDMA-assisted psychotherapy for treatment of PTSD: study design and rationale for phase 3 trials based on pooled analysis of six phase 2 randomized controlled  trials.","volume":"236","author":[{"family":"Mithoefer","given":"Michael C."},{"family":"Feduccia","given":"Allison A."},{"family":"Jerome","given":"Lisa"},{"family":"Mithoefer","given":"Anne"},{"family":"Wagner","given":"Mark"},{"family":"Walsh","given":"Zach"},{"family":"Hamilton","given":"Scott"},{"family":"Yazar-Klosinski","given":"Berra"},{"family":"Emerson","given":"Amy"},{"family":"Doblin","given":"Rick"}],"issued":{"date-parts":[["2019",9]]}}},{"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C."},{"family":"Doblin","given":"Rick"}],"issued":{"date-parts":[["2018",12]]}}},{"id":3025,"uris":["http://zotero.org/users/4564126/items/TZ5GZULV"],"itemData":{"id":3025,"type":"report","number":"NCT01958593","title":"Randomized, double-blind, controlled of MDMA-assisted psychotherapy in 12 subjects with PTSD [WWW Document]","URL":"https://clinicaltrials.gov/study/NCT01958593","author":[{"family":"Pacey","given":"Ingrid"}]}},{"id":424,"uris":["http://zotero.org/users/4564126/items/ZQ6DNZGW"],"itemData":{"id":424,"type":"article-journal","abstract":"The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90474B">
        <w:rPr>
          <w:lang w:val="en-US"/>
        </w:rPr>
        <w:fldChar w:fldCharType="separate"/>
      </w:r>
      <w:r w:rsidR="004B3794" w:rsidRPr="004B3794">
        <w:rPr>
          <w:lang w:val="fr-FR" w:eastAsia="en-US"/>
        </w:rPr>
        <w:t>(Bouso et al., 2008; Mitchell et al., 2021, 2023; Mithoefer et al., 2011, 2018, 2019; Oehen et al., 2013; Ot’alora G et al., 2018; Pacey, s. d.; Wolfson et al., 2020)</w:t>
      </w:r>
      <w:r w:rsidR="0090474B">
        <w:rPr>
          <w:lang w:val="en-US"/>
        </w:rPr>
        <w:fldChar w:fldCharType="end"/>
      </w:r>
      <w:r w:rsidR="0090474B">
        <w:rPr>
          <w:lang w:val="en-US"/>
        </w:rPr>
        <w:t xml:space="preserve">, </w:t>
      </w:r>
      <w:r w:rsidRPr="007A17FC">
        <w:rPr>
          <w:lang w:val="en-US"/>
        </w:rPr>
        <w:t xml:space="preserve">LSD in </w:t>
      </w:r>
      <w:r w:rsidR="00CB1243">
        <w:rPr>
          <w:lang w:val="en-US"/>
        </w:rPr>
        <w:t>6</w:t>
      </w:r>
      <w:r w:rsidRPr="007A17FC">
        <w:rPr>
          <w:lang w:val="en-US"/>
        </w:rPr>
        <w:t xml:space="preserve"> (n = 187)</w:t>
      </w:r>
      <w:r w:rsidR="0090474B">
        <w:rPr>
          <w:lang w:val="en-US"/>
        </w:rPr>
        <w:t xml:space="preserve"> </w:t>
      </w:r>
      <w:r w:rsidR="0090474B">
        <w:rPr>
          <w:lang w:val="en-US"/>
        </w:rPr>
        <w:fldChar w:fldCharType="begin"/>
      </w:r>
      <w:r w:rsidR="003D39F1">
        <w:rPr>
          <w:lang w:val="en-US"/>
        </w:rPr>
        <w:instrText xml:space="preserve"> ADDIN ZOTERO_ITEM CSL_CITATION {"citationID":"ShgYCZVH","properties":{"formattedCitation":"(Gasser et al., 2014; Hollister et al., 1969; Holze et al., 2023; M\\uc0\\u252{}ller et al., 2025; Robison et al., 2025; Tomsovic &amp; Edwards, 1970)","plainCitation":"(Gasser et al., 2014; Hollister et al., 1969; Holze et al., 2023; Müller et al., 2025; Robison et al., 2025; Tomsovic &amp; Edwards, 1970)","noteIndex":0},"citationItems":[{"id":831,"uris":["http://zotero.org/users/4564126/items/6BTJMUZL"],"itemData":{"id":831,"type":"article-journal","abstract":"A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90474B">
        <w:rPr>
          <w:lang w:val="en-US"/>
        </w:rPr>
        <w:fldChar w:fldCharType="separate"/>
      </w:r>
      <w:r w:rsidR="003D39F1" w:rsidRPr="003D39F1">
        <w:rPr>
          <w:lang w:val="en-US" w:eastAsia="en-US"/>
        </w:rPr>
        <w:t>(Gasser et al., 2014; Hollister et al., 1969; Holze et al., 2023; Müller et al., 2025; Robison et al., 2025; Tomsovic &amp; Edwards, 1970)</w:t>
      </w:r>
      <w:r w:rsidR="0090474B">
        <w:rPr>
          <w:lang w:val="en-US"/>
        </w:rPr>
        <w:fldChar w:fldCharType="end"/>
      </w:r>
      <w:r w:rsidRPr="007A17FC">
        <w:rPr>
          <w:lang w:val="en-US"/>
        </w:rPr>
        <w:t xml:space="preserve">, psilocybin in </w:t>
      </w:r>
      <w:r w:rsidR="00AE0DFD">
        <w:rPr>
          <w:lang w:val="en-US"/>
        </w:rPr>
        <w:t>nine</w:t>
      </w:r>
      <w:r w:rsidRPr="007A17FC">
        <w:rPr>
          <w:lang w:val="en-US"/>
        </w:rPr>
        <w:t xml:space="preserve"> (n = 409)</w:t>
      </w:r>
      <w:r w:rsidR="003D39F1">
        <w:rPr>
          <w:lang w:val="en-US"/>
        </w:rPr>
        <w:t xml:space="preserve"> </w:t>
      </w:r>
      <w:r w:rsidR="003D39F1">
        <w:rPr>
          <w:lang w:val="en-US"/>
        </w:rPr>
        <w:fldChar w:fldCharType="begin"/>
      </w:r>
      <w:r w:rsidR="003D39F1">
        <w:rPr>
          <w:lang w:val="en-US"/>
        </w:rPr>
        <w:instrText xml:space="preserve"> ADDIN ZOTERO_ITEM CSL_CITATION {"citationID":"jZAoETB1","properties":{"formattedCitation":"(Back et al., 2024; Bogenschutz et al., 2022; R. Carhart-Harris et al., 2021; R. L. Carhart-Harris et al., 2016; Goodwin et al., 2022; Raison et al., 2023; Rieser et al., 2025; Ross et al., 2016; Von Rotz et al., 2023)","plainCitation":"(Back et al., 2024; Bogenschutz et al., 2022; R. Carhart-Harris et al., 2021; R. L. Carhart-Harris et al., 2016; Goodwin et al., 2022; Raison et al., 2023; Rieser et al., 2025; Ross et al., 2016; Von Rotz et al., 2023)","noteIndex":0},"citationItems":[{"id":530,"uris":["http://zotero.org/users/4564126/items/3X45KU2G"],"itemData":{"id":530,"type":"article-journal","abstract":"IMPORTANCE: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J."}],"issued":{"date-parts":[["2021",4,15]]}}},{"id":12,"uris":["http://zotero.org/users/4564126/items/EHBQPGT6"],"itemData":{"id":12,"type":"article-journal","abstract":"BACKGROUND: Psilocybin is a serotonin receptor agonist that occurs naturally in some mushroom species. Recent studies have assessed the therapeutic potential of  psilocybin for various conditions, including end-of-life anxiety,  obsessive-compulsive disorder, and smoking and alcohol dependence, with promising  preliminary results. Here, we aimed to investigate the feasibility, safety, and  efficacy of psilocybin in patients with unipolar treatment-resistant depression.  METHODS: In this open-label feasibility trial, 12 patients (six men, six women)  with moderate-to-severe, unipolar, treatment-resistant major depression received  two oral doses of psilocybin (10 mg and 25 mg, 7 days apart) in a supportive  setting. There was no control group. Psychological support was provided before,  during, and after each session. The primary outcome measure for feasibility was  patient-reported intensity of psilocybin's effects. Patients were monitored for  adverse reactions during the dosing sessions and subsequent clinic and remote  follow-up. Depressive symptoms were assessed with standard assessments from 1  week to 3 months after treatment, with the 16-item Quick Inventory of Depressive  Symptoms (QIDS) serving as the primary efficacy outcome. This trial is registered  with ISRCTN, number ISRCTN14426797. FINDINGS: Psilocybin's acute psychedelic  effects typically became detectable 30-60 min after dosing, peaked 2-3 h after  dosing, and subsided to negligible levels at least 6 h after dosing. Mean  self-rated intensity (on a 0-1 scale) was 0·51 (SD 0·36) for the low-dose session  and 0·75 (SD 0·27) for the high-dose session. Psilocybin was well tolerated by  all of the patients, and no serious or unexpected adverse events occurred. The  adverse reactions we noted were transient anxiety during drug onset (all  patients), transient confusion or thought disorder (nine patients), mild and  transient nausea (four patients), and transient headache (four patients).  Relative to baseline, depressive symptoms were markedly reduced 1 week (mean QIDS  difference -11·8, 95% CI -9·15 to -14·35, p=0·002, Hedges' g=3·1) and 3 months  (-9·2, 95% CI -5·69 to -12·71, p=0·003, Hedges' g=2) after high-dose treatment.  Marked and sustained improvements in anxiety and anhedonia were also noted.  INTERPRETATION: This study provides preliminary support for the safety and  efficacy of psilocybin for treatment-resistant depression and motivates further  trials, with more rigorous designs, to better examine the therapeutic potential  of this approach. FUNDING: Medical Research Council.","container-title":"The lancet. Psychiatry","DOI":"10.1016/S2215-0366(16)30065-7","ISSN":"2215-0374 2215-0366","issue":"7","journalAbbreviation":"Lancet Psychiatry","language":"eng","license":"Copyright © 2016 Carhart-Harris et al. Open Access article distributed under the terms of CC BY. Published by Elsevier Ltd.. All rights reserved.","note":"publisher-place: England","page":"619-627","PMID":"27210031","title":"Psilocybin with psychological support for treatment-resistant depression: an open-label feasibility study.","volume":"3","author":[{"family":"Carhart-Harris","given":"Robin L."},{"family":"Bolstridge","given":"Mark"},{"family":"Rucker","given":"James"},{"family":"Day","given":"Camilla M. J."},{"family":"Erritzoe","given":"David"},{"family":"Kaelen","given":"Mendel"},{"family":"Bloomfield","given":"Michael"},{"family":"Rickard","given":"James A."},{"family":"Forbes","given":"Ben"},{"family":"Feilding","given":"Amanda"},{"family":"Taylor","given":"David"},{"family":"Pilling","given":"Steve"},{"family":"Curran","given":"Valerie H."},{"family":"Nutt","given":"David J."}],"issued":{"date-parts":[["2016",7]]}}},{"id":771,"uris":["http://zotero.org/users/4564126/items/JMQWUY4P"],"itemData":{"id":771,"type":"article-journal","abstract":"BACKGROUND: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R."}],"issued":{"date-parts":[["2023",9,5]]}}},{"id":2987,"uris":["http://zotero.org/users/4564126/items/HZF876ZI"],"itemData":{"id":2987,"type":"article-journal","abstract":"Background Despite the promising therapeutic effects of psilocybin, its efﬁcacy in preventing relapse after withdrawal treatment for alcohol use disorder (AUD) remains unknown. This study aims to assess whether a single dose of psilocybin combined with brief psychotherapy could reduce relapse rates and alcohol use in AUD patients.","container-title":"eClinicalMedicine","DOI":"10.1016/j.eclinm.2025.103149","ISSN":"25895370","journalAbbreviation":"eClinicalMedicine","language":"en","page":"103149","source":"DOI.org (Crossref)","title":"Psilocybin-assisted therapy for relapse prevention in alcohol use disorder: a phase 2 randomized clinical trial","title-short":"Psilocybin-assisted therapy for relapse prevention in alcohol use disorder","volume":"82","author":[{"family":"Rieser","given":"Nathalie M."},{"family":"Bitar","given":"Raoul"},{"family":"Halm","given":"Simon"},{"family":"Rossgoderer","given":"Christina"},{"family":"Gubser","given":"Ladina P."},{"family":"Thévenaz","given":"Maeva"},{"family":"Kreis","given":"Yara"},{"family":"Von Rotz","given":"Robin"},{"family":"Nordt","given":"Carlos"},{"family":"Visentini","given":"Monika"},{"family":"Moujaes","given":"Flora"},{"family":"Engeli","given":"Etna J.E."},{"family":"Ort","given":"Andres"},{"family":"Seifritz","given":"Erich"},{"family":"Vollenweider","given":"Franz X."},{"family":"Herdener","given":"Marcus"},{"family":"Preller","given":"Katrin H."}],"issued":{"date-parts":[["2025",4]]}}},{"id":25,"uris":["http://zotero.org/users/4564126/items/5RSA8JBD"],"itemData":{"id":25,"type":"article-journal","abstract":"BACKGROUND: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X."}],"issued":{"date-parts":[["2023",2]]}}}],"schema":"https://github.com/citation-style-language/schema/raw/master/csl-citation.json"} </w:instrText>
      </w:r>
      <w:r w:rsidR="003D39F1">
        <w:rPr>
          <w:lang w:val="en-US"/>
        </w:rPr>
        <w:fldChar w:fldCharType="separate"/>
      </w:r>
      <w:r w:rsidR="003D39F1">
        <w:rPr>
          <w:noProof/>
          <w:lang w:val="en-US"/>
        </w:rPr>
        <w:t>(Back et al., 2024; Bogenschutz et al., 2022; R. Carhart-Harris et al., 2021; R. L. Carhart-Harris et al., 2016; Goodwin et al., 2022; Raison et al., 2023; Rieser et al., 2025; Ross et al., 2016; Von Rotz et al., 2023)</w:t>
      </w:r>
      <w:r w:rsidR="003D39F1">
        <w:rPr>
          <w:lang w:val="en-US"/>
        </w:rPr>
        <w:fldChar w:fldCharType="end"/>
      </w:r>
      <w:r w:rsidR="003D39F1">
        <w:rPr>
          <w:lang w:val="en-US"/>
        </w:rPr>
        <w:t xml:space="preserve"> </w:t>
      </w:r>
      <w:r w:rsidRPr="007A17FC">
        <w:rPr>
          <w:lang w:val="en-US"/>
        </w:rPr>
        <w:t xml:space="preserve">, and ayahuasca in </w:t>
      </w:r>
      <w:r w:rsidR="00AE0DFD">
        <w:rPr>
          <w:lang w:val="en-US"/>
        </w:rPr>
        <w:t>two</w:t>
      </w:r>
      <w:r w:rsidR="00CB1243">
        <w:rPr>
          <w:lang w:val="en-US"/>
        </w:rPr>
        <w:t xml:space="preserve"> trials </w:t>
      </w:r>
      <w:r w:rsidRPr="007A17FC">
        <w:rPr>
          <w:lang w:val="en-US"/>
        </w:rPr>
        <w:t>(n = 26)</w:t>
      </w:r>
      <w:r w:rsidR="003D39F1">
        <w:rPr>
          <w:lang w:val="en-US"/>
        </w:rPr>
        <w:t xml:space="preserve"> </w:t>
      </w:r>
      <w:r w:rsidR="003D39F1">
        <w:rPr>
          <w:lang w:val="en-US"/>
        </w:rPr>
        <w:fldChar w:fldCharType="begin"/>
      </w:r>
      <w:r w:rsidR="003D39F1">
        <w:rPr>
          <w:lang w:val="en-US"/>
        </w:rPr>
        <w:instrText xml:space="preserve"> ADDIN ZOTERO_ITEM CSL_CITATION {"citationID":"a9MQB3p4","properties":{"formattedCitation":"(Dos Santos et al., 2021; Palhano-Fontes et al., 2019)","plainCitation":"(Dos Santos et al., 2021; Palhano-Fontes et al., 2019)","noteIndex":0},"citationItems":[{"id":619,"uris":["http://zotero.org/users/4564126/items/CRE2D4II"],"itemData":{"id":619,"type":"article-journal","abstract":"BACKGROUND: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B."}],"issued":{"date-parts":[["2019",3]]}}}],"schema":"https://github.com/citation-style-language/schema/raw/master/csl-citation.json"} </w:instrText>
      </w:r>
      <w:r w:rsidR="003D39F1">
        <w:rPr>
          <w:lang w:val="en-US"/>
        </w:rPr>
        <w:fldChar w:fldCharType="separate"/>
      </w:r>
      <w:r w:rsidR="003D39F1">
        <w:rPr>
          <w:noProof/>
          <w:lang w:val="en-US"/>
        </w:rPr>
        <w:t>(Dos Santos et al., 2021; Palhano-Fontes et al., 2019)</w:t>
      </w:r>
      <w:r w:rsidR="003D39F1">
        <w:rPr>
          <w:lang w:val="en-US"/>
        </w:rPr>
        <w:fldChar w:fldCharType="end"/>
      </w:r>
      <w:r w:rsidRPr="007A17FC">
        <w:rPr>
          <w:lang w:val="en-US"/>
        </w:rPr>
        <w:t>. Control conditions enrolled 661 participants, allocated to inactive placebos (</w:t>
      </w:r>
      <w:r w:rsidR="00FA3DC5">
        <w:rPr>
          <w:lang w:val="en-US"/>
        </w:rPr>
        <w:t>k=</w:t>
      </w:r>
      <w:r w:rsidR="00915EA4">
        <w:rPr>
          <w:lang w:val="en-US"/>
        </w:rPr>
        <w:t>9</w:t>
      </w:r>
      <w:r w:rsidR="00FA3DC5">
        <w:rPr>
          <w:lang w:val="en-US"/>
        </w:rPr>
        <w:t xml:space="preserve">, </w:t>
      </w:r>
      <w:r w:rsidRPr="007A17FC">
        <w:rPr>
          <w:lang w:val="en-US"/>
        </w:rPr>
        <w:t>n = 328), active non-psychedelic placebos (</w:t>
      </w:r>
      <w:r w:rsidR="00FA3DC5">
        <w:rPr>
          <w:lang w:val="en-US"/>
        </w:rPr>
        <w:t>k=</w:t>
      </w:r>
      <w:r w:rsidR="00915EA4">
        <w:rPr>
          <w:lang w:val="en-US"/>
        </w:rPr>
        <w:t>6</w:t>
      </w:r>
      <w:r w:rsidR="00FA3DC5">
        <w:rPr>
          <w:lang w:val="en-US"/>
        </w:rPr>
        <w:t xml:space="preserve">, </w:t>
      </w:r>
      <w:r w:rsidRPr="007A17FC">
        <w:rPr>
          <w:lang w:val="en-US"/>
        </w:rPr>
        <w:t>n = 137), low-dose psychedelic comparators (</w:t>
      </w:r>
      <w:r w:rsidR="00FA3DC5">
        <w:rPr>
          <w:lang w:val="en-US"/>
        </w:rPr>
        <w:t>k=</w:t>
      </w:r>
      <w:r w:rsidR="00915EA4">
        <w:rPr>
          <w:lang w:val="en-US"/>
        </w:rPr>
        <w:t>8</w:t>
      </w:r>
      <w:r w:rsidR="00FA3DC5">
        <w:rPr>
          <w:lang w:val="en-US"/>
        </w:rPr>
        <w:t xml:space="preserve">, </w:t>
      </w:r>
      <w:r w:rsidRPr="007A17FC">
        <w:rPr>
          <w:lang w:val="en-US"/>
        </w:rPr>
        <w:t>n = 167), or SSRIs (</w:t>
      </w:r>
      <w:r w:rsidR="00FA3DC5">
        <w:rPr>
          <w:lang w:val="en-US"/>
        </w:rPr>
        <w:t>k=</w:t>
      </w:r>
      <w:r w:rsidR="00915EA4">
        <w:rPr>
          <w:lang w:val="en-US"/>
        </w:rPr>
        <w:t>1</w:t>
      </w:r>
      <w:r w:rsidR="00FA3DC5">
        <w:rPr>
          <w:lang w:val="en-US"/>
        </w:rPr>
        <w:t xml:space="preserve">, </w:t>
      </w:r>
      <w:r w:rsidRPr="007A17FC">
        <w:rPr>
          <w:lang w:val="en-US"/>
        </w:rPr>
        <w:t>n = 29).</w:t>
      </w:r>
    </w:p>
    <w:p w14:paraId="18C2753F" w14:textId="11AAB5DA" w:rsidR="000829E4" w:rsidRPr="007A17FC" w:rsidRDefault="00542108" w:rsidP="00FC19AC">
      <w:pPr>
        <w:spacing w:before="240" w:after="240" w:line="360" w:lineRule="auto"/>
        <w:rPr>
          <w:lang w:val="en-US"/>
        </w:rPr>
      </w:pPr>
      <w:r w:rsidRPr="007A17FC">
        <w:rPr>
          <w:lang w:val="en-US"/>
        </w:rPr>
        <w:t>Trials investigated five diagnostic categories: PTSD (</w:t>
      </w:r>
      <w:r w:rsidR="00FA3DC5">
        <w:rPr>
          <w:lang w:val="en-US"/>
        </w:rPr>
        <w:t>k</w:t>
      </w:r>
      <w:r w:rsidRPr="007A17FC">
        <w:rPr>
          <w:lang w:val="en-US"/>
        </w:rPr>
        <w:t xml:space="preserve"> = 9; n = 303), major depressive disorder (</w:t>
      </w:r>
      <w:r w:rsidR="00FA3DC5">
        <w:rPr>
          <w:lang w:val="en-US"/>
        </w:rPr>
        <w:t>k</w:t>
      </w:r>
      <w:r w:rsidRPr="007A17FC">
        <w:rPr>
          <w:lang w:val="en-US"/>
        </w:rPr>
        <w:t xml:space="preserve"> = 7; n = 569), anxiety disorders (</w:t>
      </w:r>
      <w:r w:rsidR="00FA3DC5">
        <w:rPr>
          <w:lang w:val="en-US"/>
        </w:rPr>
        <w:t>k</w:t>
      </w:r>
      <w:r w:rsidRPr="007A17FC">
        <w:rPr>
          <w:lang w:val="en-US"/>
        </w:rPr>
        <w:t xml:space="preserve"> = 7; n = 188), alcohol use disorder (</w:t>
      </w:r>
      <w:r w:rsidR="00FA3DC5">
        <w:rPr>
          <w:lang w:val="en-US"/>
        </w:rPr>
        <w:t>k</w:t>
      </w:r>
      <w:r w:rsidRPr="007A17FC">
        <w:rPr>
          <w:lang w:val="en-US"/>
        </w:rPr>
        <w:t xml:space="preserve"> = 6; n = 367), and ADHD (</w:t>
      </w:r>
      <w:r w:rsidR="00FA3DC5">
        <w:rPr>
          <w:lang w:val="en-US"/>
        </w:rPr>
        <w:t>k</w:t>
      </w:r>
      <w:r w:rsidRPr="007A17FC">
        <w:rPr>
          <w:lang w:val="en-US"/>
        </w:rPr>
        <w:t xml:space="preserve"> = 1; n = 53).</w:t>
      </w:r>
      <w:r w:rsidR="006E710C">
        <w:rPr>
          <w:lang w:val="en-US"/>
        </w:rPr>
        <w:t xml:space="preserve"> </w:t>
      </w:r>
      <w:r w:rsidRPr="007A17FC">
        <w:rPr>
          <w:lang w:val="en-US"/>
        </w:rPr>
        <w:t>The observation window from the last dosing session to the primary endpoint averaged 8.9 weeks (SD = 7.5; range = 0.035–28 weeks).</w:t>
      </w:r>
    </w:p>
    <w:p w14:paraId="7718C188" w14:textId="5DF67227" w:rsidR="000829E4" w:rsidRPr="007A17FC" w:rsidRDefault="00542108" w:rsidP="00FC19AC">
      <w:pPr>
        <w:spacing w:before="240" w:after="240" w:line="360" w:lineRule="auto"/>
        <w:rPr>
          <w:lang w:val="en-US"/>
        </w:rPr>
      </w:pPr>
      <w:r w:rsidRPr="007A17FC">
        <w:rPr>
          <w:lang w:val="en-US"/>
        </w:rPr>
        <w:t xml:space="preserve">Active dose ranges differed markedly across </w:t>
      </w:r>
      <w:r w:rsidR="00682EED">
        <w:rPr>
          <w:lang w:val="en-US"/>
        </w:rPr>
        <w:t>substance</w:t>
      </w:r>
      <w:r w:rsidRPr="007A17FC">
        <w:rPr>
          <w:lang w:val="en-US"/>
        </w:rPr>
        <w:t>s. LSD doses ranged from 20–200 µg, psilocybin from 1–40 mg, MDMA from 25–150 mg, and ayahuasca from 0.36–0.68 mg DMT. LSD</w:t>
      </w:r>
      <w:r w:rsidR="002F6FE6">
        <w:rPr>
          <w:lang w:val="en-US"/>
        </w:rPr>
        <w:t xml:space="preserve">, </w:t>
      </w:r>
      <w:r w:rsidRPr="007A17FC">
        <w:rPr>
          <w:lang w:val="en-US"/>
        </w:rPr>
        <w:t xml:space="preserve">MDMA </w:t>
      </w:r>
      <w:r w:rsidR="002F6FE6">
        <w:rPr>
          <w:lang w:val="en-US"/>
        </w:rPr>
        <w:t xml:space="preserve">and psilocybin </w:t>
      </w:r>
      <w:r w:rsidRPr="007A17FC">
        <w:rPr>
          <w:lang w:val="en-US"/>
        </w:rPr>
        <w:t>trials frequently included multiple dose levels, and ayahuasca was administered as a single standardized preparation.</w:t>
      </w:r>
    </w:p>
    <w:p w14:paraId="0BC581D6" w14:textId="66C2354A" w:rsidR="000829E4" w:rsidRPr="007A17FC" w:rsidRDefault="00542108" w:rsidP="00FC19AC">
      <w:pPr>
        <w:spacing w:before="240" w:after="240" w:line="360" w:lineRule="auto"/>
        <w:rPr>
          <w:lang w:val="en-US"/>
        </w:rPr>
      </w:pPr>
      <w:r w:rsidRPr="007A17FC">
        <w:rPr>
          <w:lang w:val="en-US"/>
        </w:rPr>
        <w:t xml:space="preserve">For analyses requiring dose stratification, </w:t>
      </w:r>
      <w:r w:rsidR="00682EED">
        <w:rPr>
          <w:lang w:val="en-US"/>
        </w:rPr>
        <w:t>substance</w:t>
      </w:r>
      <w:r w:rsidRPr="007A17FC">
        <w:rPr>
          <w:lang w:val="en-US"/>
        </w:rPr>
        <w:t>-specific bands were defined using the lowest non-zero doses in the dataset: LSD: 20–25 µg (low), 50–100 µg (medium), 200 µg (high); psilocybin: 1 mg (low), 10–25 mg (medium), 40 mg (high); MDMA: 25–30 mg (low), 75–125 mg (medium), 150 mg (high). Ayahuasca could not be stratified, as trials did not employ multiple active dose levels.</w:t>
      </w:r>
    </w:p>
    <w:p w14:paraId="331292EF" w14:textId="014D8D26" w:rsidR="000829E4" w:rsidRPr="007A17FC" w:rsidRDefault="00542108" w:rsidP="00FC19AC">
      <w:pPr>
        <w:spacing w:before="240" w:after="240" w:line="360" w:lineRule="auto"/>
        <w:rPr>
          <w:lang w:val="en-US"/>
        </w:rPr>
      </w:pPr>
      <w:r w:rsidRPr="007A17FC">
        <w:rPr>
          <w:lang w:val="en-US"/>
        </w:rPr>
        <w:t>Control interventions were heterogeneous. Inactive placebos (e.g., lactose capsules, saline) were used in both ayahuasca trials and several MDMA studies. Active non-psychedelic placebos</w:t>
      </w:r>
      <w:r w:rsidR="003D39F1">
        <w:rPr>
          <w:lang w:val="en-US"/>
        </w:rPr>
        <w:t xml:space="preserve">, </w:t>
      </w:r>
      <w:r w:rsidRPr="007A17FC">
        <w:rPr>
          <w:lang w:val="en-US"/>
        </w:rPr>
        <w:t>primarily niacin, diphenhydramine, or mannitol</w:t>
      </w:r>
      <w:r w:rsidR="003D39F1">
        <w:rPr>
          <w:lang w:val="en-US"/>
        </w:rPr>
        <w:t xml:space="preserve">, </w:t>
      </w:r>
      <w:r w:rsidRPr="007A17FC">
        <w:rPr>
          <w:lang w:val="en-US"/>
        </w:rPr>
        <w:t xml:space="preserve">were common in psilocybin studies and present </w:t>
      </w:r>
      <w:r w:rsidRPr="007A17FC">
        <w:rPr>
          <w:lang w:val="en-US"/>
        </w:rPr>
        <w:lastRenderedPageBreak/>
        <w:t>in one MDMA trial. Low-dose psychedelic comparators were frequent in LSD, psilocybin, and MDMA trials, typically using 20–25 µg LSD, 1 mg psilocybin, or 25–40 mg MDMA to reinforce blinding while minimizing pharmacological activity.</w:t>
      </w:r>
    </w:p>
    <w:p w14:paraId="6A9BAA65" w14:textId="389D9BD7" w:rsidR="000829E4" w:rsidRPr="007A17FC" w:rsidRDefault="00542108" w:rsidP="00FC19AC">
      <w:pPr>
        <w:spacing w:before="240" w:after="240" w:line="360" w:lineRule="auto"/>
        <w:rPr>
          <w:lang w:val="en-US"/>
        </w:rPr>
      </w:pPr>
      <w:r w:rsidRPr="007A17FC">
        <w:rPr>
          <w:lang w:val="en-US"/>
        </w:rPr>
        <w:t xml:space="preserve">Across the full sample, </w:t>
      </w:r>
      <w:r w:rsidR="00721977">
        <w:rPr>
          <w:lang w:val="en-US"/>
        </w:rPr>
        <w:t>nine</w:t>
      </w:r>
      <w:r w:rsidR="00012EBB">
        <w:rPr>
          <w:lang w:val="en-US"/>
        </w:rPr>
        <w:t xml:space="preserve"> </w:t>
      </w:r>
      <w:r w:rsidRPr="007A17FC">
        <w:rPr>
          <w:lang w:val="en-US"/>
        </w:rPr>
        <w:t xml:space="preserve">trials (32.1%) used inactive placebos, </w:t>
      </w:r>
      <w:r w:rsidR="00721977">
        <w:rPr>
          <w:lang w:val="en-US"/>
        </w:rPr>
        <w:t>six</w:t>
      </w:r>
      <w:r w:rsidR="00012EBB">
        <w:rPr>
          <w:lang w:val="en-US"/>
        </w:rPr>
        <w:t xml:space="preserve"> </w:t>
      </w:r>
      <w:r w:rsidRPr="007A17FC">
        <w:rPr>
          <w:lang w:val="en-US"/>
        </w:rPr>
        <w:t xml:space="preserve">(21.4%) used active non-psychedelic placebos, </w:t>
      </w:r>
      <w:r w:rsidR="00721977">
        <w:rPr>
          <w:lang w:val="en-US"/>
        </w:rPr>
        <w:t>eight</w:t>
      </w:r>
      <w:r w:rsidR="00012EBB">
        <w:rPr>
          <w:lang w:val="en-US"/>
        </w:rPr>
        <w:t xml:space="preserve"> </w:t>
      </w:r>
      <w:r w:rsidRPr="007A17FC">
        <w:rPr>
          <w:lang w:val="en-US"/>
        </w:rPr>
        <w:t xml:space="preserve">(28.6%) employed low-dose psychedelic comparators, one trial (3.6%) used an SSRI comparator, and </w:t>
      </w:r>
      <w:r w:rsidR="00721977">
        <w:rPr>
          <w:lang w:val="en-US"/>
        </w:rPr>
        <w:t>four</w:t>
      </w:r>
      <w:r w:rsidR="00012EBB">
        <w:rPr>
          <w:lang w:val="en-US"/>
        </w:rPr>
        <w:t xml:space="preserve"> </w:t>
      </w:r>
      <w:r w:rsidRPr="007A17FC">
        <w:rPr>
          <w:lang w:val="en-US"/>
        </w:rPr>
        <w:t>(14.3%) did not specify the exact inactive placebo composition.</w:t>
      </w:r>
    </w:p>
    <w:p w14:paraId="46A58D3D" w14:textId="730FD83A" w:rsidR="00FC19AC" w:rsidRDefault="006E710C" w:rsidP="00FC19AC">
      <w:pPr>
        <w:spacing w:before="240" w:after="240" w:line="360" w:lineRule="auto"/>
        <w:rPr>
          <w:lang w:val="en-US"/>
        </w:rPr>
      </w:pPr>
      <w:r w:rsidRPr="007A17FC">
        <w:rPr>
          <w:lang w:val="en-US"/>
        </w:rPr>
        <w:t xml:space="preserve">The number of AE contrasts </w:t>
      </w:r>
      <w:r w:rsidRPr="006E710C">
        <w:rPr>
          <w:lang w:val="en-US"/>
        </w:rPr>
        <w:t>(k) denotes the number of adverse-event (AE) contrasts, defined as one active-dose versus reference-arm comparison for a single harmonized AE term at a given assessment window (acute session or follow-up). </w:t>
      </w:r>
      <w:r w:rsidR="00542108" w:rsidRPr="007A17FC">
        <w:rPr>
          <w:lang w:val="en-US"/>
        </w:rPr>
        <w:t>During dosing sessions, LSD contributed k = 218</w:t>
      </w:r>
      <w:r>
        <w:rPr>
          <w:lang w:val="en-US"/>
        </w:rPr>
        <w:t xml:space="preserve">, </w:t>
      </w:r>
      <w:r w:rsidR="00542108" w:rsidRPr="007A17FC">
        <w:rPr>
          <w:lang w:val="en-US"/>
        </w:rPr>
        <w:t xml:space="preserve">MDMA k = 250, psilocybin k = 299, and ayahuasca k = 31. </w:t>
      </w:r>
    </w:p>
    <w:p w14:paraId="70E4E125" w14:textId="11705569" w:rsidR="000829E4" w:rsidRPr="007A17FC" w:rsidRDefault="00CD0DB3" w:rsidP="00FC19AC">
      <w:pPr>
        <w:spacing w:before="240" w:after="240" w:line="360" w:lineRule="auto"/>
        <w:rPr>
          <w:lang w:val="en-US"/>
        </w:rPr>
      </w:pPr>
      <w:r w:rsidRPr="00CD0DB3">
        <w:rPr>
          <w:lang w:val="en-US"/>
        </w:rPr>
        <w:t xml:space="preserve">Follow-up AE data were available only for LSD and MDMA. In MDMA trials, follow-up AEs were systematically collected during the subacute post-session period, typically up to </w:t>
      </w:r>
      <w:r w:rsidR="00C84CD8">
        <w:rPr>
          <w:lang w:val="en-US"/>
        </w:rPr>
        <w:t>seven</w:t>
      </w:r>
      <w:r w:rsidRPr="00CD0DB3">
        <w:rPr>
          <w:lang w:val="en-US"/>
        </w:rPr>
        <w:t xml:space="preserve"> days after each dosing session, yielding k = 95 contrasts. In contrast, LSD trials employed more heterogeneous and generally longer follow-up windows extending beyond the acute session, resulting in k = 126 follow-up contrasts. Psilocybin and ayahuasca datasets contained session-only AE observations.</w:t>
      </w:r>
      <w:r w:rsidR="00C84CD8">
        <w:rPr>
          <w:lang w:val="en-US"/>
        </w:rPr>
        <w:t xml:space="preserve"> </w:t>
      </w:r>
      <w:r w:rsidR="00542108" w:rsidRPr="007A17FC">
        <w:rPr>
          <w:lang w:val="en-US"/>
        </w:rPr>
        <w:t xml:space="preserve">The distribution of harmonized AE terms was broad: psilocybin (96 terms), MDMA (70), LSD (62), and ayahuasca (12). A </w:t>
      </w:r>
      <w:r w:rsidR="00682EED">
        <w:rPr>
          <w:lang w:val="en-US"/>
        </w:rPr>
        <w:t>substance</w:t>
      </w:r>
      <w:r w:rsidR="00542108" w:rsidRPr="007A17FC">
        <w:rPr>
          <w:lang w:val="en-US"/>
        </w:rPr>
        <w:t>-level summary of study counts, participants, dose range, comparator types, and AE availability is provided in Table 1.</w:t>
      </w:r>
    </w:p>
    <w:p w14:paraId="41276609" w14:textId="2289690E" w:rsidR="00682EED" w:rsidRDefault="00542108" w:rsidP="00682EED">
      <w:pPr>
        <w:pStyle w:val="Titre3"/>
        <w:rPr>
          <w:color w:val="000000" w:themeColor="text1"/>
          <w:lang w:val="en-US"/>
        </w:rPr>
      </w:pPr>
      <w:bookmarkStart w:id="8" w:name="_fry09t11e395" w:colFirst="0" w:colLast="0"/>
      <w:bookmarkEnd w:id="7"/>
      <w:bookmarkEnd w:id="8"/>
      <w:r w:rsidRPr="007A17FC">
        <w:rPr>
          <w:lang w:val="en-US"/>
        </w:rPr>
        <w:t xml:space="preserve">3.2 </w:t>
      </w:r>
      <w:bookmarkStart w:id="9" w:name="_imwyismw5mzz" w:colFirst="0" w:colLast="0"/>
      <w:bookmarkEnd w:id="9"/>
      <w:r w:rsidR="00682EED" w:rsidRPr="00BB2839">
        <w:rPr>
          <w:color w:val="000000" w:themeColor="text1"/>
          <w:lang w:val="en-US"/>
        </w:rPr>
        <w:t>Global dose–response relationships and time window effects</w:t>
      </w:r>
    </w:p>
    <w:p w14:paraId="17577D64" w14:textId="64E72DC9" w:rsidR="00CD0DB3" w:rsidRPr="00CD0DB3" w:rsidRDefault="003037B4" w:rsidP="00FC19AC">
      <w:pPr>
        <w:pStyle w:val="p1"/>
        <w:spacing w:line="360" w:lineRule="auto"/>
        <w:rPr>
          <w:lang w:val="en-US"/>
        </w:rPr>
      </w:pPr>
      <w:r w:rsidRPr="003037B4">
        <w:rPr>
          <w:lang w:val="en-US"/>
        </w:rPr>
        <w:t xml:space="preserve">During the dosing session, all three substances with sufficient dose variation—LSD, MDMA, and psilocybin—showed a clear overall dose–response relationship for adverse events (AEs). </w:t>
      </w:r>
      <w:proofErr w:type="spellStart"/>
      <w:r>
        <w:t>These</w:t>
      </w:r>
      <w:proofErr w:type="spellEnd"/>
      <w:r>
        <w:t xml:space="preserve"> global </w:t>
      </w:r>
      <w:proofErr w:type="spellStart"/>
      <w:r>
        <w:t>effects</w:t>
      </w:r>
      <w:proofErr w:type="spellEnd"/>
      <w:r>
        <w:t xml:space="preserve"> </w:t>
      </w:r>
      <w:proofErr w:type="spellStart"/>
      <w:r>
        <w:t>reflect</w:t>
      </w:r>
      <w:proofErr w:type="spellEnd"/>
      <w:r>
        <w:t xml:space="preserve"> cumulative AE </w:t>
      </w:r>
      <w:proofErr w:type="spellStart"/>
      <w:r>
        <w:t>risk</w:t>
      </w:r>
      <w:proofErr w:type="spellEnd"/>
      <w:r>
        <w:t xml:space="preserve"> </w:t>
      </w:r>
      <w:proofErr w:type="spellStart"/>
      <w:r>
        <w:t>across</w:t>
      </w:r>
      <w:proofErr w:type="spellEnd"/>
      <w:r>
        <w:t xml:space="preserve"> </w:t>
      </w:r>
      <w:proofErr w:type="spellStart"/>
      <w:r>
        <w:t>heterogeneous</w:t>
      </w:r>
      <w:proofErr w:type="spellEnd"/>
      <w:r>
        <w:t xml:space="preserve"> </w:t>
      </w:r>
      <w:proofErr w:type="spellStart"/>
      <w:r>
        <w:t>events</w:t>
      </w:r>
      <w:proofErr w:type="spellEnd"/>
      <w:r>
        <w:t xml:space="preserve">, consistent </w:t>
      </w:r>
      <w:proofErr w:type="spellStart"/>
      <w:r>
        <w:t>with</w:t>
      </w:r>
      <w:proofErr w:type="spellEnd"/>
      <w:r>
        <w:t xml:space="preserve"> diffuse dose-</w:t>
      </w:r>
      <w:proofErr w:type="spellStart"/>
      <w:r>
        <w:t>related</w:t>
      </w:r>
      <w:proofErr w:type="spellEnd"/>
      <w:r>
        <w:t xml:space="preserve"> </w:t>
      </w:r>
      <w:proofErr w:type="spellStart"/>
      <w:r>
        <w:t>increases</w:t>
      </w:r>
      <w:proofErr w:type="spellEnd"/>
      <w:r>
        <w:t xml:space="preserve"> </w:t>
      </w:r>
      <w:proofErr w:type="spellStart"/>
      <w:r>
        <w:t>across</w:t>
      </w:r>
      <w:proofErr w:type="spellEnd"/>
      <w:r>
        <w:t xml:space="preserve"> multiple </w:t>
      </w:r>
      <w:proofErr w:type="spellStart"/>
      <w:r>
        <w:t>AEs</w:t>
      </w:r>
      <w:proofErr w:type="spellEnd"/>
      <w:r>
        <w:t xml:space="preserve"> </w:t>
      </w:r>
      <w:proofErr w:type="spellStart"/>
      <w:r>
        <w:t>rather</w:t>
      </w:r>
      <w:proofErr w:type="spellEnd"/>
      <w:r>
        <w:t xml:space="preserve"> </w:t>
      </w:r>
      <w:proofErr w:type="spellStart"/>
      <w:r>
        <w:t>than</w:t>
      </w:r>
      <w:proofErr w:type="spellEnd"/>
      <w:r>
        <w:t xml:space="preserve"> a single dominant </w:t>
      </w:r>
      <w:proofErr w:type="spellStart"/>
      <w:r>
        <w:t>event</w:t>
      </w:r>
      <w:proofErr w:type="spellEnd"/>
      <w:r w:rsidR="006E710C">
        <w:rPr>
          <w:lang w:val="en-US"/>
        </w:rPr>
        <w:t xml:space="preserve">. </w:t>
      </w:r>
      <w:r w:rsidR="00CD0DB3" w:rsidRPr="00CD0DB3">
        <w:rPr>
          <w:lang w:val="en-US"/>
        </w:rPr>
        <w:t>Meta-regression omnibus tests for dose indicated a significant global dose–response association for LSD (Qₘ = 11.36, p &lt; 0.001), MDMA (Qₘ = 10.16, p &lt; 0.001), and psilocybin (Qₘ = 19.39, p &lt; 0.001), with non-linear dose–response patterns observed for all three substances (Figure 1</w:t>
      </w:r>
      <w:r w:rsidR="00B83814">
        <w:rPr>
          <w:lang w:val="en-US"/>
        </w:rPr>
        <w:t xml:space="preserve">, </w:t>
      </w:r>
      <w:r w:rsidR="00B83814" w:rsidRPr="00B83814">
        <w:rPr>
          <w:lang w:val="en-US"/>
        </w:rPr>
        <w:t>T</w:t>
      </w:r>
      <w:r w:rsidR="00B83814">
        <w:rPr>
          <w:lang w:val="en-US"/>
        </w:rPr>
        <w:t>able 2</w:t>
      </w:r>
      <w:r w:rsidR="00CD0DB3" w:rsidRPr="00CD0DB3">
        <w:rPr>
          <w:lang w:val="en-US"/>
        </w:rPr>
        <w:t>).</w:t>
      </w:r>
    </w:p>
    <w:p w14:paraId="411CA6C1" w14:textId="11321C0E" w:rsidR="00CD0DB3" w:rsidRPr="00CD0DB3" w:rsidRDefault="00CD0DB3" w:rsidP="00FC19AC">
      <w:pPr>
        <w:pStyle w:val="p1"/>
        <w:spacing w:line="360" w:lineRule="auto"/>
        <w:rPr>
          <w:lang w:val="en-US"/>
        </w:rPr>
      </w:pPr>
      <w:r w:rsidRPr="00CD0DB3">
        <w:rPr>
          <w:lang w:val="en-US"/>
        </w:rPr>
        <w:lastRenderedPageBreak/>
        <w:t xml:space="preserve">For </w:t>
      </w:r>
      <w:r w:rsidRPr="00CD0DB3">
        <w:rPr>
          <w:rStyle w:val="s1"/>
          <w:lang w:val="en-US"/>
        </w:rPr>
        <w:t>LSD</w:t>
      </w:r>
      <w:r w:rsidRPr="00CD0DB3">
        <w:rPr>
          <w:lang w:val="en-US"/>
        </w:rPr>
        <w:t xml:space="preserve">, spline-based models revealed a </w:t>
      </w:r>
      <w:r w:rsidRPr="00CD0DB3">
        <w:rPr>
          <w:rStyle w:val="s1"/>
          <w:lang w:val="en-US"/>
        </w:rPr>
        <w:t>non-linear, increasing dose–response curve</w:t>
      </w:r>
      <w:r w:rsidRPr="00CD0DB3">
        <w:rPr>
          <w:lang w:val="en-US"/>
        </w:rPr>
        <w:t xml:space="preserve">. While the lowest dose (50 µg) was associated with </w:t>
      </w:r>
      <w:r w:rsidR="004B3794">
        <w:rPr>
          <w:lang w:val="en-US"/>
        </w:rPr>
        <w:t xml:space="preserve">a </w:t>
      </w:r>
      <w:r w:rsidRPr="00CD0DB3">
        <w:rPr>
          <w:lang w:val="en-US"/>
        </w:rPr>
        <w:t xml:space="preserve">relatively lower odds of AEs, AE risk increased sharply at moderate doses (100 µg) and then </w:t>
      </w:r>
      <w:r w:rsidR="004B3794">
        <w:rPr>
          <w:lang w:val="en-US"/>
        </w:rPr>
        <w:t>plateaued</w:t>
      </w:r>
      <w:r w:rsidRPr="00CD0DB3">
        <w:rPr>
          <w:rStyle w:val="s1"/>
          <w:lang w:val="en-US"/>
        </w:rPr>
        <w:t xml:space="preserve"> at the highest doses (150 µg)</w:t>
      </w:r>
      <w:r w:rsidRPr="00CD0DB3">
        <w:rPr>
          <w:lang w:val="en-US"/>
        </w:rPr>
        <w:t>. This apparent plateau should be interpreted cautiously, given reduced data density at the upper end of the dose range.</w:t>
      </w:r>
    </w:p>
    <w:p w14:paraId="4C606C8C" w14:textId="77777777" w:rsidR="00CD0DB3" w:rsidRPr="00CD0DB3" w:rsidRDefault="00CD0DB3" w:rsidP="00FC19AC">
      <w:pPr>
        <w:pStyle w:val="p1"/>
        <w:spacing w:line="360" w:lineRule="auto"/>
        <w:rPr>
          <w:lang w:val="en-US"/>
        </w:rPr>
      </w:pPr>
      <w:r w:rsidRPr="00CD0DB3">
        <w:rPr>
          <w:lang w:val="en-US"/>
        </w:rPr>
        <w:t xml:space="preserve">For </w:t>
      </w:r>
      <w:r w:rsidRPr="00CD0DB3">
        <w:rPr>
          <w:rStyle w:val="s1"/>
          <w:lang w:val="en-US"/>
        </w:rPr>
        <w:t>MDMA</w:t>
      </w:r>
      <w:r w:rsidRPr="00CD0DB3">
        <w:rPr>
          <w:lang w:val="en-US"/>
        </w:rPr>
        <w:t xml:space="preserve">, a comparable </w:t>
      </w:r>
      <w:r w:rsidRPr="00CD0DB3">
        <w:rPr>
          <w:rStyle w:val="s1"/>
          <w:lang w:val="en-US"/>
        </w:rPr>
        <w:t>non-linear pattern</w:t>
      </w:r>
      <w:r w:rsidRPr="00CD0DB3">
        <w:rPr>
          <w:lang w:val="en-US"/>
        </w:rPr>
        <w:t xml:space="preserve"> was observed, with a marked increase in AE incidence at moderate doses (around 100 mg), followed by a </w:t>
      </w:r>
      <w:r w:rsidRPr="00CD0DB3">
        <w:rPr>
          <w:rStyle w:val="s1"/>
          <w:lang w:val="en-US"/>
        </w:rPr>
        <w:t>stabilization or local fluctuation of risk at higher doses (up to 150 mg)</w:t>
      </w:r>
      <w:r w:rsidRPr="00CD0DB3">
        <w:rPr>
          <w:lang w:val="en-US"/>
        </w:rPr>
        <w:t xml:space="preserve">. As with LSD, </w:t>
      </w:r>
      <w:proofErr w:type="spellStart"/>
      <w:r w:rsidRPr="00CD0DB3">
        <w:rPr>
          <w:lang w:val="en-US"/>
        </w:rPr>
        <w:t>behaviour</w:t>
      </w:r>
      <w:proofErr w:type="spellEnd"/>
      <w:r w:rsidRPr="00CD0DB3">
        <w:rPr>
          <w:lang w:val="en-US"/>
        </w:rPr>
        <w:t xml:space="preserve"> at the highest doses may partly reflect limited sampling and spline extrapolation.</w:t>
      </w:r>
    </w:p>
    <w:p w14:paraId="357A814D" w14:textId="45EBDBB0" w:rsidR="00CD0DB3" w:rsidRPr="00CD0DB3" w:rsidRDefault="00CD0DB3" w:rsidP="00FC19AC">
      <w:pPr>
        <w:pStyle w:val="p1"/>
        <w:spacing w:line="360" w:lineRule="auto"/>
        <w:rPr>
          <w:lang w:val="en-US"/>
        </w:rPr>
      </w:pPr>
      <w:r w:rsidRPr="00CD0DB3">
        <w:rPr>
          <w:lang w:val="en-US"/>
        </w:rPr>
        <w:t xml:space="preserve">In contrast, </w:t>
      </w:r>
      <w:r w:rsidRPr="00CD0DB3">
        <w:rPr>
          <w:rStyle w:val="s1"/>
          <w:lang w:val="en-US"/>
        </w:rPr>
        <w:t>psilocybin exhibited an inverted U-shaped dose–response relationship</w:t>
      </w:r>
      <w:r w:rsidRPr="00CD0DB3">
        <w:rPr>
          <w:lang w:val="en-US"/>
        </w:rPr>
        <w:t xml:space="preserve">, with higher AE incidence at low to intermediate doses (10–20 mg) and a pronounced reduction in AE risk at higher doses (30–40 mg). </w:t>
      </w:r>
    </w:p>
    <w:p w14:paraId="08A8FF14" w14:textId="77777777" w:rsidR="00CD0DB3" w:rsidRPr="00CD0DB3" w:rsidRDefault="00CD0DB3" w:rsidP="004B3794">
      <w:pPr>
        <w:spacing w:line="360" w:lineRule="auto"/>
        <w:rPr>
          <w:color w:val="000000" w:themeColor="text1"/>
        </w:rPr>
      </w:pPr>
      <w:r w:rsidRPr="00CD0DB3">
        <w:rPr>
          <w:color w:val="000000" w:themeColor="text1"/>
        </w:rPr>
        <w:t>Follow-up dose–</w:t>
      </w:r>
      <w:proofErr w:type="spellStart"/>
      <w:r w:rsidRPr="00CD0DB3">
        <w:rPr>
          <w:color w:val="000000" w:themeColor="text1"/>
        </w:rPr>
        <w:t>response</w:t>
      </w:r>
      <w:proofErr w:type="spellEnd"/>
      <w:r w:rsidRPr="00CD0DB3">
        <w:rPr>
          <w:color w:val="000000" w:themeColor="text1"/>
        </w:rPr>
        <w:t xml:space="preserve"> analyses </w:t>
      </w:r>
      <w:proofErr w:type="spellStart"/>
      <w:r w:rsidRPr="00CD0DB3">
        <w:rPr>
          <w:color w:val="000000" w:themeColor="text1"/>
        </w:rPr>
        <w:t>were</w:t>
      </w:r>
      <w:proofErr w:type="spellEnd"/>
      <w:r w:rsidRPr="00CD0DB3">
        <w:rPr>
          <w:color w:val="000000" w:themeColor="text1"/>
        </w:rPr>
        <w:t xml:space="preserve"> </w:t>
      </w:r>
      <w:proofErr w:type="spellStart"/>
      <w:r w:rsidRPr="00CD0DB3">
        <w:rPr>
          <w:color w:val="000000" w:themeColor="text1"/>
        </w:rPr>
        <w:t>available</w:t>
      </w:r>
      <w:proofErr w:type="spellEnd"/>
      <w:r w:rsidRPr="00CD0DB3">
        <w:rPr>
          <w:color w:val="000000" w:themeColor="text1"/>
        </w:rPr>
        <w:t xml:space="preserve"> for LSD and MDMA </w:t>
      </w:r>
      <w:proofErr w:type="spellStart"/>
      <w:r w:rsidRPr="00CD0DB3">
        <w:rPr>
          <w:color w:val="000000" w:themeColor="text1"/>
        </w:rPr>
        <w:t>only</w:t>
      </w:r>
      <w:proofErr w:type="spellEnd"/>
      <w:r w:rsidRPr="00CD0DB3">
        <w:rPr>
          <w:color w:val="000000" w:themeColor="text1"/>
        </w:rPr>
        <w:t xml:space="preserve">. For LSD, </w:t>
      </w:r>
      <w:proofErr w:type="spellStart"/>
      <w:r w:rsidRPr="00CD0DB3">
        <w:rPr>
          <w:color w:val="000000" w:themeColor="text1"/>
        </w:rPr>
        <w:t>spline-based</w:t>
      </w:r>
      <w:proofErr w:type="spellEnd"/>
      <w:r w:rsidRPr="00CD0DB3">
        <w:rPr>
          <w:color w:val="000000" w:themeColor="text1"/>
        </w:rPr>
        <w:t xml:space="preserve"> </w:t>
      </w:r>
      <w:proofErr w:type="spellStart"/>
      <w:r w:rsidRPr="00CD0DB3">
        <w:rPr>
          <w:color w:val="000000" w:themeColor="text1"/>
        </w:rPr>
        <w:t>meta-regression</w:t>
      </w:r>
      <w:proofErr w:type="spellEnd"/>
      <w:r w:rsidRPr="00CD0DB3">
        <w:rPr>
          <w:color w:val="000000" w:themeColor="text1"/>
        </w:rPr>
        <w:t xml:space="preserve"> </w:t>
      </w:r>
      <w:proofErr w:type="spellStart"/>
      <w:r w:rsidRPr="00CD0DB3">
        <w:rPr>
          <w:color w:val="000000" w:themeColor="text1"/>
        </w:rPr>
        <w:t>revealed</w:t>
      </w:r>
      <w:proofErr w:type="spellEnd"/>
      <w:r w:rsidRPr="00CD0DB3">
        <w:rPr>
          <w:color w:val="000000" w:themeColor="text1"/>
        </w:rPr>
        <w:t xml:space="preserve"> a </w:t>
      </w:r>
      <w:proofErr w:type="spellStart"/>
      <w:r w:rsidRPr="00CD0DB3">
        <w:rPr>
          <w:color w:val="000000" w:themeColor="text1"/>
        </w:rPr>
        <w:t>significant</w:t>
      </w:r>
      <w:proofErr w:type="spellEnd"/>
      <w:r w:rsidRPr="00CD0DB3">
        <w:rPr>
          <w:color w:val="000000" w:themeColor="text1"/>
        </w:rPr>
        <w:t xml:space="preserve"> non-</w:t>
      </w:r>
      <w:proofErr w:type="spellStart"/>
      <w:r w:rsidRPr="00CD0DB3">
        <w:rPr>
          <w:color w:val="000000" w:themeColor="text1"/>
        </w:rPr>
        <w:t>linear</w:t>
      </w:r>
      <w:proofErr w:type="spellEnd"/>
      <w:r w:rsidRPr="00CD0DB3">
        <w:rPr>
          <w:color w:val="000000" w:themeColor="text1"/>
        </w:rPr>
        <w:t xml:space="preserve"> dose–</w:t>
      </w:r>
      <w:proofErr w:type="spellStart"/>
      <w:r w:rsidRPr="00CD0DB3">
        <w:rPr>
          <w:color w:val="000000" w:themeColor="text1"/>
        </w:rPr>
        <w:t>response</w:t>
      </w:r>
      <w:proofErr w:type="spellEnd"/>
      <w:r w:rsidRPr="00CD0DB3">
        <w:rPr>
          <w:color w:val="000000" w:themeColor="text1"/>
        </w:rPr>
        <w:t xml:space="preserve"> association at follow-up (QM = 14.45, p = 0.002), </w:t>
      </w:r>
      <w:proofErr w:type="spellStart"/>
      <w:r w:rsidRPr="00CD0DB3">
        <w:rPr>
          <w:color w:val="000000" w:themeColor="text1"/>
        </w:rPr>
        <w:t>with</w:t>
      </w:r>
      <w:proofErr w:type="spellEnd"/>
      <w:r w:rsidRPr="00CD0DB3">
        <w:rPr>
          <w:color w:val="000000" w:themeColor="text1"/>
        </w:rPr>
        <w:t xml:space="preserve"> an </w:t>
      </w:r>
      <w:proofErr w:type="spellStart"/>
      <w:r w:rsidRPr="00CD0DB3">
        <w:rPr>
          <w:color w:val="000000" w:themeColor="text1"/>
        </w:rPr>
        <w:t>overall</w:t>
      </w:r>
      <w:proofErr w:type="spellEnd"/>
      <w:r w:rsidRPr="00CD0DB3">
        <w:rPr>
          <w:color w:val="000000" w:themeColor="text1"/>
        </w:rPr>
        <w:t xml:space="preserve"> </w:t>
      </w:r>
      <w:proofErr w:type="spellStart"/>
      <w:r w:rsidRPr="00CD0DB3">
        <w:rPr>
          <w:color w:val="000000" w:themeColor="text1"/>
        </w:rPr>
        <w:t>decreasing</w:t>
      </w:r>
      <w:proofErr w:type="spellEnd"/>
      <w:r w:rsidRPr="00CD0DB3">
        <w:rPr>
          <w:color w:val="000000" w:themeColor="text1"/>
        </w:rPr>
        <w:t xml:space="preserve"> trend in adverse-</w:t>
      </w:r>
      <w:proofErr w:type="spellStart"/>
      <w:r w:rsidRPr="00CD0DB3">
        <w:rPr>
          <w:color w:val="000000" w:themeColor="text1"/>
        </w:rPr>
        <w:t>event</w:t>
      </w:r>
      <w:proofErr w:type="spellEnd"/>
      <w:r w:rsidRPr="00CD0DB3">
        <w:rPr>
          <w:color w:val="000000" w:themeColor="text1"/>
        </w:rPr>
        <w:t xml:space="preserve"> </w:t>
      </w:r>
      <w:proofErr w:type="spellStart"/>
      <w:r w:rsidRPr="00CD0DB3">
        <w:rPr>
          <w:color w:val="000000" w:themeColor="text1"/>
        </w:rPr>
        <w:t>burden</w:t>
      </w:r>
      <w:proofErr w:type="spellEnd"/>
      <w:r w:rsidRPr="00CD0DB3">
        <w:rPr>
          <w:color w:val="000000" w:themeColor="text1"/>
        </w:rPr>
        <w:t xml:space="preserve"> as dose </w:t>
      </w:r>
      <w:proofErr w:type="spellStart"/>
      <w:r w:rsidRPr="00CD0DB3">
        <w:rPr>
          <w:color w:val="000000" w:themeColor="text1"/>
        </w:rPr>
        <w:t>increased</w:t>
      </w:r>
      <w:proofErr w:type="spellEnd"/>
      <w:r w:rsidRPr="00CD0DB3">
        <w:rPr>
          <w:color w:val="000000" w:themeColor="text1"/>
        </w:rPr>
        <w:t xml:space="preserve">. </w:t>
      </w:r>
      <w:proofErr w:type="spellStart"/>
      <w:r w:rsidRPr="00CD0DB3">
        <w:rPr>
          <w:color w:val="000000" w:themeColor="text1"/>
        </w:rPr>
        <w:t>Consistently</w:t>
      </w:r>
      <w:proofErr w:type="spellEnd"/>
      <w:r w:rsidRPr="00CD0DB3">
        <w:rPr>
          <w:color w:val="000000" w:themeColor="text1"/>
        </w:rPr>
        <w:t xml:space="preserve">, the </w:t>
      </w:r>
      <w:proofErr w:type="spellStart"/>
      <w:r w:rsidRPr="00CD0DB3">
        <w:rPr>
          <w:color w:val="000000" w:themeColor="text1"/>
        </w:rPr>
        <w:t>linear</w:t>
      </w:r>
      <w:proofErr w:type="spellEnd"/>
      <w:r w:rsidRPr="00CD0DB3">
        <w:rPr>
          <w:color w:val="000000" w:themeColor="text1"/>
        </w:rPr>
        <w:t xml:space="preserve"> model </w:t>
      </w:r>
      <w:proofErr w:type="spellStart"/>
      <w:r w:rsidRPr="00CD0DB3">
        <w:rPr>
          <w:color w:val="000000" w:themeColor="text1"/>
        </w:rPr>
        <w:t>showed</w:t>
      </w:r>
      <w:proofErr w:type="spellEnd"/>
      <w:r w:rsidRPr="00CD0DB3">
        <w:rPr>
          <w:color w:val="000000" w:themeColor="text1"/>
        </w:rPr>
        <w:t xml:space="preserve"> a </w:t>
      </w:r>
      <w:proofErr w:type="spellStart"/>
      <w:r w:rsidRPr="00CD0DB3">
        <w:rPr>
          <w:color w:val="000000" w:themeColor="text1"/>
        </w:rPr>
        <w:t>negative</w:t>
      </w:r>
      <w:proofErr w:type="spellEnd"/>
      <w:r w:rsidRPr="00CD0DB3">
        <w:rPr>
          <w:color w:val="000000" w:themeColor="text1"/>
        </w:rPr>
        <w:t xml:space="preserve"> dose </w:t>
      </w:r>
      <w:proofErr w:type="spellStart"/>
      <w:r w:rsidRPr="00CD0DB3">
        <w:rPr>
          <w:color w:val="000000" w:themeColor="text1"/>
        </w:rPr>
        <w:t>slope</w:t>
      </w:r>
      <w:proofErr w:type="spellEnd"/>
      <w:r w:rsidRPr="00CD0DB3">
        <w:rPr>
          <w:color w:val="000000" w:themeColor="text1"/>
        </w:rPr>
        <w:t xml:space="preserve"> (β = −0.005, p = 0.030), </w:t>
      </w:r>
      <w:proofErr w:type="spellStart"/>
      <w:r w:rsidRPr="00CD0DB3">
        <w:rPr>
          <w:color w:val="000000" w:themeColor="text1"/>
        </w:rPr>
        <w:t>suggesting</w:t>
      </w:r>
      <w:proofErr w:type="spellEnd"/>
      <w:r w:rsidRPr="00CD0DB3">
        <w:rPr>
          <w:color w:val="000000" w:themeColor="text1"/>
        </w:rPr>
        <w:t xml:space="preserve"> progressive </w:t>
      </w:r>
      <w:proofErr w:type="spellStart"/>
      <w:r w:rsidRPr="00CD0DB3">
        <w:rPr>
          <w:color w:val="000000" w:themeColor="text1"/>
        </w:rPr>
        <w:t>resolution</w:t>
      </w:r>
      <w:proofErr w:type="spellEnd"/>
      <w:r w:rsidRPr="00CD0DB3">
        <w:rPr>
          <w:color w:val="000000" w:themeColor="text1"/>
        </w:rPr>
        <w:t xml:space="preserve"> </w:t>
      </w:r>
      <w:proofErr w:type="spellStart"/>
      <w:r w:rsidRPr="00CD0DB3">
        <w:rPr>
          <w:color w:val="000000" w:themeColor="text1"/>
        </w:rPr>
        <w:t>rather</w:t>
      </w:r>
      <w:proofErr w:type="spellEnd"/>
      <w:r w:rsidRPr="00CD0DB3">
        <w:rPr>
          <w:color w:val="000000" w:themeColor="text1"/>
        </w:rPr>
        <w:t xml:space="preserve"> </w:t>
      </w:r>
      <w:proofErr w:type="spellStart"/>
      <w:r w:rsidRPr="00CD0DB3">
        <w:rPr>
          <w:color w:val="000000" w:themeColor="text1"/>
        </w:rPr>
        <w:t>than</w:t>
      </w:r>
      <w:proofErr w:type="spellEnd"/>
      <w:r w:rsidRPr="00CD0DB3">
        <w:rPr>
          <w:color w:val="000000" w:themeColor="text1"/>
        </w:rPr>
        <w:t xml:space="preserve"> </w:t>
      </w:r>
      <w:proofErr w:type="spellStart"/>
      <w:r w:rsidRPr="00CD0DB3">
        <w:rPr>
          <w:color w:val="000000" w:themeColor="text1"/>
        </w:rPr>
        <w:t>persistence</w:t>
      </w:r>
      <w:proofErr w:type="spellEnd"/>
      <w:r w:rsidRPr="00CD0DB3">
        <w:rPr>
          <w:color w:val="000000" w:themeColor="text1"/>
        </w:rPr>
        <w:t xml:space="preserve"> of dose-</w:t>
      </w:r>
      <w:proofErr w:type="spellStart"/>
      <w:r w:rsidRPr="00CD0DB3">
        <w:rPr>
          <w:color w:val="000000" w:themeColor="text1"/>
        </w:rPr>
        <w:t>related</w:t>
      </w:r>
      <w:proofErr w:type="spellEnd"/>
      <w:r w:rsidRPr="00CD0DB3">
        <w:rPr>
          <w:color w:val="000000" w:themeColor="text1"/>
        </w:rPr>
        <w:t xml:space="preserve"> adverse </w:t>
      </w:r>
      <w:proofErr w:type="spellStart"/>
      <w:r w:rsidRPr="00CD0DB3">
        <w:rPr>
          <w:color w:val="000000" w:themeColor="text1"/>
        </w:rPr>
        <w:t>effects</w:t>
      </w:r>
      <w:proofErr w:type="spellEnd"/>
      <w:r w:rsidRPr="00CD0DB3">
        <w:rPr>
          <w:color w:val="000000" w:themeColor="text1"/>
        </w:rPr>
        <w:t>.</w:t>
      </w:r>
    </w:p>
    <w:p w14:paraId="564E5EF5" w14:textId="77777777" w:rsidR="00CD0DB3" w:rsidRPr="00CD0DB3" w:rsidRDefault="00CD0DB3" w:rsidP="004B3794">
      <w:pPr>
        <w:spacing w:line="360" w:lineRule="auto"/>
        <w:rPr>
          <w:color w:val="FF0000"/>
        </w:rPr>
      </w:pPr>
    </w:p>
    <w:p w14:paraId="179DBBCA" w14:textId="77777777" w:rsidR="00CD0DB3" w:rsidRDefault="00CD0DB3" w:rsidP="004B3794">
      <w:pPr>
        <w:spacing w:line="360" w:lineRule="auto"/>
        <w:rPr>
          <w:color w:val="000000" w:themeColor="text1"/>
        </w:rPr>
      </w:pPr>
      <w:r w:rsidRPr="00CD0DB3">
        <w:rPr>
          <w:color w:val="000000" w:themeColor="text1"/>
        </w:rPr>
        <w:t xml:space="preserve">In </w:t>
      </w:r>
      <w:proofErr w:type="spellStart"/>
      <w:r w:rsidRPr="00CD0DB3">
        <w:rPr>
          <w:color w:val="000000" w:themeColor="text1"/>
        </w:rPr>
        <w:t>contrast</w:t>
      </w:r>
      <w:proofErr w:type="spellEnd"/>
      <w:r w:rsidRPr="00CD0DB3">
        <w:rPr>
          <w:color w:val="000000" w:themeColor="text1"/>
        </w:rPr>
        <w:t xml:space="preserve">, no </w:t>
      </w:r>
      <w:proofErr w:type="spellStart"/>
      <w:r w:rsidRPr="00CD0DB3">
        <w:rPr>
          <w:color w:val="000000" w:themeColor="text1"/>
        </w:rPr>
        <w:t>significant</w:t>
      </w:r>
      <w:proofErr w:type="spellEnd"/>
      <w:r w:rsidRPr="00CD0DB3">
        <w:rPr>
          <w:color w:val="000000" w:themeColor="text1"/>
        </w:rPr>
        <w:t xml:space="preserve"> dose–</w:t>
      </w:r>
      <w:proofErr w:type="spellStart"/>
      <w:r w:rsidRPr="00CD0DB3">
        <w:rPr>
          <w:color w:val="000000" w:themeColor="text1"/>
        </w:rPr>
        <w:t>response</w:t>
      </w:r>
      <w:proofErr w:type="spellEnd"/>
      <w:r w:rsidRPr="00CD0DB3">
        <w:rPr>
          <w:color w:val="000000" w:themeColor="text1"/>
        </w:rPr>
        <w:t xml:space="preserve"> </w:t>
      </w:r>
      <w:proofErr w:type="spellStart"/>
      <w:r w:rsidRPr="00CD0DB3">
        <w:rPr>
          <w:color w:val="000000" w:themeColor="text1"/>
        </w:rPr>
        <w:t>relationship</w:t>
      </w:r>
      <w:proofErr w:type="spellEnd"/>
      <w:r w:rsidRPr="00CD0DB3">
        <w:rPr>
          <w:color w:val="000000" w:themeColor="text1"/>
        </w:rPr>
        <w:t xml:space="preserve"> </w:t>
      </w:r>
      <w:proofErr w:type="spellStart"/>
      <w:r w:rsidRPr="00CD0DB3">
        <w:rPr>
          <w:color w:val="000000" w:themeColor="text1"/>
        </w:rPr>
        <w:t>was</w:t>
      </w:r>
      <w:proofErr w:type="spellEnd"/>
      <w:r w:rsidRPr="00CD0DB3">
        <w:rPr>
          <w:color w:val="000000" w:themeColor="text1"/>
        </w:rPr>
        <w:t xml:space="preserve"> </w:t>
      </w:r>
      <w:proofErr w:type="spellStart"/>
      <w:r w:rsidRPr="00CD0DB3">
        <w:rPr>
          <w:color w:val="000000" w:themeColor="text1"/>
        </w:rPr>
        <w:t>observed</w:t>
      </w:r>
      <w:proofErr w:type="spellEnd"/>
      <w:r w:rsidRPr="00CD0DB3">
        <w:rPr>
          <w:color w:val="000000" w:themeColor="text1"/>
        </w:rPr>
        <w:t xml:space="preserve"> for MDMA at follow-up (QM = 1.11, p = 0.29), </w:t>
      </w:r>
      <w:proofErr w:type="spellStart"/>
      <w:r w:rsidRPr="00CD0DB3">
        <w:rPr>
          <w:color w:val="000000" w:themeColor="text1"/>
        </w:rPr>
        <w:t>indicating</w:t>
      </w:r>
      <w:proofErr w:type="spellEnd"/>
      <w:r w:rsidRPr="00CD0DB3">
        <w:rPr>
          <w:color w:val="000000" w:themeColor="text1"/>
        </w:rPr>
        <w:t xml:space="preserve"> </w:t>
      </w:r>
      <w:proofErr w:type="spellStart"/>
      <w:r w:rsidRPr="00CD0DB3">
        <w:rPr>
          <w:color w:val="000000" w:themeColor="text1"/>
        </w:rPr>
        <w:t>that</w:t>
      </w:r>
      <w:proofErr w:type="spellEnd"/>
      <w:r w:rsidRPr="00CD0DB3">
        <w:rPr>
          <w:color w:val="000000" w:themeColor="text1"/>
        </w:rPr>
        <w:t xml:space="preserve"> dose-</w:t>
      </w:r>
      <w:proofErr w:type="spellStart"/>
      <w:r w:rsidRPr="00CD0DB3">
        <w:rPr>
          <w:color w:val="000000" w:themeColor="text1"/>
        </w:rPr>
        <w:t>dependent</w:t>
      </w:r>
      <w:proofErr w:type="spellEnd"/>
      <w:r w:rsidRPr="00CD0DB3">
        <w:rPr>
          <w:color w:val="000000" w:themeColor="text1"/>
        </w:rPr>
        <w:t xml:space="preserve"> adverse </w:t>
      </w:r>
      <w:proofErr w:type="spellStart"/>
      <w:r w:rsidRPr="00CD0DB3">
        <w:rPr>
          <w:color w:val="000000" w:themeColor="text1"/>
        </w:rPr>
        <w:t>events</w:t>
      </w:r>
      <w:proofErr w:type="spellEnd"/>
      <w:r w:rsidRPr="00CD0DB3">
        <w:rPr>
          <w:color w:val="000000" w:themeColor="text1"/>
        </w:rPr>
        <w:t xml:space="preserve"> </w:t>
      </w:r>
      <w:proofErr w:type="spellStart"/>
      <w:r w:rsidRPr="00CD0DB3">
        <w:rPr>
          <w:color w:val="000000" w:themeColor="text1"/>
        </w:rPr>
        <w:t>were</w:t>
      </w:r>
      <w:proofErr w:type="spellEnd"/>
      <w:r w:rsidRPr="00CD0DB3">
        <w:rPr>
          <w:color w:val="000000" w:themeColor="text1"/>
        </w:rPr>
        <w:t xml:space="preserve"> </w:t>
      </w:r>
      <w:proofErr w:type="spellStart"/>
      <w:r w:rsidRPr="00CD0DB3">
        <w:rPr>
          <w:color w:val="000000" w:themeColor="text1"/>
        </w:rPr>
        <w:t>confined</w:t>
      </w:r>
      <w:proofErr w:type="spellEnd"/>
      <w:r w:rsidRPr="00CD0DB3">
        <w:rPr>
          <w:color w:val="000000" w:themeColor="text1"/>
        </w:rPr>
        <w:t xml:space="preserve"> to the acute </w:t>
      </w:r>
      <w:proofErr w:type="spellStart"/>
      <w:r w:rsidRPr="00CD0DB3">
        <w:rPr>
          <w:color w:val="000000" w:themeColor="text1"/>
        </w:rPr>
        <w:t>dosing</w:t>
      </w:r>
      <w:proofErr w:type="spellEnd"/>
      <w:r w:rsidRPr="00CD0DB3">
        <w:rPr>
          <w:color w:val="000000" w:themeColor="text1"/>
        </w:rPr>
        <w:t xml:space="preserve"> session.</w:t>
      </w:r>
    </w:p>
    <w:p w14:paraId="47887832" w14:textId="77777777" w:rsidR="00682EED" w:rsidRPr="00DD280F" w:rsidRDefault="00682EED" w:rsidP="004B3794">
      <w:pPr>
        <w:spacing w:line="360" w:lineRule="auto"/>
        <w:rPr>
          <w:lang w:val="en-US"/>
        </w:rPr>
      </w:pPr>
      <w:bookmarkStart w:id="10" w:name="_y7ccgdgrfo2r" w:colFirst="0" w:colLast="0"/>
      <w:bookmarkEnd w:id="10"/>
    </w:p>
    <w:p w14:paraId="5FE1F69D" w14:textId="4A6AEF1F" w:rsidR="00682EED" w:rsidRPr="00DD280F" w:rsidRDefault="00682EED" w:rsidP="004B3794">
      <w:pPr>
        <w:spacing w:line="360" w:lineRule="auto"/>
        <w:rPr>
          <w:b/>
          <w:bCs/>
          <w:lang w:val="en-US"/>
        </w:rPr>
      </w:pPr>
      <w:r w:rsidRPr="00DD280F">
        <w:rPr>
          <w:b/>
          <w:bCs/>
          <w:lang w:val="en-US"/>
        </w:rPr>
        <w:t xml:space="preserve">3.3 </w:t>
      </w:r>
      <w:r w:rsidR="005C4C5C">
        <w:rPr>
          <w:b/>
          <w:bCs/>
          <w:lang w:val="en-US"/>
        </w:rPr>
        <w:t>D</w:t>
      </w:r>
      <w:r w:rsidRPr="00DD280F">
        <w:rPr>
          <w:b/>
          <w:bCs/>
          <w:lang w:val="en-US"/>
        </w:rPr>
        <w:t xml:space="preserve">ose–response </w:t>
      </w:r>
      <w:r w:rsidR="005C4C5C">
        <w:rPr>
          <w:b/>
          <w:bCs/>
          <w:lang w:val="en-US"/>
        </w:rPr>
        <w:t xml:space="preserve">association for </w:t>
      </w:r>
      <w:r w:rsidR="00A458D0">
        <w:rPr>
          <w:b/>
          <w:bCs/>
          <w:lang w:val="en-US"/>
        </w:rPr>
        <w:t xml:space="preserve">individual </w:t>
      </w:r>
      <w:r w:rsidRPr="00DD280F">
        <w:rPr>
          <w:b/>
          <w:bCs/>
          <w:lang w:val="en-US"/>
        </w:rPr>
        <w:t>adverse event</w:t>
      </w:r>
    </w:p>
    <w:p w14:paraId="59FAB682" w14:textId="2B8606D9" w:rsidR="00682EED" w:rsidRPr="00DD280F" w:rsidRDefault="00682EED" w:rsidP="004B3794">
      <w:pPr>
        <w:pStyle w:val="p1"/>
        <w:spacing w:before="0" w:beforeAutospacing="0" w:after="0" w:afterAutospacing="0" w:line="360" w:lineRule="auto"/>
        <w:rPr>
          <w:lang w:val="en-US"/>
        </w:rPr>
      </w:pPr>
      <w:r w:rsidRPr="00DD280F">
        <w:rPr>
          <w:lang w:val="en-US"/>
        </w:rPr>
        <w:t>Session-specific linear meta-regressions were conducted for individual AEs to assess dose-dependent gradients during the dosing session (Fig</w:t>
      </w:r>
      <w:r w:rsidR="000830F2">
        <w:rPr>
          <w:lang w:val="en-US"/>
        </w:rPr>
        <w:t>ure</w:t>
      </w:r>
      <w:r w:rsidRPr="00DD280F">
        <w:rPr>
          <w:lang w:val="en-US"/>
        </w:rPr>
        <w:t xml:space="preserve"> </w:t>
      </w:r>
      <w:r w:rsidR="004B3794" w:rsidRPr="00DD280F">
        <w:rPr>
          <w:lang w:val="en-US"/>
        </w:rPr>
        <w:t>2</w:t>
      </w:r>
      <w:r w:rsidR="004B3794">
        <w:rPr>
          <w:lang w:val="en-US"/>
        </w:rPr>
        <w:t>;</w:t>
      </w:r>
      <w:r w:rsidR="00B83814">
        <w:rPr>
          <w:lang w:val="en-US"/>
        </w:rPr>
        <w:t xml:space="preserve"> Table 3</w:t>
      </w:r>
      <w:r w:rsidRPr="00DD280F">
        <w:rPr>
          <w:lang w:val="en-US"/>
        </w:rPr>
        <w:t xml:space="preserve">). </w:t>
      </w:r>
      <w:r w:rsidR="00FC75D4">
        <w:rPr>
          <w:lang w:val="en-US"/>
        </w:rPr>
        <w:t xml:space="preserve">Different </w:t>
      </w:r>
      <w:r w:rsidRPr="00DD280F">
        <w:rPr>
          <w:lang w:val="en-US"/>
        </w:rPr>
        <w:t>AE-specific slopes reached nominal significance (p &lt; 0.05); however,</w:t>
      </w:r>
      <w:r w:rsidRPr="00FC75D4">
        <w:rPr>
          <w:lang w:val="en-US"/>
        </w:rPr>
        <w:t xml:space="preserve"> </w:t>
      </w:r>
      <w:r w:rsidRPr="00CD0DB3">
        <w:rPr>
          <w:rStyle w:val="s1"/>
          <w:lang w:val="en-US"/>
        </w:rPr>
        <w:t>none remained significant after 5% false discovery rate correction</w:t>
      </w:r>
      <w:r w:rsidRPr="00FC75D4">
        <w:rPr>
          <w:lang w:val="en-US"/>
        </w:rPr>
        <w:t>,</w:t>
      </w:r>
      <w:r w:rsidRPr="00DD280F">
        <w:rPr>
          <w:lang w:val="en-US"/>
        </w:rPr>
        <w:t xml:space="preserve"> indicating that AE-level dose–response signals were weak and did not withstand multiplicity control.</w:t>
      </w:r>
    </w:p>
    <w:p w14:paraId="74A2A6DF" w14:textId="73347697" w:rsidR="00682EED" w:rsidRPr="00DD280F" w:rsidRDefault="00682EED" w:rsidP="004B3794">
      <w:pPr>
        <w:pStyle w:val="p1"/>
        <w:spacing w:before="0" w:beforeAutospacing="0" w:after="0" w:afterAutospacing="0" w:line="360" w:lineRule="auto"/>
        <w:rPr>
          <w:lang w:val="en-US"/>
        </w:rPr>
      </w:pPr>
      <w:r w:rsidRPr="00DD280F">
        <w:rPr>
          <w:lang w:val="en-US"/>
        </w:rPr>
        <w:lastRenderedPageBreak/>
        <w:t xml:space="preserve">For </w:t>
      </w:r>
      <w:r w:rsidRPr="00DD280F">
        <w:rPr>
          <w:rStyle w:val="s1"/>
          <w:lang w:val="en-US"/>
        </w:rPr>
        <w:t>LSD</w:t>
      </w:r>
      <w:r w:rsidRPr="00DD280F">
        <w:rPr>
          <w:lang w:val="en-US"/>
        </w:rPr>
        <w:t>, nominal positive dose–response associations were observed for nausea, headache, and visual illusions (p &lt; 0.05, uncorrected), with increasing odds across the 50–200 µg range. These effects did not survive correction. No cognitive or affective AEs showed reliable dose gradients.</w:t>
      </w:r>
    </w:p>
    <w:p w14:paraId="5CFD13DB" w14:textId="04F53249" w:rsidR="00682EED" w:rsidRPr="00CD0DB3" w:rsidRDefault="00682EED" w:rsidP="004B3794">
      <w:pPr>
        <w:pStyle w:val="p1"/>
        <w:spacing w:before="0" w:beforeAutospacing="0" w:after="0" w:afterAutospacing="0" w:line="360" w:lineRule="auto"/>
        <w:rPr>
          <w:lang w:val="en-US"/>
        </w:rPr>
      </w:pPr>
      <w:r w:rsidRPr="00DD280F">
        <w:rPr>
          <w:lang w:val="en-US"/>
        </w:rPr>
        <w:t xml:space="preserve">For </w:t>
      </w:r>
      <w:r w:rsidRPr="00DD280F">
        <w:rPr>
          <w:rStyle w:val="s1"/>
          <w:lang w:val="en-US"/>
        </w:rPr>
        <w:t>MDMA</w:t>
      </w:r>
      <w:r w:rsidRPr="00DD280F">
        <w:rPr>
          <w:lang w:val="en-US"/>
        </w:rPr>
        <w:t xml:space="preserve">, headache and dizziness exhibited nominally significant positive dose–response relationships (p &lt; 0.05, uncorrected) across the 50–125 mg range, consistent with known sympathomimetic and vestibular effects. </w:t>
      </w:r>
      <w:r w:rsidRPr="00CD0DB3">
        <w:rPr>
          <w:lang w:val="en-US"/>
        </w:rPr>
        <w:t>No MDMA-related AE remained significant after correction.</w:t>
      </w:r>
    </w:p>
    <w:p w14:paraId="49F277AA" w14:textId="0897E098" w:rsidR="00682EED" w:rsidRPr="00CD0DB3" w:rsidRDefault="00682EED" w:rsidP="004B3794">
      <w:pPr>
        <w:pStyle w:val="p1"/>
        <w:spacing w:before="0" w:beforeAutospacing="0" w:after="0" w:afterAutospacing="0" w:line="360" w:lineRule="auto"/>
        <w:rPr>
          <w:lang w:val="en-US"/>
        </w:rPr>
      </w:pPr>
      <w:r w:rsidRPr="00CD0DB3">
        <w:rPr>
          <w:lang w:val="en-US"/>
        </w:rPr>
        <w:t xml:space="preserve">For </w:t>
      </w:r>
      <w:r w:rsidRPr="00CD0DB3">
        <w:rPr>
          <w:rStyle w:val="s1"/>
          <w:lang w:val="en-US"/>
        </w:rPr>
        <w:t>psilocybin</w:t>
      </w:r>
      <w:r w:rsidRPr="00CD0DB3">
        <w:rPr>
          <w:lang w:val="en-US"/>
        </w:rPr>
        <w:t>, fatigue (p &lt; 0.001, uncorrected) and hypertension or blood pressure elevation (p &lt; 0.05, uncorrected) showed nominal dose–response associations; however, neither survived correction.</w:t>
      </w:r>
    </w:p>
    <w:p w14:paraId="66B8C88F" w14:textId="0D3D5DCF" w:rsidR="00FC19AC" w:rsidRPr="00FC19AC" w:rsidRDefault="00682EED" w:rsidP="004B3794">
      <w:pPr>
        <w:pStyle w:val="p1"/>
        <w:spacing w:before="0" w:beforeAutospacing="0" w:after="0" w:afterAutospacing="0" w:line="360" w:lineRule="auto"/>
        <w:rPr>
          <w:lang w:val="en-US" w:eastAsia="en-US"/>
        </w:rPr>
      </w:pPr>
      <w:r w:rsidRPr="00CD0DB3">
        <w:rPr>
          <w:lang w:val="en-US"/>
        </w:rPr>
        <w:t xml:space="preserve">AE-level dose–response analyses were not </w:t>
      </w:r>
      <w:r w:rsidR="00EA4683">
        <w:rPr>
          <w:lang w:val="en-US"/>
        </w:rPr>
        <w:t xml:space="preserve">possible </w:t>
      </w:r>
      <w:r w:rsidRPr="00CD0DB3">
        <w:rPr>
          <w:lang w:val="en-US"/>
        </w:rPr>
        <w:t xml:space="preserve">for </w:t>
      </w:r>
      <w:r w:rsidRPr="00EA4683">
        <w:rPr>
          <w:rStyle w:val="s1"/>
          <w:lang w:val="en-US"/>
        </w:rPr>
        <w:t>ayahuasca</w:t>
      </w:r>
      <w:r w:rsidRPr="00EA4683">
        <w:rPr>
          <w:lang w:val="en-US"/>
        </w:rPr>
        <w:t xml:space="preserve"> due to insufficient dose variability.</w:t>
      </w:r>
    </w:p>
    <w:p w14:paraId="463E2C28" w14:textId="77777777" w:rsidR="006E710C" w:rsidRPr="005D2EA3" w:rsidRDefault="006E710C" w:rsidP="00CD0DB3">
      <w:pPr>
        <w:rPr>
          <w:lang w:val="en-US"/>
        </w:rPr>
      </w:pPr>
      <w:bookmarkStart w:id="11" w:name="_7g85dwqubkng" w:colFirst="0" w:colLast="0"/>
      <w:bookmarkStart w:id="12" w:name="_yvo3snxf01do" w:colFirst="0" w:colLast="0"/>
      <w:bookmarkEnd w:id="11"/>
      <w:bookmarkEnd w:id="12"/>
    </w:p>
    <w:p w14:paraId="1DE17021" w14:textId="13A3BA4D" w:rsidR="000829E4" w:rsidRPr="007A17FC" w:rsidRDefault="00FC19AC" w:rsidP="00FC19AC">
      <w:pPr>
        <w:spacing w:line="360" w:lineRule="auto"/>
        <w:rPr>
          <w:b/>
          <w:bCs/>
          <w:lang w:val="en-US"/>
        </w:rPr>
      </w:pPr>
      <w:r>
        <w:rPr>
          <w:b/>
          <w:bCs/>
          <w:lang w:val="en-US"/>
        </w:rPr>
        <w:t xml:space="preserve">3.5 </w:t>
      </w:r>
      <w:r w:rsidR="00542108" w:rsidRPr="007A17FC">
        <w:rPr>
          <w:b/>
          <w:bCs/>
          <w:lang w:val="en-US"/>
        </w:rPr>
        <w:t>Sensitivity analyses</w:t>
      </w:r>
    </w:p>
    <w:p w14:paraId="1C491952" w14:textId="06447D55" w:rsidR="00FC19AC" w:rsidRPr="00C43C8F" w:rsidRDefault="00542108" w:rsidP="00FC19AC">
      <w:pPr>
        <w:spacing w:line="360" w:lineRule="auto"/>
        <w:rPr>
          <w:lang w:val="en-US"/>
        </w:rPr>
      </w:pPr>
      <w:r w:rsidRPr="007A17FC">
        <w:rPr>
          <w:lang w:val="en-US"/>
        </w:rPr>
        <w:t xml:space="preserve">Global </w:t>
      </w:r>
      <w:r w:rsidR="00F403F8">
        <w:rPr>
          <w:lang w:val="en-US"/>
        </w:rPr>
        <w:t>substance</w:t>
      </w:r>
      <w:r w:rsidRPr="007A17FC">
        <w:rPr>
          <w:lang w:val="en-US"/>
        </w:rPr>
        <w:t>-level dose–response findings were robust to model specification, with concordant linear and spline results during the acute session and at follow-up</w:t>
      </w:r>
      <w:r w:rsidR="003037B4">
        <w:rPr>
          <w:lang w:val="en-US"/>
        </w:rPr>
        <w:t xml:space="preserve"> only for LSD</w:t>
      </w:r>
      <w:r w:rsidRPr="007A17FC">
        <w:rPr>
          <w:lang w:val="en-US"/>
        </w:rPr>
        <w:t xml:space="preserve"> (Supplementary Table </w:t>
      </w:r>
      <w:r w:rsidR="00FC19AC">
        <w:rPr>
          <w:lang w:val="en-US"/>
        </w:rPr>
        <w:t>S1</w:t>
      </w:r>
      <w:r w:rsidRPr="007A17FC">
        <w:rPr>
          <w:lang w:val="en-US"/>
        </w:rPr>
        <w:t xml:space="preserve">). At the adverse-event level, dose–response signals were sparse and largely confined to the session window, with no AE-specific signals detected at follow-up. Where present, AE-level effects were generally consistent across specifications or detectable only under linear or spline models, consistent with acute and, in some cases, non-linear dose escalation (Supplementary Table </w:t>
      </w:r>
      <w:r w:rsidR="00FC19AC">
        <w:rPr>
          <w:lang w:val="en-US"/>
        </w:rPr>
        <w:t>S2</w:t>
      </w:r>
      <w:r w:rsidRPr="007A17FC">
        <w:rPr>
          <w:lang w:val="en-US"/>
        </w:rPr>
        <w:t>).</w:t>
      </w:r>
      <w:r w:rsidRPr="007A17FC">
        <w:rPr>
          <w:lang w:val="en-US"/>
        </w:rPr>
        <w:br w:type="page"/>
      </w:r>
      <w:r w:rsidR="00682EED" w:rsidRPr="00FC19AC">
        <w:rPr>
          <w:b/>
          <w:bCs/>
          <w:sz w:val="32"/>
          <w:szCs w:val="32"/>
          <w:lang w:val="en-US"/>
        </w:rPr>
        <w:lastRenderedPageBreak/>
        <w:t>4. Discussion</w:t>
      </w:r>
    </w:p>
    <w:p w14:paraId="49291AB3" w14:textId="3DE20EA0" w:rsidR="00C43C8F" w:rsidRPr="00C43C8F" w:rsidRDefault="00C43C8F" w:rsidP="00FC19AC">
      <w:pPr>
        <w:pStyle w:val="Titre3"/>
        <w:rPr>
          <w:lang w:val="en-US"/>
        </w:rPr>
      </w:pPr>
      <w:r w:rsidRPr="00C43C8F">
        <w:rPr>
          <w:lang w:val="en-US"/>
        </w:rPr>
        <w:t>4.1 Principal findings</w:t>
      </w:r>
    </w:p>
    <w:p w14:paraId="09EF2E17" w14:textId="10B10C4C" w:rsidR="004B3794" w:rsidRDefault="004B3794" w:rsidP="00FC19AC">
      <w:pPr>
        <w:pStyle w:val="p3"/>
        <w:spacing w:before="0" w:beforeAutospacing="0" w:after="0" w:afterAutospacing="0" w:line="360" w:lineRule="auto"/>
        <w:rPr>
          <w:lang w:val="en-US"/>
        </w:rPr>
      </w:pPr>
      <w:r w:rsidRPr="005C09A1">
        <w:rPr>
          <w:lang w:val="en-US"/>
        </w:rPr>
        <w:t>To our knowledge, this study provides the first cross-substance dose–response meta-analysis of adverse events (AEs) in psychedelic-assisted therapy, synthesizing data from 28 randomized controlled trials (1,480 participants) across five psychiatric diagnostic categories (PTSD, major depressive disorder, anxiety disorders, alcohol use disorder, and ADHD), thereby providing a transdiagnostic safety framework.</w:t>
      </w:r>
    </w:p>
    <w:p w14:paraId="6D29D7D9" w14:textId="018970BC" w:rsidR="00FC19AC" w:rsidRPr="00FC19AC" w:rsidRDefault="00FC19AC" w:rsidP="00FC19AC">
      <w:pPr>
        <w:pStyle w:val="p3"/>
        <w:spacing w:line="360" w:lineRule="auto"/>
        <w:rPr>
          <w:lang w:val="en-US"/>
        </w:rPr>
      </w:pPr>
      <w:r w:rsidRPr="00FC19AC">
        <w:rPr>
          <w:lang w:val="en-US"/>
        </w:rPr>
        <w:t xml:space="preserve">Three principal findings emerge. First, </w:t>
      </w:r>
      <w:proofErr w:type="gramStart"/>
      <w:r w:rsidRPr="00FC19AC">
        <w:rPr>
          <w:lang w:val="en-US"/>
        </w:rPr>
        <w:t>overall</w:t>
      </w:r>
      <w:proofErr w:type="gramEnd"/>
      <w:r w:rsidRPr="00FC19AC">
        <w:rPr>
          <w:lang w:val="en-US"/>
        </w:rPr>
        <w:t xml:space="preserve"> AE incidence during dosing sessions shows a significant dose–response relationship for LSD, MDMA, and psilocybin at the global level. Second, the qualitative profiles of adverse events differ markedly between molecules and are primarily defined by pooled drug–control contrasts rather than by dose scaling. Third, dose-related AE risk is largely confined to the acute dosing session</w:t>
      </w:r>
    </w:p>
    <w:p w14:paraId="0CFF9427" w14:textId="77777777" w:rsidR="003037B4" w:rsidRPr="003037B4" w:rsidRDefault="003037B4" w:rsidP="003037B4">
      <w:pPr>
        <w:pStyle w:val="p3"/>
        <w:spacing w:line="360" w:lineRule="auto"/>
        <w:rPr>
          <w:lang w:val="en-US"/>
        </w:rPr>
      </w:pPr>
      <w:r w:rsidRPr="003037B4">
        <w:rPr>
          <w:lang w:val="en-US"/>
        </w:rPr>
        <w:t>Global dose–response models were estimated separately for each molecule (LSD, MDMA, and psilocybin), rather than pooling substances into a single cross-molecule effect. Within a given molecule, a significant global dose–response signal reflects an aggregate increase in adverse-event burden when information is integrated across a broad range of heterogeneous events. Importantly, such a global association may be observed even when no individual adverse event remains statistically significant after correction for multiple testing in AE-specific analyses. This pattern suggests that dose-related risk is distributed across multiple adverse-event domains, rather than being driven by a single dominant or highly dose-sensitive outcome.</w:t>
      </w:r>
    </w:p>
    <w:p w14:paraId="53D3B053" w14:textId="03644E49" w:rsidR="00C43C8F" w:rsidRDefault="003037B4" w:rsidP="00FC19AC">
      <w:pPr>
        <w:pStyle w:val="p3"/>
        <w:spacing w:before="0" w:beforeAutospacing="0" w:after="0" w:afterAutospacing="0" w:line="360" w:lineRule="auto"/>
        <w:rPr>
          <w:lang w:val="en-US"/>
        </w:rPr>
      </w:pPr>
      <w:r>
        <w:rPr>
          <w:lang w:val="en-US"/>
        </w:rPr>
        <w:t>Spline</w:t>
      </w:r>
      <w:r w:rsidR="00C43C8F" w:rsidRPr="00CD0DB3">
        <w:rPr>
          <w:lang w:val="en-US"/>
        </w:rPr>
        <w:t xml:space="preserve">-based models revealed substance-specific non-linear patterns </w:t>
      </w:r>
      <w:r w:rsidR="004B3794">
        <w:rPr>
          <w:lang w:val="en-US"/>
        </w:rPr>
        <w:t xml:space="preserve">that were </w:t>
      </w:r>
      <w:r w:rsidR="00C43C8F" w:rsidRPr="00CD0DB3">
        <w:rPr>
          <w:lang w:val="en-US"/>
        </w:rPr>
        <w:t>not fully captured by linear specifications. For LSD, the dose–AE relationship was monotonic, with a progressive increase in AE burden across the studied dose range, consistent with cumulative serotonergic and perceptual effects. For MDMA, AE incidence increased steeply at moderate doses and then plateaued or fluctuated at higher doses, a pattern that should be interpreted cautiously given sparser data at the upper dose range and potential extrapolation effects.</w:t>
      </w:r>
      <w:r w:rsidR="004B3794">
        <w:rPr>
          <w:lang w:val="en-US"/>
        </w:rPr>
        <w:t xml:space="preserve"> </w:t>
      </w:r>
      <w:r w:rsidR="00C43C8F" w:rsidRPr="00CD0DB3">
        <w:rPr>
          <w:lang w:val="en-US"/>
        </w:rPr>
        <w:t xml:space="preserve">In contrast, psilocybin exhibited a distinct inverted U-shaped dose–response profile, with AE incidence peaking at intermediate doses (approximately 20–30 mg) and declining at higher doses. This pattern </w:t>
      </w:r>
      <w:r w:rsidR="00C43C8F" w:rsidRPr="00CD0DB3">
        <w:rPr>
          <w:lang w:val="en-US"/>
        </w:rPr>
        <w:lastRenderedPageBreak/>
        <w:t xml:space="preserve">emerged within a dose range well represented in the underlying trials, reducing the likelihood that it reflects artefactual spline </w:t>
      </w:r>
      <w:proofErr w:type="spellStart"/>
      <w:r w:rsidR="00C43C8F" w:rsidRPr="00CD0DB3">
        <w:rPr>
          <w:lang w:val="en-US"/>
        </w:rPr>
        <w:t>behaviour</w:t>
      </w:r>
      <w:proofErr w:type="spellEnd"/>
      <w:r w:rsidR="00C43C8F" w:rsidRPr="00CD0DB3">
        <w:rPr>
          <w:lang w:val="en-US"/>
        </w:rPr>
        <w:t>.</w:t>
      </w:r>
    </w:p>
    <w:p w14:paraId="09121A60" w14:textId="77777777" w:rsidR="006E710C" w:rsidRDefault="00FC19AC" w:rsidP="006E710C">
      <w:pPr>
        <w:pStyle w:val="Titre4"/>
        <w:keepNext w:val="0"/>
        <w:keepLines w:val="0"/>
        <w:spacing w:before="240" w:after="40"/>
        <w:rPr>
          <w:b/>
          <w:bCs/>
          <w:noProof/>
          <w:color w:val="000000" w:themeColor="text1"/>
          <w:sz w:val="22"/>
          <w:szCs w:val="22"/>
          <w:lang w:val="en-US"/>
        </w:rPr>
      </w:pPr>
      <w:r w:rsidRPr="006E710C">
        <w:rPr>
          <w:color w:val="000000" w:themeColor="text1"/>
          <w:lang w:val="en-US"/>
        </w:rPr>
        <w:t xml:space="preserve">Importantly, global dose–response models capture changes in overall AE burden with increasing dose but do not specify which adverse events define the qualitative safety profile of each compound. </w:t>
      </w:r>
      <w:r w:rsidR="006E710C" w:rsidRPr="00FC19AC">
        <w:rPr>
          <w:color w:val="000000" w:themeColor="text1"/>
          <w:shd w:val="clear" w:color="auto" w:fill="FFFFFF" w:themeFill="background1"/>
          <w:lang w:val="en-US"/>
        </w:rPr>
        <w:t xml:space="preserve">Overall, AE-specific dose–response effects were not statistically robust after correction for multiple testing, suggesting that </w:t>
      </w:r>
      <w:r w:rsidR="006E710C" w:rsidRPr="00FC19AC">
        <w:rPr>
          <w:rStyle w:val="s1"/>
          <w:color w:val="000000" w:themeColor="text1"/>
          <w:shd w:val="clear" w:color="auto" w:fill="FFFFFF" w:themeFill="background1"/>
          <w:lang w:val="en-US"/>
        </w:rPr>
        <w:t>dose-dependent risk is more reliably detected at the global AE level than for individual adverse events</w:t>
      </w:r>
      <w:r w:rsidR="006E710C" w:rsidRPr="00FC19AC">
        <w:rPr>
          <w:color w:val="000000" w:themeColor="text1"/>
          <w:shd w:val="clear" w:color="auto" w:fill="FFFFFF" w:themeFill="background1"/>
          <w:lang w:val="en-US"/>
        </w:rPr>
        <w:t>, and that most AEs behave as threshold-dependent rather than strictly dose-proportional phenomena.</w:t>
      </w:r>
      <w:r w:rsidR="006E710C" w:rsidRPr="00FC19AC">
        <w:rPr>
          <w:b/>
          <w:bCs/>
          <w:noProof/>
          <w:color w:val="000000" w:themeColor="text1"/>
          <w:sz w:val="22"/>
          <w:szCs w:val="22"/>
          <w:lang w:val="en-US"/>
        </w:rPr>
        <w:t xml:space="preserve"> </w:t>
      </w:r>
    </w:p>
    <w:p w14:paraId="64737638" w14:textId="77777777" w:rsidR="00FC19AC" w:rsidRPr="00CD0DB3" w:rsidRDefault="00FC19AC" w:rsidP="00FC19AC">
      <w:pPr>
        <w:pStyle w:val="p3"/>
        <w:spacing w:before="0" w:beforeAutospacing="0" w:after="0" w:afterAutospacing="0" w:line="360" w:lineRule="auto"/>
        <w:rPr>
          <w:lang w:val="en-US"/>
        </w:rPr>
      </w:pPr>
    </w:p>
    <w:p w14:paraId="57AC75EB" w14:textId="68B45C01" w:rsidR="00FC19AC" w:rsidRDefault="00C43C8F" w:rsidP="00FC19AC">
      <w:pPr>
        <w:pStyle w:val="p3"/>
        <w:spacing w:before="0" w:beforeAutospacing="0" w:after="0" w:afterAutospacing="0" w:line="360" w:lineRule="auto"/>
        <w:rPr>
          <w:lang w:val="en-US"/>
        </w:rPr>
      </w:pPr>
      <w:r w:rsidRPr="00CD0DB3">
        <w:rPr>
          <w:lang w:val="en-US"/>
        </w:rPr>
        <w:t xml:space="preserve">When analyses were disaggregated at the AE-specific level, only a small subset of events showed nominal dose gradients, and none remained significant after correction for multiple testing. For LSD, nausea, headache, and visual illusions exhibited positive dose slopes, consistent with serotonergic gastrointestinal and perceptual mechanisms. MDMA showed dose-dependent increases in headache and dizziness, in line with its sympathomimetic profile. For psilocybin, fatigue and blood-pressure elevation demonstrated dose sensitivity, reflecting increasing physiological load. </w:t>
      </w:r>
      <w:r w:rsidR="00FC19AC" w:rsidRPr="00575EE5">
        <w:rPr>
          <w:lang w:val="en-US"/>
        </w:rPr>
        <w:t xml:space="preserve">In contrast, most psychological, affective, and perceptual AEs identified in pooled analyses did not scale reliably with dose. </w:t>
      </w:r>
      <w:r w:rsidR="00FC19AC" w:rsidRPr="00FC19AC">
        <w:t xml:space="preserve">This dissociation supports a </w:t>
      </w:r>
      <w:proofErr w:type="spellStart"/>
      <w:r w:rsidR="00FC19AC" w:rsidRPr="00FC19AC">
        <w:t>threshold</w:t>
      </w:r>
      <w:proofErr w:type="spellEnd"/>
      <w:r w:rsidR="00FC19AC" w:rsidRPr="00FC19AC">
        <w:t xml:space="preserve">-type model in </w:t>
      </w:r>
      <w:proofErr w:type="spellStart"/>
      <w:r w:rsidR="00FC19AC" w:rsidRPr="00FC19AC">
        <w:t>which</w:t>
      </w:r>
      <w:proofErr w:type="spellEnd"/>
      <w:r w:rsidR="00FC19AC" w:rsidRPr="00FC19AC">
        <w:t xml:space="preserve"> </w:t>
      </w:r>
      <w:proofErr w:type="spellStart"/>
      <w:r w:rsidR="00FC19AC" w:rsidRPr="00FC19AC">
        <w:t>many</w:t>
      </w:r>
      <w:proofErr w:type="spellEnd"/>
      <w:r w:rsidR="00FC19AC" w:rsidRPr="00FC19AC">
        <w:t xml:space="preserve"> subjective adverse </w:t>
      </w:r>
      <w:proofErr w:type="spellStart"/>
      <w:r w:rsidR="00FC19AC" w:rsidRPr="00FC19AC">
        <w:t>experiences</w:t>
      </w:r>
      <w:proofErr w:type="spellEnd"/>
      <w:r w:rsidR="00FC19AC" w:rsidRPr="00FC19AC">
        <w:t xml:space="preserve"> </w:t>
      </w:r>
      <w:proofErr w:type="spellStart"/>
      <w:r w:rsidR="00FC19AC" w:rsidRPr="00FC19AC">
        <w:t>emerge</w:t>
      </w:r>
      <w:proofErr w:type="spellEnd"/>
      <w:r w:rsidR="00FC19AC" w:rsidRPr="00FC19AC">
        <w:t xml:space="preserve"> once psychoactive </w:t>
      </w:r>
      <w:proofErr w:type="spellStart"/>
      <w:r w:rsidR="00FC19AC" w:rsidRPr="00FC19AC">
        <w:t>exposure</w:t>
      </w:r>
      <w:proofErr w:type="spellEnd"/>
      <w:r w:rsidR="00FC19AC" w:rsidRPr="00FC19AC">
        <w:t xml:space="preserve"> </w:t>
      </w:r>
      <w:proofErr w:type="spellStart"/>
      <w:r w:rsidR="00FC19AC" w:rsidRPr="00FC19AC">
        <w:t>is</w:t>
      </w:r>
      <w:proofErr w:type="spellEnd"/>
      <w:r w:rsidR="00FC19AC" w:rsidRPr="00FC19AC">
        <w:t xml:space="preserve"> </w:t>
      </w:r>
      <w:proofErr w:type="spellStart"/>
      <w:r w:rsidR="00FC19AC" w:rsidRPr="00FC19AC">
        <w:t>reached</w:t>
      </w:r>
      <w:proofErr w:type="spellEnd"/>
      <w:r w:rsidR="00FC19AC" w:rsidRPr="00FC19AC">
        <w:t xml:space="preserve"> but do not </w:t>
      </w:r>
      <w:proofErr w:type="spellStart"/>
      <w:r w:rsidR="00FC19AC" w:rsidRPr="00FC19AC">
        <w:t>increase</w:t>
      </w:r>
      <w:proofErr w:type="spellEnd"/>
      <w:r w:rsidR="00FC19AC" w:rsidRPr="00FC19AC">
        <w:t xml:space="preserve"> </w:t>
      </w:r>
      <w:proofErr w:type="spellStart"/>
      <w:r w:rsidR="00FC19AC" w:rsidRPr="00FC19AC">
        <w:t>proportionally</w:t>
      </w:r>
      <w:proofErr w:type="spellEnd"/>
      <w:r w:rsidR="00FC19AC" w:rsidRPr="00FC19AC">
        <w:t xml:space="preserve"> </w:t>
      </w:r>
      <w:proofErr w:type="spellStart"/>
      <w:r w:rsidR="00FC19AC" w:rsidRPr="00FC19AC">
        <w:t>with</w:t>
      </w:r>
      <w:proofErr w:type="spellEnd"/>
      <w:r w:rsidR="00FC19AC" w:rsidRPr="00FC19AC">
        <w:t xml:space="preserve"> </w:t>
      </w:r>
      <w:proofErr w:type="spellStart"/>
      <w:r w:rsidR="00FC19AC" w:rsidRPr="00FC19AC">
        <w:t>further</w:t>
      </w:r>
      <w:proofErr w:type="spellEnd"/>
      <w:r w:rsidR="00FC19AC" w:rsidRPr="00FC19AC">
        <w:t xml:space="preserve"> dose </w:t>
      </w:r>
      <w:proofErr w:type="spellStart"/>
      <w:r w:rsidR="00FC19AC" w:rsidRPr="00FC19AC">
        <w:t>escalation</w:t>
      </w:r>
      <w:proofErr w:type="spellEnd"/>
      <w:r w:rsidR="00FC19AC" w:rsidRPr="00FC19AC">
        <w:t>.</w:t>
      </w:r>
    </w:p>
    <w:p w14:paraId="73396FA9" w14:textId="77777777" w:rsidR="00FC19AC" w:rsidRPr="00CD0DB3" w:rsidRDefault="00FC19AC" w:rsidP="00FC19AC">
      <w:pPr>
        <w:pStyle w:val="p3"/>
        <w:spacing w:before="0" w:beforeAutospacing="0" w:after="0" w:afterAutospacing="0" w:line="360" w:lineRule="auto"/>
        <w:rPr>
          <w:lang w:val="en-US"/>
        </w:rPr>
      </w:pPr>
    </w:p>
    <w:p w14:paraId="097A9C8E" w14:textId="77777777" w:rsidR="00C43C8F" w:rsidRDefault="00C43C8F" w:rsidP="00FC19AC">
      <w:pPr>
        <w:pStyle w:val="p3"/>
        <w:spacing w:before="0" w:beforeAutospacing="0" w:after="0" w:afterAutospacing="0" w:line="360" w:lineRule="auto"/>
        <w:rPr>
          <w:lang w:val="en-US"/>
        </w:rPr>
      </w:pPr>
      <w:r w:rsidRPr="00CD0DB3">
        <w:rPr>
          <w:lang w:val="en-US"/>
        </w:rPr>
        <w:t>Temporal analyses further indicated a biphasic safety profile for LSD and MDMA, the only compounds with available follow-up data. Dose–response relationships were evident during the dosing session but were not maintained at follow-up. For LSD, a modest negative follow-up slope was observed, likely reflecting resolution of acute effects rather than a protective effect of higher doses, while MDMA showed no residual dose dependence. Together, these findings indicate that dose-dependent AE burden is predominantly an acute phenomenon, providing reassurance regarding the absence of cumulative or delayed dose-related toxicity within the observation windows studied.</w:t>
      </w:r>
    </w:p>
    <w:p w14:paraId="418B8AAC" w14:textId="77777777" w:rsidR="00FC19AC" w:rsidRPr="00CD0DB3" w:rsidRDefault="00FC19AC" w:rsidP="00FC19AC">
      <w:pPr>
        <w:pStyle w:val="p3"/>
        <w:spacing w:before="0" w:beforeAutospacing="0" w:after="0" w:afterAutospacing="0" w:line="360" w:lineRule="auto"/>
        <w:rPr>
          <w:lang w:val="en-US"/>
        </w:rPr>
      </w:pPr>
    </w:p>
    <w:p w14:paraId="3D22E912" w14:textId="0E2B888E" w:rsidR="00C43C8F" w:rsidRPr="00CD0DB3" w:rsidRDefault="00C43C8F" w:rsidP="00FC19AC">
      <w:pPr>
        <w:pStyle w:val="Titre3"/>
        <w:spacing w:before="0" w:after="0"/>
        <w:rPr>
          <w:lang w:val="en-US"/>
        </w:rPr>
      </w:pPr>
      <w:r w:rsidRPr="00CD0DB3">
        <w:rPr>
          <w:lang w:val="en-US"/>
        </w:rPr>
        <w:lastRenderedPageBreak/>
        <w:t>4.2 Comparison with prior literature</w:t>
      </w:r>
    </w:p>
    <w:p w14:paraId="0C68624B" w14:textId="77777777" w:rsidR="00FC19AC" w:rsidRPr="003D39F1" w:rsidRDefault="00FC19AC" w:rsidP="003D39F1">
      <w:pPr>
        <w:spacing w:line="360" w:lineRule="auto"/>
        <w:rPr>
          <w:color w:val="0E0E0E"/>
          <w:lang w:val="en-US"/>
        </w:rPr>
      </w:pPr>
      <w:r w:rsidRPr="003D39F1">
        <w:rPr>
          <w:color w:val="0E0E0E"/>
          <w:lang w:val="en-US"/>
        </w:rPr>
        <w:t>Our results therefore reconcile two previously under-integrated dimensions of psychedelic safety: the qualitative adverse event profile associated with each compound, and the quantitative modulation of overall AE burden by dose. Prior literature has largely focused on the former, whereas our findings indicate that the latter operates primarily at a global rather than AE-specific level.</w:t>
      </w:r>
    </w:p>
    <w:p w14:paraId="4396B6CC" w14:textId="77777777" w:rsidR="00FC19AC" w:rsidRPr="003D39F1" w:rsidRDefault="00FC19AC" w:rsidP="003D39F1">
      <w:pPr>
        <w:pStyle w:val="p3"/>
        <w:spacing w:before="0" w:beforeAutospacing="0" w:after="0" w:afterAutospacing="0" w:line="360" w:lineRule="auto"/>
        <w:rPr>
          <w:lang w:val="en-US"/>
        </w:rPr>
      </w:pPr>
    </w:p>
    <w:p w14:paraId="5A19FD60" w14:textId="74E9ACCA" w:rsidR="00C43C8F" w:rsidRDefault="00C43C8F" w:rsidP="00FC19AC">
      <w:pPr>
        <w:pStyle w:val="p3"/>
        <w:spacing w:before="0" w:beforeAutospacing="0" w:after="0" w:afterAutospacing="0" w:line="360" w:lineRule="auto"/>
        <w:rPr>
          <w:lang w:val="en-US"/>
        </w:rPr>
      </w:pPr>
      <w:r w:rsidRPr="00CD0DB3">
        <w:rPr>
          <w:lang w:val="en-US"/>
        </w:rPr>
        <w:t>Previous reviews have described AE incidence in psychedelic trials but did not formally address dose–response relationships. Our findings extend this literature by demonstrating that only selected somatic AEs scale with dose, whereas many autonomic and psychological effects appear largely categorical. This distinction has practical implications for dose optimization, as some AEs may be mitigated by dose adjustment, while others are primarily determined by exposure versus non-exposure. The relative absence of psychological AEs with robust dose gradients further supports the view that experiential intensity is shaped more by set, setting, and individual vulnerability than by incremental dose escalation beyond a psychoactive threshold.</w:t>
      </w:r>
    </w:p>
    <w:p w14:paraId="55E5372C" w14:textId="648FB2D3" w:rsidR="00BD1039" w:rsidRDefault="007F6656" w:rsidP="00FC19AC">
      <w:pPr>
        <w:pStyle w:val="p3"/>
        <w:spacing w:before="0" w:beforeAutospacing="0" w:after="0" w:afterAutospacing="0" w:line="360" w:lineRule="auto"/>
        <w:rPr>
          <w:lang w:val="en-US"/>
        </w:rPr>
      </w:pPr>
      <w:r>
        <w:rPr>
          <w:lang w:val="en-US"/>
        </w:rPr>
        <w:t>Furthermore, we note th</w:t>
      </w:r>
      <w:r w:rsidR="00F6090C">
        <w:rPr>
          <w:lang w:val="en-US"/>
        </w:rPr>
        <w:t>at biphasic curves were distinct for psilocybin, compared to LSD and MDMA</w:t>
      </w:r>
      <w:r w:rsidR="00D71995">
        <w:rPr>
          <w:lang w:val="en-US"/>
        </w:rPr>
        <w:t xml:space="preserve"> during the acute session</w:t>
      </w:r>
      <w:r w:rsidR="00F6090C">
        <w:rPr>
          <w:lang w:val="en-US"/>
        </w:rPr>
        <w:t xml:space="preserve">. </w:t>
      </w:r>
      <w:r w:rsidR="00F6090C" w:rsidRPr="00F6090C">
        <w:rPr>
          <w:lang w:val="en-US"/>
        </w:rPr>
        <w:t>Specifically, lower to moderate doses were associated with higher rates of anxiety-related and distress-related</w:t>
      </w:r>
      <w:r w:rsidR="00D71995">
        <w:rPr>
          <w:lang w:val="en-US"/>
        </w:rPr>
        <w:t xml:space="preserve"> AE</w:t>
      </w:r>
      <w:r w:rsidR="00F6090C" w:rsidRPr="00F6090C">
        <w:rPr>
          <w:lang w:val="en-US"/>
        </w:rPr>
        <w:t>, whereas the highest dose examined was associated with a marked reduction in reported</w:t>
      </w:r>
      <w:r w:rsidR="00D71995">
        <w:rPr>
          <w:lang w:val="en-US"/>
        </w:rPr>
        <w:t xml:space="preserve"> AE</w:t>
      </w:r>
      <w:r w:rsidR="00F6090C" w:rsidRPr="00F6090C">
        <w:rPr>
          <w:lang w:val="en-US"/>
        </w:rPr>
        <w:t>. This pattern is consistent with prior clinical and naturalistic studies suggesting that psychological distress during psychedelic experiences does not increase monotonically with dose, but may peak at intermediate dose ranges</w:t>
      </w:r>
      <w:r w:rsidR="003D39F1">
        <w:rPr>
          <w:lang w:val="en-US"/>
        </w:rPr>
        <w:t xml:space="preserve"> </w:t>
      </w:r>
      <w:r w:rsidR="003D39F1">
        <w:rPr>
          <w:lang w:val="en-US"/>
        </w:rPr>
        <w:fldChar w:fldCharType="begin"/>
      </w:r>
      <w:r w:rsidR="003D39F1">
        <w:rPr>
          <w:lang w:val="en-US"/>
        </w:rPr>
        <w:instrText xml:space="preserve"> ADDIN ZOTERO_ITEM CSL_CITATION {"citationID":"aLnkQfKJ","properties":{"formattedCitation":"(Haijen et al., 2018; Studerus et al., 2011)","plainCitation":"(Haijen et al., 2018; Studerus et al., 2011)","noteIndex":0},"citationItems":[{"id":3171,"uris":["http://zotero.org/users/4564126/items/R7ENFFMP"],"itemData":{"id":3171,"type":"article-journal","container-title":"Frontiers in Pharmacology","DOI":"10.3389/fphar.2018.00897","ISSN":"1663-9812","journalAbbreviation":"Front. Pharmacol.","page":"897","source":"DOI.org (Crossref)","title":"Predicting Responses to Psychedelics: A Prospective Study","title-short":"Predicting Responses to Psychedelics","volume":"9","author":[{"family":"Haijen","given":"Eline C. H. M."},{"family":"Kaelen","given":"Mendel"},{"family":"Roseman","given":"Leor"},{"family":"Timmermann","given":"Christopher"},{"family":"Kettner","given":"Hannes"},{"family":"Russ","given":"Suzanne"},{"family":"Nutt","given":"David"},{"family":"Daws","given":"Richard E."},{"family":"Hampshire","given":"Adam D. G."},{"family":"Lorenz","given":"Romy"},{"family":"Carhart-Harris","given":"Robin L."}],"issued":{"date-parts":[["2018",11,2]]}}},{"id":1055,"uris":["http://zotero.org/users/4564126/items/VPENX5FL"],"itemData":{"id":1055,"type":"article-journal","abstract":"Psilocybin and related hallucinogenic compounds are increasingly used in human research. However, due to limited information about potential subjective side  effects, the controlled medical use of these compounds has remained  controversial. We therefore analysed acute, short- and long-term subjective  effects of psilocybin in healthy humans by pooling raw data from eight  double-blind placebo-controlled experimental studies conducted between 1999 and  2008. The analysis included 110 healthy subjects who had received 1-4 oral doses  of psilocybin (45-315 µg/kg body weight). Although psilocybin dose-dependently  induced profound changes in mood, perception, thought and self-experience, most  subjects described the experience as pleasurable, enriching and non-threatening.  Acute adverse drug reactions, characterized by strong dysphoria and/or  anxiety/panic, occurred only in the two highest dose conditions in a relatively  small proportion of subjects. All acute adverse drug reactions were successfully  managed by providing interpersonal support and did not need psychopharmacological  intervention. Follow-up questionnaires indicated no subsequent drug abuse,  persisting perception disorders, prolonged psychosis or other long-term  impairment of functioning in any of our subjects. The results suggest that the  administration of moderate doses of psilocybin to healthy, high-functioning and  well-prepared subjects in the context of a carefully monitored research  environment is associated with an acceptable level of risk.","container-title":"Journal of psychopharmacology (Oxford, England)","DOI":"10.1177/0269881110382466","ISSN":"1461-7285 0269-8811","issue":"11","journalAbbreviation":"J Psychopharmacol","language":"eng","note":"publisher-place: United States","page":"1434-1452","PMID":"20855349","title":"Acute, subacute and long-term subjective effects of psilocybin in healthy humans: a pooled analysis of experimental studies.","volume":"25","author":[{"family":"Studerus","given":"Erich"},{"family":"Kometer","given":"Michael"},{"family":"Hasler","given":"Felix"},{"family":"Vollenweider","given":"Franz X."}],"issued":{"date-parts":[["2011",11]]}}}],"schema":"https://github.com/citation-style-language/schema/raw/master/csl-citation.json"} </w:instrText>
      </w:r>
      <w:r w:rsidR="003D39F1">
        <w:rPr>
          <w:lang w:val="en-US"/>
        </w:rPr>
        <w:fldChar w:fldCharType="separate"/>
      </w:r>
      <w:r w:rsidR="003D39F1">
        <w:rPr>
          <w:noProof/>
          <w:lang w:val="en-US"/>
        </w:rPr>
        <w:t>(Haijen et al., 2018; Studerus et al., 2011)</w:t>
      </w:r>
      <w:r w:rsidR="003D39F1">
        <w:rPr>
          <w:lang w:val="en-US"/>
        </w:rPr>
        <w:fldChar w:fldCharType="end"/>
      </w:r>
      <w:r w:rsidR="003D39F1">
        <w:rPr>
          <w:lang w:val="en-US"/>
        </w:rPr>
        <w:t xml:space="preserve">. </w:t>
      </w:r>
      <w:r w:rsidR="00F6090C" w:rsidRPr="00F6090C">
        <w:rPr>
          <w:lang w:val="en-US"/>
        </w:rPr>
        <w:t>Importantly, dose has repeatedly been shown to correlate positively with mystical-type or unitive experiences and emotional breakthrough, which in turn are associated with improved tolerability and therapeutic outcomes</w:t>
      </w:r>
      <w:r w:rsidR="003D39F1">
        <w:rPr>
          <w:lang w:val="en-US"/>
        </w:rPr>
        <w:t xml:space="preserve"> </w:t>
      </w:r>
      <w:r w:rsidR="003D39F1">
        <w:rPr>
          <w:lang w:val="en-US"/>
        </w:rPr>
        <w:fldChar w:fldCharType="begin"/>
      </w:r>
      <w:r w:rsidR="003D39F1">
        <w:rPr>
          <w:lang w:val="en-US"/>
        </w:rPr>
        <w:instrText xml:space="preserve"> ADDIN ZOTERO_ITEM CSL_CITATION {"citationID":"RcOY2nN1","properties":{"formattedCitation":"(Griffiths et al., 2016; Roseman et al., 2018)","plainCitation":"(Griffiths et al., 2016; Roseman et al., 2018)","noteIndex":0},"citationItems":[{"id":10,"uris":["http://zotero.org/users/4564126/items/5KIRSWUF"],"itemData":{"id":10,"type":"article-journal","abstract":"Cancer patients often develop chronic, clinically significant symptoms of depression and anxiety. Previous studies suggest that psilocybin may decrease  depression and anxiety in cancer patients. The effects of psilocybin were studied  in 51 cancer patients with life-threatening diagnoses and symptoms of depression  and/or anxiety. This randomized, double-blind, cross-over trial investigated the  effects of a very low (placebo-like) dose (1 or 3 mg/70 kg) vs. a high dose (22  or 30 mg/70 kg) of psilocybin administered in counterbalanced sequence with 5  weeks between sessions and a 6-month follow-up. Instructions to participants and  staff minimized expectancy effects. Participants, staff, and community observers  rated participant moods, attitudes, and behaviors throughout the study. High-dose  psilocybin produced large decreases in clinician- and self-rated measures of  depressed mood and anxiety, along with increases in quality of life, life  meaning, and optimism, and decreases in death anxiety. At 6-month follow-up,  these changes were sustained, with about 80% of participants continuing to show  clinically significant decreases in depressed mood and anxiety. Participants  attributed improvements in attitudes about life/self, mood, relationships, and  spirituality to the high-dose experience, with &gt;80% endorsing moderately or  greater increased well-being/life satisfaction. Community observer ratings showed  corresponding changes. Mystical-type psilocybin experience on session day  mediated the effect of psilocybin dose on therapeutic outcomes. TRIAL  REGISTRATION: ClinicalTrials.gov identifier: NCT00465595.","container-title":"Journal of psychopharmacology (Oxford, England)","DOI":"10.1177/0269881116675513","ISSN":"1461-7285 0269-8811","issue":"12","journalAbbreviation":"J Psychopharmacol","language":"eng","license":"© The Author(s) 2016.","note":"publisher-place: United States","page":"1181-1197","PMID":"27909165","PMCID":"PMC5367557","title":"Psilocybin produces substantial and sustained decreases in depression and anxiety in patients with life-threatening cancer: A randomized double-blind trial.","volume":"30","author":[{"family":"Griffiths","given":"Roland R."},{"family":"Johnson","given":"Matthew W."},{"family":"Carducci","given":"Michael A."},{"family":"Umbricht","given":"Annie"},{"family":"Richards","given":"William A."},{"family":"Richards","given":"Brian D."},{"family":"Cosimano","given":"Mary P."},{"family":"Klinedinst","given":"Margaret A."}],"issued":{"date-parts":[["2016",12]]}}},{"id":706,"uris":["http://zotero.org/users/4564126/items/F7M8MMYY"],"itemData":{"id":706,"type":"article-journal","abstract":"Recent evidence indicates that psilocybin with psychological support may be effective for treating depression. Some studies have found that patients with  depression show heightened amygdala responses to fearful faces and there is  reliable evidence that treatment with SSRIs attenuates amygdala responses (Ma,  2015). We hypothesised that amygdala responses to emotional faces would be  altered post-treatment with psilocybin. In this open-label study, 20 individuals  diagnosed with moderate to severe, treatment-resistant depression, underwent two  separate dosing sessions with psilocybin. Psychological support was provided  before, during and after these sessions and 19 completed fMRI scans one week  prior to the first session and one day after the second and last. Neutral,  fearful and happy faces were presented in the scanner and analyses focused on the  amygdala. Group results revealed rapid and enduring improvements in depressive  symptoms post psilocybin. Increased responses to fearful and happy faces were  observed in the right amygdala post-treatment, and right amygdala increases to  fearful versus neutral faces were predictive of clinical improvements at 1-week.  Psilocybin with psychological support was associated with increased amygdala  responses to emotional stimuli, an opposite effect to previous findings with  SSRIs. This suggests fundamental differences in these treatments' therapeutic  actions, with SSRIs mitigating negative emotions and psilocybin allowing patients  to confront and work through them. Based on the present results, we propose that  psilocybin with psychological support is a treatment approach that potentially  revives emotional responsiveness in depression, enabling patients to reconnect  with their emotions. TRIAL REGISTRATION: ISRCTN, number ISRCTN14426797. This  article is part of the Special Issue entitled 'Psychedelics: New Doors, Altered  Perceptions'.","container-title":"Neuropharmacology","DOI":"10.1016/j.neuropharm.2017.12.041","ISSN":"1873-7064 0028-3908","journalAbbreviation":"Neuropharmacology","language":"eng","license":"Copyright © 2018 The Authors. Published by Elsevier Ltd.. All rights reserved.","note":"publisher-place: England","page":"263-269","PMID":"29288686","title":"Increased amygdala responses to emotional faces after psilocybin for treatment-resistant depression.","volume":"142","author":[{"family":"Roseman","given":"Leor"},{"family":"Demetriou","given":"Lysia"},{"family":"Wall","given":"Matthew B."},{"family":"Nutt","given":"David J."},{"family":"Carhart-Harris","given":"Robin L."}],"issued":{"date-parts":[["2018",11]]}}}],"schema":"https://github.com/citation-style-language/schema/raw/master/csl-citation.json"} </w:instrText>
      </w:r>
      <w:r w:rsidR="003D39F1">
        <w:rPr>
          <w:lang w:val="en-US"/>
        </w:rPr>
        <w:fldChar w:fldCharType="separate"/>
      </w:r>
      <w:r w:rsidR="003D39F1">
        <w:rPr>
          <w:noProof/>
          <w:lang w:val="en-US"/>
        </w:rPr>
        <w:t>(Griffiths et al., 2016; Roseman et al., 2018)</w:t>
      </w:r>
      <w:r w:rsidR="003D39F1">
        <w:rPr>
          <w:lang w:val="en-US"/>
        </w:rPr>
        <w:fldChar w:fldCharType="end"/>
      </w:r>
      <w:r w:rsidR="00F6090C" w:rsidRPr="00F6090C">
        <w:rPr>
          <w:lang w:val="en-US"/>
        </w:rPr>
        <w:t xml:space="preserve">. Together, these findings </w:t>
      </w:r>
      <w:r w:rsidR="00A00B7E">
        <w:rPr>
          <w:lang w:val="en-US"/>
        </w:rPr>
        <w:t xml:space="preserve">could </w:t>
      </w:r>
      <w:r w:rsidR="00F6090C" w:rsidRPr="00F6090C">
        <w:rPr>
          <w:lang w:val="en-US"/>
        </w:rPr>
        <w:t>suggest that adverse experiences during psilocybin administration may be driven less by pharmacological toxicity per se than by dose-dependent psychological dynamics, including resistance, cognitive control, and the degree of ego-dissolution achieved during the acute psychedelic state</w:t>
      </w:r>
      <w:r w:rsidR="003D39F1">
        <w:rPr>
          <w:lang w:val="en-US"/>
        </w:rPr>
        <w:t xml:space="preserve"> </w:t>
      </w:r>
      <w:r w:rsidR="003D39F1">
        <w:rPr>
          <w:lang w:val="en-US"/>
        </w:rPr>
        <w:fldChar w:fldCharType="begin"/>
      </w:r>
      <w:r w:rsidR="003D39F1">
        <w:rPr>
          <w:lang w:val="en-US"/>
        </w:rPr>
        <w:instrText xml:space="preserve"> ADDIN ZOTERO_ITEM CSL_CITATION {"citationID":"zxrQgP0y","properties":{"formattedCitation":"(Lebedev et al., 2015)","plainCitation":"(Lebedev et al., 2015)","noteIndex":0},"citationItems":[{"id":3165,"uris":["http://zotero.org/users/4564126/items/NMEHUAUR"],"itemData":{"id":3165,"type":"article-journal","container-title":"Human Brain Mapping","DOI":"10.1002/hbm.22833","issue":"8","page":"3137–3153","title":"Finding the self by losing the self: Neural correlates of ego-dissolution under psilocybin","volume":"36","author":[{"family":"Lebedev","given":"Alexey V."},{"family":"Lövdén","given":"Martin"},{"family":"Rosenthal","given":"Gadi"},{"family":"Feilding","given":"Amanda"},{"family":"Nutt","given":"David J."},{"family":"Carhart-Harris","given":"Robin L."}],"issued":{"date-parts":[["2015"]]}}}],"schema":"https://github.com/citation-style-language/schema/raw/master/csl-citation.json"} </w:instrText>
      </w:r>
      <w:r w:rsidR="003D39F1">
        <w:rPr>
          <w:lang w:val="en-US"/>
        </w:rPr>
        <w:fldChar w:fldCharType="separate"/>
      </w:r>
      <w:r w:rsidR="003D39F1">
        <w:rPr>
          <w:noProof/>
          <w:lang w:val="en-US"/>
        </w:rPr>
        <w:t>(Lebedev et al., 2015)</w:t>
      </w:r>
      <w:r w:rsidR="003D39F1">
        <w:rPr>
          <w:lang w:val="en-US"/>
        </w:rPr>
        <w:fldChar w:fldCharType="end"/>
      </w:r>
      <w:r w:rsidR="003D39F1">
        <w:rPr>
          <w:lang w:val="en-US"/>
        </w:rPr>
        <w:t>.</w:t>
      </w:r>
    </w:p>
    <w:p w14:paraId="44766ACF" w14:textId="3FF57933" w:rsidR="006E710C" w:rsidRDefault="0026302F" w:rsidP="00FC19AC">
      <w:pPr>
        <w:pStyle w:val="p3"/>
        <w:spacing w:before="0" w:beforeAutospacing="0" w:after="0" w:afterAutospacing="0" w:line="360" w:lineRule="auto"/>
        <w:rPr>
          <w:lang w:val="en-US"/>
        </w:rPr>
      </w:pPr>
      <w:r w:rsidRPr="0026302F">
        <w:rPr>
          <w:lang w:val="en-US"/>
        </w:rPr>
        <w:t xml:space="preserve">From a mechanistic perspective, this biphasic pattern aligns with contemporary models of psychedelic action. At lower to moderate doses, psilocybin induces perceptual and emotional destabilization while preserving ego integrity and top-down cognitive control, a state that may </w:t>
      </w:r>
      <w:r w:rsidRPr="0026302F">
        <w:rPr>
          <w:lang w:val="en-US"/>
        </w:rPr>
        <w:lastRenderedPageBreak/>
        <w:t>amplify psychological conflict and anxiety-related adverse experiences. By contrast, higher doses appear to surpass a critical threshold for hierarchical belief relaxation, leading to more pronounced ego dissolution and reduced defensive control, consistent with the REBUS framework</w:t>
      </w:r>
      <w:r w:rsidR="003D39F1">
        <w:rPr>
          <w:lang w:val="en-US"/>
        </w:rPr>
        <w:t xml:space="preserve"> </w:t>
      </w:r>
      <w:r w:rsidR="003D39F1">
        <w:rPr>
          <w:lang w:val="en-US"/>
        </w:rPr>
        <w:fldChar w:fldCharType="begin"/>
      </w:r>
      <w:r w:rsidR="003D39F1">
        <w:rPr>
          <w:lang w:val="en-US"/>
        </w:rPr>
        <w:instrText xml:space="preserve"> ADDIN ZOTERO_ITEM CSL_CITATION {"citationID":"Y32hns3A","properties":{"formattedCitation":"(R. L. Carhart-Harris &amp; Friston, 2019)","plainCitation":"(R. L. Carhart-Harris &amp; Friston, 2019)","noteIndex":0},"citationItems":[{"id":2027,"uris":["http://zotero.org/users/4564126/items/SAUQJPH7"],"itemData":{"id":2027,"type":"article-journal","abstract":"This paper formulates the action of psychedelics by integrating the free-energy principle and entropic brain hypothesis. We call this formulation relaxed beliefs  under psychedelics (REBUS) and the anarchic brain, founded on the principle  that-via their entropic effect on spontaneous cortical activity-psychedelics work  to relax the precision of high-level priors or beliefs, thereby liberating  bottom-up information flow, particularly via intrinsic sources such as the limbic  system. We assemble evidence for this model and show how it can explain a broad  range of phenomena associated with the psychedelic experience. With regard to  their potential therapeutic use, we propose that psychedelics work to relax the  precision weighting of pathologically overweighted priors underpinning various  expressions of mental illness. We propose that this process entails an increased  sensitization of high-level priors to bottom-up signaling (stemming from  intrinsic sources), and that this heightened sensitivity enables the potential  revision and deweighting of overweighted priors. We end by discussing further  implications of the model, such as that psychedelics can bring about the revision  of other heavily weighted high-level priors, not directly related to mental  health, such as those underlying partisan and/or overly-confident political,  religious, and/or philosophical perspectives. SIGNIFICANCE STATEMENT:  Psychedelics are capturing interest, with efforts underway to bring psilocybin  therapy to marketing authorisation and legal access within a decade, spearheaded  by the findings of a series of phase 2 trials. In this climate, a compelling  unified model of how psychedelics alter brain function to alter consciousness  would have appeal. Towards this end, we have sought to integrate a leading model  of global brain function, hierarchical predictive coding, with an often-cited  model of the acute action of psychedelics, the entropic brain hypothesis. The  resulting synthesis states that psychedelics work to relax high-level priors,  sensitising them to liberated bottom-up information flow, which, with the right  intention, care provision and context, can help guide and cultivate the revision  of entrenched pathological priors.","container-title":"Pharmacological reviews","DOI":"10.1124/pr.118.017160","ISSN":"1521-0081 0031-6997","issue":"3","journalAbbreviation":"Pharmacol Rev","language":"eng","license":"Copyright © 2019 The Author(s).","note":"publisher-place: Netherlands","page":"316-344","PMID":"31221820","PMCID":"PMC6588209","title":"REBUS and the Anarchic Brain: Toward a Unified Model of the Brain Action of Psychedelics.","volume":"71","author":[{"family":"Carhart-Harris","given":"R. L."},{"family":"Friston","given":"K. J."}],"issued":{"date-parts":[["2019",7]]}}}],"schema":"https://github.com/citation-style-language/schema/raw/master/csl-citation.json"} </w:instrText>
      </w:r>
      <w:r w:rsidR="003D39F1">
        <w:rPr>
          <w:lang w:val="en-US"/>
        </w:rPr>
        <w:fldChar w:fldCharType="separate"/>
      </w:r>
      <w:r w:rsidR="003D39F1">
        <w:rPr>
          <w:noProof/>
          <w:lang w:val="en-US"/>
        </w:rPr>
        <w:t>(R. L. Carhart-Harris &amp; Friston, 2019)</w:t>
      </w:r>
      <w:r w:rsidR="003D39F1">
        <w:rPr>
          <w:lang w:val="en-US"/>
        </w:rPr>
        <w:fldChar w:fldCharType="end"/>
      </w:r>
      <w:r w:rsidRPr="0026302F">
        <w:rPr>
          <w:lang w:val="en-US"/>
        </w:rPr>
        <w:t>. Neuroimaging findings support this interpretation, showing dose-dependent reductions in default mode network integrity and increased neural entropy, which are associated with acceptance, unity, and emotional release</w:t>
      </w:r>
      <w:r w:rsidR="003D39F1">
        <w:rPr>
          <w:lang w:val="en-US"/>
        </w:rPr>
        <w:t xml:space="preserve"> </w:t>
      </w:r>
      <w:r w:rsidR="003D39F1">
        <w:rPr>
          <w:lang w:val="en-US"/>
        </w:rPr>
        <w:fldChar w:fldCharType="begin"/>
      </w:r>
      <w:r w:rsidR="003D39F1">
        <w:rPr>
          <w:lang w:val="en-US"/>
        </w:rPr>
        <w:instrText xml:space="preserve"> ADDIN ZOTERO_ITEM CSL_CITATION {"citationID":"AyAZ9y3N","properties":{"formattedCitation":"(Lebedev et al., 2015; Madsen et al., 2019)","plainCitation":"(Lebedev et al., 2015; Madsen et al., 2019)","noteIndex":0},"citationItems":[{"id":3165,"uris":["http://zotero.org/users/4564126/items/NMEHUAUR"],"itemData":{"id":3165,"type":"article-journal","container-title":"Human Brain Mapping","DOI":"10.1002/hbm.22833","issue":"8","page":"3137–3153","title":"Finding the self by losing the self: Neural correlates of ego-dissolution under psilocybin","volume":"36","author":[{"family":"Lebedev","given":"Alexey V."},{"family":"Lövdén","given":"Martin"},{"family":"Rosenthal","given":"Gadi"},{"family":"Feilding","given":"Amanda"},{"family":"Nutt","given":"David J."},{"family":"Carhart-Harris","given":"Robin L."}],"issued":{"date-parts":[["2015"]]}}},{"id":3166,"uris":["http://zotero.org/users/4564126/items/KYB46P8W"],"itemData":{"id":3166,"type":"article-journal","container-title":"Neuropsychopharmacology","DOI":"10.1038/s41386-019-0360-5","issue":"7","page":"1336–1337","title":"Correction: Psychedelic effects of psilocybin correlate with serotonin 2A receptor occupancy and plasma psilocin levels","volume":"44","author":[{"family":"Madsen","given":"Martin K."},{"family":"Fisher","given":"Patrick M."},{"family":"Burmester","given":"Daniel"},{"family":"Dyssegaard","given":"Anne"},{"family":"Stenbæk","given":"Dea S."},{"family":"Kristiansen","given":"Simon"},{"family":"Johansen","given":"Sys"},{"family":"Lehel","given":"Szabolcs"},{"family":"Linnet","given":"Kristian"},{"family":"Svarer","given":"Claus"},{"family":"Erritzoe","given":"David"},{"family":"Ozenne","given":"Brice"},{"family":"Knudsen","given":"Gitte M."}],"issued":{"date-parts":[["2019"]]}}}],"schema":"https://github.com/citation-style-language/schema/raw/master/csl-citation.json"} </w:instrText>
      </w:r>
      <w:r w:rsidR="003D39F1">
        <w:rPr>
          <w:lang w:val="en-US"/>
        </w:rPr>
        <w:fldChar w:fldCharType="separate"/>
      </w:r>
      <w:r w:rsidR="003D39F1">
        <w:rPr>
          <w:noProof/>
          <w:lang w:val="en-US"/>
        </w:rPr>
        <w:t>(Lebedev et al., 2015; Madsen et al., 2019)</w:t>
      </w:r>
      <w:r w:rsidR="003D39F1">
        <w:rPr>
          <w:lang w:val="en-US"/>
        </w:rPr>
        <w:fldChar w:fldCharType="end"/>
      </w:r>
      <w:r w:rsidRPr="0026302F">
        <w:rPr>
          <w:lang w:val="en-US"/>
        </w:rPr>
        <w:t>. Consequently, experiences perceived as adverse at lower doses may be appraised as tolerable or beneficial at higher doses, resulting in fewer reported adverse effects despite greater experiential intensity.</w:t>
      </w:r>
    </w:p>
    <w:p w14:paraId="03AFF330" w14:textId="77777777" w:rsidR="00FC19AC" w:rsidRPr="00CD0DB3" w:rsidRDefault="00FC19AC" w:rsidP="00FC19AC">
      <w:pPr>
        <w:pStyle w:val="p3"/>
        <w:spacing w:before="0" w:beforeAutospacing="0" w:after="0" w:afterAutospacing="0" w:line="360" w:lineRule="auto"/>
        <w:rPr>
          <w:lang w:val="en-US"/>
        </w:rPr>
      </w:pPr>
    </w:p>
    <w:p w14:paraId="546B0820" w14:textId="3E633DEA" w:rsidR="00C43C8F" w:rsidRPr="00CD0DB3" w:rsidRDefault="00C43C8F" w:rsidP="00FC19AC">
      <w:pPr>
        <w:pStyle w:val="Titre3"/>
        <w:spacing w:before="0" w:after="0"/>
        <w:rPr>
          <w:lang w:val="en-US"/>
        </w:rPr>
      </w:pPr>
      <w:r w:rsidRPr="00CD0DB3">
        <w:rPr>
          <w:lang w:val="en-US"/>
        </w:rPr>
        <w:t>4.4 Clinical implications</w:t>
      </w:r>
    </w:p>
    <w:p w14:paraId="78144626" w14:textId="5DFED1A8" w:rsidR="00FC19AC" w:rsidRPr="00FC19AC" w:rsidRDefault="00FC19AC" w:rsidP="00FC19AC">
      <w:pPr>
        <w:spacing w:line="360" w:lineRule="auto"/>
        <w:rPr>
          <w:lang w:val="en-US" w:eastAsia="en-US"/>
        </w:rPr>
      </w:pPr>
      <w:r w:rsidRPr="00FC19AC">
        <w:rPr>
          <w:lang w:val="en-US" w:eastAsia="en-US"/>
        </w:rPr>
        <w:t>These findings support a personalized approach to psychedelic-assisted therapy that explicitly distinguishes between molecule selection and dose optimization. Molecule choice</w:t>
      </w:r>
      <w:r w:rsidR="009F20C0">
        <w:rPr>
          <w:lang w:val="en-US" w:eastAsia="en-US"/>
        </w:rPr>
        <w:t>, in addition to the evidence behind their differential efficacy across different disorders,</w:t>
      </w:r>
      <w:r w:rsidRPr="00FC19AC">
        <w:rPr>
          <w:lang w:val="en-US" w:eastAsia="en-US"/>
        </w:rPr>
        <w:t xml:space="preserve"> should primarily be guided by the characteristic adverse event profiles identified in pooled analyses, including perceptual, affective, autonomic, and somatic risks that differ markedly between LSD, MDMA, and psilocybin. Dose optimization, by contrast, should focus on managing the intensity of global AE burden during the acute session, particularly for somatic and autonomic effects, rather than attempting to modulate specific psychological adverse events. Taken together, these results suggest that aligning molecule selection with patient-specific vulnerabilities and comorbidities, while adjusting dose to balance therapeutic engagement against acute physiological burden, may offer a rational framework for optimizing both safety and tolerability.</w:t>
      </w:r>
    </w:p>
    <w:p w14:paraId="539584BA" w14:textId="77777777" w:rsidR="00FC19AC" w:rsidRDefault="00FC19AC" w:rsidP="00FC19AC">
      <w:pPr>
        <w:pStyle w:val="Titre2"/>
        <w:spacing w:before="0" w:after="0"/>
        <w:rPr>
          <w:b w:val="0"/>
          <w:bCs w:val="0"/>
          <w:lang w:val="en-US"/>
        </w:rPr>
      </w:pPr>
    </w:p>
    <w:p w14:paraId="77EC365C" w14:textId="3DAA9150" w:rsidR="00FC19AC" w:rsidRDefault="00C43C8F" w:rsidP="00FC19AC">
      <w:pPr>
        <w:pStyle w:val="Titre2"/>
        <w:spacing w:before="0" w:after="0"/>
        <w:rPr>
          <w:b w:val="0"/>
          <w:bCs w:val="0"/>
          <w:lang w:val="en-US"/>
        </w:rPr>
      </w:pPr>
      <w:r w:rsidRPr="00CD0DB3">
        <w:rPr>
          <w:b w:val="0"/>
          <w:bCs w:val="0"/>
          <w:lang w:val="en-US"/>
        </w:rPr>
        <w:t>4.5 Strengths and limitations</w:t>
      </w:r>
    </w:p>
    <w:p w14:paraId="0D17F80E" w14:textId="3A1BE7B7" w:rsidR="00D67C28" w:rsidRDefault="000E1D82" w:rsidP="006E710C">
      <w:pPr>
        <w:spacing w:line="360" w:lineRule="auto"/>
        <w:rPr>
          <w:lang w:val="en-US"/>
        </w:rPr>
      </w:pPr>
      <w:r w:rsidRPr="00FC19AC">
        <w:rPr>
          <w:lang w:val="en-US"/>
        </w:rPr>
        <w:t>Strengths of this study include its cross-substance design, the use of harmonized adverse event (AE) terminology, and the explicit modeling of both dose–response relationships and temporal dynamics. However, several limitations should be acknowledged. Additional limitations include limited dose variability for certain compounds, sparse AE-specific contrasts, heterogeneity in AE reporting, and restricted follow-up duration</w:t>
      </w:r>
      <w:r w:rsidR="00E42CCF">
        <w:rPr>
          <w:lang w:val="en-US"/>
        </w:rPr>
        <w:t xml:space="preserve">, </w:t>
      </w:r>
      <w:r w:rsidRPr="00FC19AC">
        <w:rPr>
          <w:lang w:val="en-US"/>
        </w:rPr>
        <w:t xml:space="preserve">particularly for psilocybin. Finally, because included trials enrolled highly screened participants, real-world AE incidence may be underestimated, </w:t>
      </w:r>
      <w:r w:rsidRPr="00FC19AC">
        <w:rPr>
          <w:lang w:val="en-US"/>
        </w:rPr>
        <w:lastRenderedPageBreak/>
        <w:t>highlighting the need for longer-term and post-trial surveillance to better characterize rare or delayed adverse outcomes.</w:t>
      </w:r>
      <w:bookmarkStart w:id="13" w:name="_yzbantab6026" w:colFirst="0" w:colLast="0"/>
      <w:bookmarkEnd w:id="13"/>
    </w:p>
    <w:p w14:paraId="6451DA39" w14:textId="3C00FDDE" w:rsidR="000829E4" w:rsidRPr="007A17FC" w:rsidRDefault="00542108" w:rsidP="00CD0DB3">
      <w:pPr>
        <w:pStyle w:val="Titre2"/>
        <w:spacing w:before="0" w:after="0" w:line="480" w:lineRule="auto"/>
        <w:rPr>
          <w:lang w:val="en-US"/>
        </w:rPr>
      </w:pPr>
      <w:r w:rsidRPr="007A17FC">
        <w:rPr>
          <w:lang w:val="en-US"/>
        </w:rPr>
        <w:t>5. Declarations</w:t>
      </w:r>
    </w:p>
    <w:p w14:paraId="332D9E7D" w14:textId="77777777" w:rsidR="000829E4" w:rsidRPr="007A17FC" w:rsidRDefault="00542108" w:rsidP="00CD0DB3">
      <w:pPr>
        <w:pStyle w:val="Titre3"/>
        <w:spacing w:before="0" w:after="0" w:line="480" w:lineRule="auto"/>
        <w:rPr>
          <w:lang w:val="en-US"/>
        </w:rPr>
      </w:pPr>
      <w:bookmarkStart w:id="14" w:name="_gq70ek6qqr1e" w:colFirst="0" w:colLast="0"/>
      <w:bookmarkEnd w:id="14"/>
      <w:r w:rsidRPr="007A17FC">
        <w:rPr>
          <w:lang w:val="en-US"/>
        </w:rPr>
        <w:t>5.1. Funding</w:t>
      </w:r>
    </w:p>
    <w:p w14:paraId="7825FCD2" w14:textId="4C55D918" w:rsidR="000829E4" w:rsidRDefault="00542108" w:rsidP="00CD0DB3">
      <w:pPr>
        <w:spacing w:line="480" w:lineRule="auto"/>
        <w:rPr>
          <w:lang w:val="en-US"/>
        </w:rPr>
      </w:pPr>
      <w:r w:rsidRPr="007A17FC">
        <w:rPr>
          <w:lang w:val="en-US"/>
        </w:rPr>
        <w:t>ME is supported by a fellowship from Fireside Project.</w:t>
      </w:r>
    </w:p>
    <w:p w14:paraId="146B6D1E" w14:textId="6380C81D" w:rsidR="003037B4" w:rsidRPr="007A17FC" w:rsidRDefault="003037B4" w:rsidP="00CD0DB3">
      <w:pPr>
        <w:spacing w:line="480" w:lineRule="auto"/>
        <w:rPr>
          <w:lang w:val="en-US"/>
        </w:rPr>
      </w:pPr>
      <w:r w:rsidRPr="003037B4">
        <w:rPr>
          <w:lang w:val="en-US"/>
        </w:rPr>
        <w:t>MS is supported by Clinical Research Chair in Evidence-Based Mental Health, from the Faculty of Medicine, University of Ottawa, Canada</w:t>
      </w:r>
      <w:r>
        <w:rPr>
          <w:lang w:val="en-US"/>
        </w:rPr>
        <w:t xml:space="preserve">. </w:t>
      </w:r>
    </w:p>
    <w:p w14:paraId="07BC2E8F" w14:textId="77777777" w:rsidR="003037B4" w:rsidRPr="003037B4" w:rsidRDefault="003037B4" w:rsidP="003037B4">
      <w:pPr>
        <w:rPr>
          <w:lang w:val="en-US"/>
        </w:rPr>
      </w:pPr>
    </w:p>
    <w:p w14:paraId="2B7C8B37" w14:textId="77777777" w:rsidR="003037B4" w:rsidRPr="003037B4" w:rsidRDefault="003037B4" w:rsidP="003037B4">
      <w:pPr>
        <w:rPr>
          <w:lang w:val="en-US"/>
        </w:rPr>
      </w:pPr>
    </w:p>
    <w:p w14:paraId="76ABC1E6" w14:textId="77777777" w:rsidR="000829E4" w:rsidRPr="007A17FC" w:rsidRDefault="00542108" w:rsidP="00CD0DB3">
      <w:pPr>
        <w:pStyle w:val="Titre3"/>
        <w:spacing w:before="0" w:after="0" w:line="480" w:lineRule="auto"/>
        <w:rPr>
          <w:lang w:val="en-US"/>
        </w:rPr>
      </w:pPr>
      <w:bookmarkStart w:id="15" w:name="_6vym7nb4mv53" w:colFirst="0" w:colLast="0"/>
      <w:bookmarkEnd w:id="15"/>
      <w:r w:rsidRPr="007A17FC">
        <w:rPr>
          <w:lang w:val="en-US"/>
        </w:rPr>
        <w:t>5.2. Conflicts of Interest / Declaration of Competing Interests</w:t>
      </w:r>
    </w:p>
    <w:p w14:paraId="363A97FB" w14:textId="1B58CB75" w:rsidR="000829E4" w:rsidRDefault="00542108" w:rsidP="00CD0DB3">
      <w:pPr>
        <w:spacing w:line="480" w:lineRule="auto"/>
        <w:rPr>
          <w:lang w:val="en-US"/>
        </w:rPr>
      </w:pPr>
      <w:r w:rsidRPr="007A17FC">
        <w:rPr>
          <w:lang w:val="en-US"/>
        </w:rPr>
        <w:t xml:space="preserve">FS is co-founder of </w:t>
      </w:r>
      <w:proofErr w:type="spellStart"/>
      <w:r w:rsidRPr="007A17FC">
        <w:rPr>
          <w:lang w:val="en-US"/>
        </w:rPr>
        <w:t>BeSound</w:t>
      </w:r>
      <w:proofErr w:type="spellEnd"/>
      <w:r w:rsidRPr="007A17FC">
        <w:rPr>
          <w:lang w:val="en-US"/>
        </w:rPr>
        <w:t xml:space="preserve"> SAS, Nested Minds LTD, and </w:t>
      </w:r>
      <w:proofErr w:type="spellStart"/>
      <w:r w:rsidRPr="007A17FC">
        <w:rPr>
          <w:lang w:val="en-US"/>
        </w:rPr>
        <w:t>ReWire</w:t>
      </w:r>
      <w:proofErr w:type="spellEnd"/>
      <w:r w:rsidRPr="007A17FC">
        <w:rPr>
          <w:lang w:val="en-US"/>
        </w:rPr>
        <w:t xml:space="preserve"> </w:t>
      </w:r>
      <w:proofErr w:type="spellStart"/>
      <w:r w:rsidRPr="007A17FC">
        <w:rPr>
          <w:lang w:val="en-US"/>
        </w:rPr>
        <w:t>Neurotechnologies</w:t>
      </w:r>
      <w:proofErr w:type="spellEnd"/>
      <w:r w:rsidRPr="007A17FC">
        <w:rPr>
          <w:lang w:val="en-US"/>
        </w:rPr>
        <w:t xml:space="preserve"> Inc., holds ownership shares, and has received compensation from these companies. In the past years, his work has been funded by the European Commission, Joy Ventures, Tiny Blue Dot Foundation, Mordechai Walder Foundation, and the French Ministry of Armed Forces (AID). </w:t>
      </w:r>
    </w:p>
    <w:p w14:paraId="0E0F568B" w14:textId="6E18DA42" w:rsidR="003037B4" w:rsidRPr="000752F4" w:rsidRDefault="000752F4" w:rsidP="00CD0DB3">
      <w:pPr>
        <w:spacing w:line="480" w:lineRule="auto"/>
        <w:rPr>
          <w:lang w:val="en-US"/>
        </w:rPr>
      </w:pPr>
      <w:r>
        <w:rPr>
          <w:lang w:val="en-US"/>
        </w:rPr>
        <w:t>MS</w:t>
      </w:r>
      <w:r w:rsidR="003037B4" w:rsidRPr="003037B4">
        <w:rPr>
          <w:lang w:val="en-US"/>
        </w:rPr>
        <w:t xml:space="preserve"> has received honoraria/has been a consultant for AbbVie, Angelini, Bausch Health, Boehringer Ingelheim, </w:t>
      </w:r>
      <w:proofErr w:type="spellStart"/>
      <w:r w:rsidR="003037B4" w:rsidRPr="003037B4">
        <w:rPr>
          <w:lang w:val="en-US"/>
        </w:rPr>
        <w:t>Pharmascience</w:t>
      </w:r>
      <w:proofErr w:type="spellEnd"/>
      <w:r w:rsidR="003037B4" w:rsidRPr="003037B4">
        <w:rPr>
          <w:lang w:val="en-US"/>
        </w:rPr>
        <w:t xml:space="preserve">, Lundbeck, Otsuka, Teva. </w:t>
      </w:r>
      <w:r w:rsidRPr="000752F4">
        <w:rPr>
          <w:lang w:val="en-US"/>
        </w:rPr>
        <w:t>MS</w:t>
      </w:r>
      <w:r w:rsidR="003037B4" w:rsidRPr="000752F4">
        <w:rPr>
          <w:lang w:val="en-US"/>
        </w:rPr>
        <w:t xml:space="preserve"> holds shares of MESAS, S2M.</w:t>
      </w:r>
    </w:p>
    <w:p w14:paraId="71A1CB6B" w14:textId="77777777" w:rsidR="003037B4" w:rsidRPr="003037B4" w:rsidRDefault="003037B4" w:rsidP="003037B4">
      <w:pPr>
        <w:rPr>
          <w:lang w:val="en-US" w:eastAsia="en-US"/>
        </w:rPr>
      </w:pPr>
    </w:p>
    <w:p w14:paraId="763E1C3B" w14:textId="77777777" w:rsidR="000829E4" w:rsidRPr="007A17FC" w:rsidRDefault="00542108" w:rsidP="00CD0DB3">
      <w:pPr>
        <w:pStyle w:val="Titre3"/>
        <w:spacing w:before="0" w:after="0" w:line="480" w:lineRule="auto"/>
        <w:rPr>
          <w:lang w:val="en-US"/>
        </w:rPr>
      </w:pPr>
      <w:bookmarkStart w:id="16" w:name="_sku5ssk2njjb" w:colFirst="0" w:colLast="0"/>
      <w:bookmarkEnd w:id="16"/>
      <w:r w:rsidRPr="007A17FC">
        <w:rPr>
          <w:lang w:val="en-US"/>
        </w:rPr>
        <w:t>5.3. Ethics Approval</w:t>
      </w:r>
    </w:p>
    <w:p w14:paraId="47CDFFE4" w14:textId="77777777" w:rsidR="000829E4" w:rsidRPr="007A17FC" w:rsidRDefault="00542108" w:rsidP="00CD0DB3">
      <w:pPr>
        <w:spacing w:line="480" w:lineRule="auto"/>
        <w:rPr>
          <w:lang w:val="en-US"/>
        </w:rPr>
      </w:pPr>
      <w:r w:rsidRPr="007A17FC">
        <w:rPr>
          <w:lang w:val="en-US"/>
        </w:rPr>
        <w:t>Not applicable for this meta-analysis?</w:t>
      </w:r>
    </w:p>
    <w:p w14:paraId="44DEA7F8" w14:textId="77777777" w:rsidR="000829E4" w:rsidRPr="007A17FC" w:rsidRDefault="00542108" w:rsidP="00CD0DB3">
      <w:pPr>
        <w:pStyle w:val="Titre3"/>
        <w:spacing w:before="0" w:after="0" w:line="480" w:lineRule="auto"/>
        <w:rPr>
          <w:lang w:val="en-US"/>
        </w:rPr>
      </w:pPr>
      <w:bookmarkStart w:id="17" w:name="_hq444kjn02n1" w:colFirst="0" w:colLast="0"/>
      <w:bookmarkEnd w:id="17"/>
      <w:r w:rsidRPr="007A17FC">
        <w:rPr>
          <w:lang w:val="en-US"/>
        </w:rPr>
        <w:t>5.4. Data Availability Statement</w:t>
      </w:r>
    </w:p>
    <w:p w14:paraId="2CDE9C47" w14:textId="7D265B8C" w:rsidR="000829E4" w:rsidRPr="007A17FC" w:rsidRDefault="00542108" w:rsidP="00CD0DB3">
      <w:pPr>
        <w:spacing w:line="480" w:lineRule="auto"/>
        <w:rPr>
          <w:lang w:val="en-US"/>
        </w:rPr>
      </w:pPr>
      <w:r w:rsidRPr="007A17FC">
        <w:rPr>
          <w:lang w:val="en-US"/>
        </w:rPr>
        <w:t xml:space="preserve">All analysis code, data extraction templates, and figure-generation scripts used in this study are openly available at the project’s GitHub repository: \url{https://github.com/mickaeleskinazi/metaanalysis-psychedelics}. The repository includes harmonized datasets, preprocessing pipelines, statistical models (meta-analysis, dose–response </w:t>
      </w:r>
      <w:r w:rsidRPr="007A17FC">
        <w:rPr>
          <w:lang w:val="en-US"/>
        </w:rPr>
        <w:lastRenderedPageBreak/>
        <w:t xml:space="preserve">modeling), and LaTeX export utilities. Raw trial-level data were derived from publicly available clinical publications and supplementary </w:t>
      </w:r>
      <w:proofErr w:type="gramStart"/>
      <w:r w:rsidRPr="007A17FC">
        <w:rPr>
          <w:lang w:val="en-US"/>
        </w:rPr>
        <w:t>materials, and</w:t>
      </w:r>
      <w:proofErr w:type="gramEnd"/>
      <w:r w:rsidRPr="007A17FC">
        <w:rPr>
          <w:lang w:val="en-US"/>
        </w:rPr>
        <w:t xml:space="preserve"> are available in structured format (CSV/XLSX) in the repository's </w:t>
      </w:r>
      <w:r w:rsidR="000752F4">
        <w:rPr>
          <w:lang w:val="en-US"/>
        </w:rPr>
        <w:t>data</w:t>
      </w:r>
      <w:r w:rsidRPr="007A17FC">
        <w:rPr>
          <w:lang w:val="en-US"/>
        </w:rPr>
        <w:t xml:space="preserve"> directory.</w:t>
      </w:r>
    </w:p>
    <w:p w14:paraId="731E18B2" w14:textId="34E3EB3C" w:rsidR="000829E4" w:rsidRPr="007A17FC" w:rsidRDefault="00542108" w:rsidP="00CD0DB3">
      <w:pPr>
        <w:spacing w:line="480" w:lineRule="auto"/>
        <w:rPr>
          <w:lang w:val="en-US"/>
        </w:rPr>
      </w:pPr>
      <w:r w:rsidRPr="007A17FC">
        <w:rPr>
          <w:lang w:val="en-US"/>
        </w:rPr>
        <w:t xml:space="preserve">Researchers and clinicians are encouraged to consult or reuse the codebase to replicate, extend, or adapt the methodology for related applications. All scripts are written in R (v4.3+) and use standard open-source packages. For transparency and reproducibility, each figure and table in the manuscript can be traced to a corresponding R script in the </w:t>
      </w:r>
      <w:r w:rsidR="000752F4">
        <w:rPr>
          <w:lang w:val="en-US"/>
        </w:rPr>
        <w:t>scripts</w:t>
      </w:r>
      <w:r w:rsidRPr="007A17FC">
        <w:rPr>
          <w:lang w:val="en-US"/>
        </w:rPr>
        <w:t xml:space="preserve"> </w:t>
      </w:r>
      <w:r w:rsidR="000752F4">
        <w:rPr>
          <w:lang w:val="en-US"/>
        </w:rPr>
        <w:t>and results</w:t>
      </w:r>
      <w:r w:rsidRPr="007A17FC">
        <w:rPr>
          <w:lang w:val="en-US"/>
        </w:rPr>
        <w:t xml:space="preserve"> directories.</w:t>
      </w:r>
    </w:p>
    <w:p w14:paraId="64A65AC0" w14:textId="77777777" w:rsidR="000829E4" w:rsidRPr="007A17FC" w:rsidRDefault="00542108">
      <w:pPr>
        <w:rPr>
          <w:lang w:val="en-US"/>
        </w:rPr>
      </w:pPr>
      <w:r w:rsidRPr="007A17FC">
        <w:rPr>
          <w:lang w:val="en-US"/>
        </w:rPr>
        <w:t>The repository is maintained under a CC-BY 4.0 license.</w:t>
      </w:r>
    </w:p>
    <w:p w14:paraId="5CF45BC7" w14:textId="77777777" w:rsidR="000829E4" w:rsidRPr="007A17FC" w:rsidRDefault="00542108">
      <w:pPr>
        <w:pStyle w:val="Titre3"/>
        <w:rPr>
          <w:lang w:val="en-US"/>
        </w:rPr>
      </w:pPr>
      <w:bookmarkStart w:id="18" w:name="_g6sby5s8m278" w:colFirst="0" w:colLast="0"/>
      <w:bookmarkEnd w:id="18"/>
      <w:r w:rsidRPr="007A17FC">
        <w:rPr>
          <w:lang w:val="en-US"/>
        </w:rPr>
        <w:t>5.5. Author Contributions</w:t>
      </w:r>
    </w:p>
    <w:p w14:paraId="2571CDF1" w14:textId="77777777" w:rsidR="000829E4" w:rsidRPr="007A17FC" w:rsidRDefault="00542108">
      <w:pPr>
        <w:rPr>
          <w:lang w:val="en-US"/>
        </w:rPr>
      </w:pPr>
      <w:r w:rsidRPr="007A17FC">
        <w:rPr>
          <w:lang w:val="en-US"/>
        </w:rPr>
        <w:t xml:space="preserve">M.E. and </w:t>
      </w:r>
      <w:proofErr w:type="gramStart"/>
      <w:r w:rsidRPr="007A17FC">
        <w:rPr>
          <w:lang w:val="en-US"/>
        </w:rPr>
        <w:t>M.S :</w:t>
      </w:r>
      <w:proofErr w:type="gramEnd"/>
      <w:r w:rsidRPr="007A17FC">
        <w:rPr>
          <w:lang w:val="en-US"/>
        </w:rPr>
        <w:t xml:space="preserve"> Conceptualization, Methodology, Formal Analysis, Data Curation, Writing – Original Draft, Visualization. F.S.: Writing – Review &amp; Editing. </w:t>
      </w:r>
    </w:p>
    <w:p w14:paraId="43C0B6E9" w14:textId="39F9C2A3" w:rsidR="00E42CCF" w:rsidRDefault="00542108" w:rsidP="000752F4">
      <w:pPr>
        <w:pStyle w:val="Titre3"/>
        <w:rPr>
          <w:b w:val="0"/>
          <w:bCs w:val="0"/>
          <w:lang w:val="en-US"/>
        </w:rPr>
      </w:pPr>
      <w:bookmarkStart w:id="19" w:name="_y8ivilllshji" w:colFirst="0" w:colLast="0"/>
      <w:bookmarkEnd w:id="19"/>
      <w:r w:rsidRPr="007A17FC">
        <w:rPr>
          <w:lang w:val="en-US"/>
        </w:rPr>
        <w:t>5.6. Acknowledgments</w:t>
      </w:r>
      <w:bookmarkStart w:id="20" w:name="_ywj8guxxhdx6" w:colFirst="0" w:colLast="0"/>
      <w:bookmarkEnd w:id="20"/>
    </w:p>
    <w:p w14:paraId="4AB1444D" w14:textId="7FDA4E67" w:rsidR="00682EED" w:rsidRPr="00012EBB" w:rsidRDefault="00682EED">
      <w:pPr>
        <w:rPr>
          <w:lang w:val="it-CH"/>
        </w:rPr>
      </w:pPr>
    </w:p>
    <w:sectPr w:rsidR="00682EED" w:rsidRPr="00012E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59D30B8-5DA3-BA47-B717-A35338B01DF4}"/>
    <w:embedBold r:id="rId2" w:fontKey="{08A069C2-D707-4E4D-A09B-F5E00BBE7211}"/>
    <w:embedItalic r:id="rId3" w:fontKey="{7C2B4673-14F8-8944-9D7E-11F42E8AC31C}"/>
  </w:font>
  <w:font w:name="Arial">
    <w:panose1 w:val="020B0604020202020204"/>
    <w:charset w:val="00"/>
    <w:family w:val="swiss"/>
    <w:pitch w:val="variable"/>
    <w:sig w:usb0="E0002EFF" w:usb1="C000785B" w:usb2="00000009" w:usb3="00000000" w:csb0="000001FF" w:csb1="00000000"/>
    <w:embedRegular r:id="rId4" w:fontKey="{6A7BCCA7-C59A-BE4F-8F86-D7FC13BD3389}"/>
  </w:font>
  <w:font w:name="Calibri">
    <w:panose1 w:val="020F0502020204030204"/>
    <w:charset w:val="00"/>
    <w:family w:val="swiss"/>
    <w:pitch w:val="variable"/>
    <w:sig w:usb0="E4002EFF" w:usb1="C000247B" w:usb2="00000009" w:usb3="00000000" w:csb0="000001FF" w:csb1="00000000"/>
    <w:embedRegular r:id="rId5" w:fontKey="{AEFFE8E6-4CAD-F44D-927E-5910523636D3}"/>
  </w:font>
  <w:font w:name="Cambria">
    <w:panose1 w:val="02040503050406030204"/>
    <w:charset w:val="00"/>
    <w:family w:val="roman"/>
    <w:pitch w:val="variable"/>
    <w:sig w:usb0="E00006FF" w:usb1="420024FF" w:usb2="02000000" w:usb3="00000000" w:csb0="0000019F" w:csb1="00000000"/>
    <w:embedRegular r:id="rId6" w:fontKey="{781991D1-9F38-4C45-AFD4-1BC23B32F1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1B18"/>
    <w:multiLevelType w:val="multilevel"/>
    <w:tmpl w:val="B21C6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5B6AB7"/>
    <w:multiLevelType w:val="hybridMultilevel"/>
    <w:tmpl w:val="991646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67070832">
    <w:abstractNumId w:val="0"/>
  </w:num>
  <w:num w:numId="2" w16cid:durableId="200096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E4"/>
    <w:rsid w:val="00012EBB"/>
    <w:rsid w:val="000361C3"/>
    <w:rsid w:val="00051D0E"/>
    <w:rsid w:val="00052BA9"/>
    <w:rsid w:val="0006614B"/>
    <w:rsid w:val="00073BFB"/>
    <w:rsid w:val="000752F4"/>
    <w:rsid w:val="00081001"/>
    <w:rsid w:val="00081CF1"/>
    <w:rsid w:val="000829E4"/>
    <w:rsid w:val="000830F2"/>
    <w:rsid w:val="000C6B75"/>
    <w:rsid w:val="000D2905"/>
    <w:rsid w:val="000D2B6D"/>
    <w:rsid w:val="000E1D82"/>
    <w:rsid w:val="000E7BD1"/>
    <w:rsid w:val="00155F16"/>
    <w:rsid w:val="00162724"/>
    <w:rsid w:val="001948BB"/>
    <w:rsid w:val="001A4C76"/>
    <w:rsid w:val="001B08A7"/>
    <w:rsid w:val="001C4249"/>
    <w:rsid w:val="001D59DC"/>
    <w:rsid w:val="00221D6B"/>
    <w:rsid w:val="0026050A"/>
    <w:rsid w:val="0026302F"/>
    <w:rsid w:val="002857BC"/>
    <w:rsid w:val="00291DFC"/>
    <w:rsid w:val="002A0112"/>
    <w:rsid w:val="002A3EFA"/>
    <w:rsid w:val="002B6A9A"/>
    <w:rsid w:val="002F117E"/>
    <w:rsid w:val="002F6FE6"/>
    <w:rsid w:val="003037B4"/>
    <w:rsid w:val="00307974"/>
    <w:rsid w:val="00317D8C"/>
    <w:rsid w:val="00323B3B"/>
    <w:rsid w:val="0032425B"/>
    <w:rsid w:val="00331458"/>
    <w:rsid w:val="0035241B"/>
    <w:rsid w:val="00352915"/>
    <w:rsid w:val="0036019D"/>
    <w:rsid w:val="00374756"/>
    <w:rsid w:val="0037570E"/>
    <w:rsid w:val="003828BA"/>
    <w:rsid w:val="003A56D6"/>
    <w:rsid w:val="003B37F6"/>
    <w:rsid w:val="003D2F0A"/>
    <w:rsid w:val="003D39F1"/>
    <w:rsid w:val="003D4716"/>
    <w:rsid w:val="003E11E3"/>
    <w:rsid w:val="003E444A"/>
    <w:rsid w:val="003F6302"/>
    <w:rsid w:val="00414B13"/>
    <w:rsid w:val="0042578C"/>
    <w:rsid w:val="00426BF4"/>
    <w:rsid w:val="00447933"/>
    <w:rsid w:val="004A7671"/>
    <w:rsid w:val="004B3794"/>
    <w:rsid w:val="004B3EB2"/>
    <w:rsid w:val="004D0F2B"/>
    <w:rsid w:val="004E317C"/>
    <w:rsid w:val="00540D3B"/>
    <w:rsid w:val="00542108"/>
    <w:rsid w:val="00544599"/>
    <w:rsid w:val="00556CAC"/>
    <w:rsid w:val="00575EE5"/>
    <w:rsid w:val="00596D12"/>
    <w:rsid w:val="005C4C5C"/>
    <w:rsid w:val="005C6117"/>
    <w:rsid w:val="005D2EA3"/>
    <w:rsid w:val="006006BD"/>
    <w:rsid w:val="00602626"/>
    <w:rsid w:val="0061795C"/>
    <w:rsid w:val="00651B99"/>
    <w:rsid w:val="006651E2"/>
    <w:rsid w:val="00682EED"/>
    <w:rsid w:val="00691C81"/>
    <w:rsid w:val="00694F8A"/>
    <w:rsid w:val="006A5EC7"/>
    <w:rsid w:val="006B1A20"/>
    <w:rsid w:val="006C245B"/>
    <w:rsid w:val="006E710C"/>
    <w:rsid w:val="00703BC8"/>
    <w:rsid w:val="00704E0E"/>
    <w:rsid w:val="00707288"/>
    <w:rsid w:val="00721977"/>
    <w:rsid w:val="00736B43"/>
    <w:rsid w:val="00743D76"/>
    <w:rsid w:val="007452E7"/>
    <w:rsid w:val="0076448A"/>
    <w:rsid w:val="00791DDC"/>
    <w:rsid w:val="007A17FC"/>
    <w:rsid w:val="007A1F45"/>
    <w:rsid w:val="007A2814"/>
    <w:rsid w:val="007A44DD"/>
    <w:rsid w:val="007B3081"/>
    <w:rsid w:val="007F001B"/>
    <w:rsid w:val="007F23AA"/>
    <w:rsid w:val="007F6656"/>
    <w:rsid w:val="00866197"/>
    <w:rsid w:val="008B447F"/>
    <w:rsid w:val="008C2387"/>
    <w:rsid w:val="008F7DBC"/>
    <w:rsid w:val="0090474B"/>
    <w:rsid w:val="00915EA4"/>
    <w:rsid w:val="009320C6"/>
    <w:rsid w:val="009331EB"/>
    <w:rsid w:val="00950516"/>
    <w:rsid w:val="00951045"/>
    <w:rsid w:val="009647C4"/>
    <w:rsid w:val="00966E60"/>
    <w:rsid w:val="0096712C"/>
    <w:rsid w:val="009D2430"/>
    <w:rsid w:val="009F20C0"/>
    <w:rsid w:val="009F28A6"/>
    <w:rsid w:val="009F3516"/>
    <w:rsid w:val="00A00B7E"/>
    <w:rsid w:val="00A14BB1"/>
    <w:rsid w:val="00A30C86"/>
    <w:rsid w:val="00A458D0"/>
    <w:rsid w:val="00A465C9"/>
    <w:rsid w:val="00A55E0C"/>
    <w:rsid w:val="00A63BB7"/>
    <w:rsid w:val="00AA11B1"/>
    <w:rsid w:val="00AB1B1C"/>
    <w:rsid w:val="00AD0686"/>
    <w:rsid w:val="00AE0DFD"/>
    <w:rsid w:val="00AE1885"/>
    <w:rsid w:val="00B124BB"/>
    <w:rsid w:val="00B13BA1"/>
    <w:rsid w:val="00B24D5E"/>
    <w:rsid w:val="00B262B7"/>
    <w:rsid w:val="00B57188"/>
    <w:rsid w:val="00B776B0"/>
    <w:rsid w:val="00B80F83"/>
    <w:rsid w:val="00B83814"/>
    <w:rsid w:val="00B877A7"/>
    <w:rsid w:val="00B91CE2"/>
    <w:rsid w:val="00BA5DF2"/>
    <w:rsid w:val="00BA720A"/>
    <w:rsid w:val="00BB2839"/>
    <w:rsid w:val="00BD1039"/>
    <w:rsid w:val="00BE1F6F"/>
    <w:rsid w:val="00C02771"/>
    <w:rsid w:val="00C25443"/>
    <w:rsid w:val="00C31118"/>
    <w:rsid w:val="00C4252A"/>
    <w:rsid w:val="00C43C8F"/>
    <w:rsid w:val="00C70F06"/>
    <w:rsid w:val="00C71868"/>
    <w:rsid w:val="00C84CD8"/>
    <w:rsid w:val="00C86498"/>
    <w:rsid w:val="00C97945"/>
    <w:rsid w:val="00CB07D5"/>
    <w:rsid w:val="00CB1243"/>
    <w:rsid w:val="00CD0DB3"/>
    <w:rsid w:val="00CD47A2"/>
    <w:rsid w:val="00CF3213"/>
    <w:rsid w:val="00CF4D29"/>
    <w:rsid w:val="00D20462"/>
    <w:rsid w:val="00D55EAC"/>
    <w:rsid w:val="00D67C28"/>
    <w:rsid w:val="00D71995"/>
    <w:rsid w:val="00D7209C"/>
    <w:rsid w:val="00DD280F"/>
    <w:rsid w:val="00DF2909"/>
    <w:rsid w:val="00E42CCF"/>
    <w:rsid w:val="00E462C7"/>
    <w:rsid w:val="00E5054F"/>
    <w:rsid w:val="00E65F99"/>
    <w:rsid w:val="00E91655"/>
    <w:rsid w:val="00EA4683"/>
    <w:rsid w:val="00EC40C6"/>
    <w:rsid w:val="00ED3C42"/>
    <w:rsid w:val="00EE3F83"/>
    <w:rsid w:val="00EF27B1"/>
    <w:rsid w:val="00F04387"/>
    <w:rsid w:val="00F403F8"/>
    <w:rsid w:val="00F53CE8"/>
    <w:rsid w:val="00F6090C"/>
    <w:rsid w:val="00F91A91"/>
    <w:rsid w:val="00FA2744"/>
    <w:rsid w:val="00FA3DC5"/>
    <w:rsid w:val="00FA6248"/>
    <w:rsid w:val="00FC19AC"/>
    <w:rsid w:val="00FC75D4"/>
    <w:rsid w:val="00FF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D895"/>
  <w15:docId w15:val="{CBF0F9EC-4C63-4143-908A-8AED61FB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DB3"/>
    <w:pPr>
      <w:spacing w:after="0" w:line="240" w:lineRule="auto"/>
    </w:pPr>
    <w:rPr>
      <w:lang w:val="fr-CH" w:eastAsia="fr-FR"/>
    </w:rPr>
  </w:style>
  <w:style w:type="paragraph" w:styleId="Titre1">
    <w:name w:val="heading 1"/>
    <w:basedOn w:val="Normal"/>
    <w:next w:val="Normal"/>
    <w:uiPriority w:val="9"/>
    <w:qFormat/>
    <w:pPr>
      <w:keepNext/>
      <w:keepLines/>
      <w:spacing w:before="400" w:after="120" w:line="360" w:lineRule="auto"/>
      <w:outlineLvl w:val="0"/>
    </w:pPr>
    <w:rPr>
      <w:sz w:val="40"/>
      <w:szCs w:val="40"/>
      <w:lang w:val="fr" w:eastAsia="en-US"/>
    </w:rPr>
  </w:style>
  <w:style w:type="paragraph" w:styleId="Titre2">
    <w:name w:val="heading 2"/>
    <w:basedOn w:val="Normal"/>
    <w:next w:val="Normal"/>
    <w:uiPriority w:val="9"/>
    <w:unhideWhenUsed/>
    <w:qFormat/>
    <w:pPr>
      <w:keepNext/>
      <w:keepLines/>
      <w:spacing w:before="240" w:after="240" w:line="360" w:lineRule="auto"/>
      <w:outlineLvl w:val="1"/>
    </w:pPr>
    <w:rPr>
      <w:b/>
      <w:bCs/>
      <w:sz w:val="28"/>
      <w:szCs w:val="28"/>
      <w:lang w:val="fr" w:eastAsia="en-US"/>
    </w:rPr>
  </w:style>
  <w:style w:type="paragraph" w:styleId="Titre3">
    <w:name w:val="heading 3"/>
    <w:basedOn w:val="Normal"/>
    <w:next w:val="Normal"/>
    <w:uiPriority w:val="9"/>
    <w:unhideWhenUsed/>
    <w:qFormat/>
    <w:pPr>
      <w:keepNext/>
      <w:keepLines/>
      <w:spacing w:before="360" w:after="80" w:line="360" w:lineRule="auto"/>
      <w:outlineLvl w:val="2"/>
    </w:pPr>
    <w:rPr>
      <w:b/>
      <w:bCs/>
      <w:lang w:val="fr" w:eastAsia="en-US"/>
    </w:rPr>
  </w:style>
  <w:style w:type="paragraph" w:styleId="Titre4">
    <w:name w:val="heading 4"/>
    <w:basedOn w:val="Normal"/>
    <w:next w:val="Normal"/>
    <w:uiPriority w:val="9"/>
    <w:unhideWhenUsed/>
    <w:qFormat/>
    <w:pPr>
      <w:keepNext/>
      <w:keepLines/>
      <w:spacing w:before="280" w:after="80" w:line="360" w:lineRule="auto"/>
      <w:outlineLvl w:val="3"/>
    </w:pPr>
    <w:rPr>
      <w:color w:val="666666"/>
      <w:lang w:val="fr" w:eastAsia="en-US"/>
    </w:rPr>
  </w:style>
  <w:style w:type="paragraph" w:styleId="Titre5">
    <w:name w:val="heading 5"/>
    <w:basedOn w:val="Normal"/>
    <w:next w:val="Normal"/>
    <w:uiPriority w:val="9"/>
    <w:semiHidden/>
    <w:unhideWhenUsed/>
    <w:qFormat/>
    <w:pPr>
      <w:keepNext/>
      <w:keepLines/>
      <w:spacing w:before="240" w:after="80" w:line="360" w:lineRule="auto"/>
      <w:outlineLvl w:val="4"/>
    </w:pPr>
    <w:rPr>
      <w:color w:val="666666"/>
      <w:sz w:val="22"/>
      <w:szCs w:val="22"/>
      <w:lang w:val="fr" w:eastAsia="en-US"/>
    </w:rPr>
  </w:style>
  <w:style w:type="paragraph" w:styleId="Titre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line="360" w:lineRule="auto"/>
    </w:pPr>
    <w:rPr>
      <w:sz w:val="52"/>
      <w:szCs w:val="52"/>
      <w:lang w:val="fr" w:eastAsia="en-US"/>
    </w:rPr>
  </w:style>
  <w:style w:type="paragraph" w:styleId="Sous-titre">
    <w:name w:val="Subtitle"/>
    <w:basedOn w:val="Normal"/>
    <w:next w:val="Normal"/>
    <w:uiPriority w:val="11"/>
    <w:qFormat/>
    <w:pPr>
      <w:keepNext/>
      <w:keepLines/>
      <w:spacing w:after="320" w:line="360" w:lineRule="auto"/>
    </w:pPr>
    <w:rPr>
      <w:rFonts w:ascii="Arial" w:eastAsia="Arial" w:hAnsi="Arial" w:cs="Arial"/>
      <w:color w:val="666666"/>
      <w:sz w:val="30"/>
      <w:szCs w:val="30"/>
      <w:lang w:val="fr"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vision">
    <w:name w:val="Revision"/>
    <w:hidden/>
    <w:uiPriority w:val="99"/>
    <w:semiHidden/>
    <w:rsid w:val="007A17FC"/>
    <w:pPr>
      <w:spacing w:after="0" w:line="240" w:lineRule="auto"/>
    </w:pPr>
  </w:style>
  <w:style w:type="character" w:styleId="Marquedecommentaire">
    <w:name w:val="annotation reference"/>
    <w:basedOn w:val="Policepardfaut"/>
    <w:uiPriority w:val="99"/>
    <w:semiHidden/>
    <w:unhideWhenUsed/>
    <w:rsid w:val="007A17FC"/>
    <w:rPr>
      <w:sz w:val="16"/>
      <w:szCs w:val="16"/>
    </w:rPr>
  </w:style>
  <w:style w:type="paragraph" w:styleId="Commentaire">
    <w:name w:val="annotation text"/>
    <w:basedOn w:val="Normal"/>
    <w:link w:val="CommentaireCar"/>
    <w:uiPriority w:val="99"/>
    <w:unhideWhenUsed/>
    <w:rsid w:val="007A17FC"/>
    <w:pPr>
      <w:spacing w:after="200"/>
    </w:pPr>
    <w:rPr>
      <w:sz w:val="20"/>
      <w:szCs w:val="20"/>
      <w:lang w:val="fr" w:eastAsia="en-US"/>
    </w:rPr>
  </w:style>
  <w:style w:type="character" w:customStyle="1" w:styleId="CommentaireCar">
    <w:name w:val="Commentaire Car"/>
    <w:basedOn w:val="Policepardfaut"/>
    <w:link w:val="Commentaire"/>
    <w:uiPriority w:val="99"/>
    <w:rsid w:val="007A17FC"/>
    <w:rPr>
      <w:sz w:val="20"/>
      <w:szCs w:val="20"/>
    </w:rPr>
  </w:style>
  <w:style w:type="paragraph" w:styleId="Objetducommentaire">
    <w:name w:val="annotation subject"/>
    <w:basedOn w:val="Commentaire"/>
    <w:next w:val="Commentaire"/>
    <w:link w:val="ObjetducommentaireCar"/>
    <w:uiPriority w:val="99"/>
    <w:semiHidden/>
    <w:unhideWhenUsed/>
    <w:rsid w:val="007A17FC"/>
    <w:rPr>
      <w:b/>
      <w:bCs/>
    </w:rPr>
  </w:style>
  <w:style w:type="character" w:customStyle="1" w:styleId="ObjetducommentaireCar">
    <w:name w:val="Objet du commentaire Car"/>
    <w:basedOn w:val="CommentaireCar"/>
    <w:link w:val="Objetducommentaire"/>
    <w:uiPriority w:val="99"/>
    <w:semiHidden/>
    <w:rsid w:val="007A17FC"/>
    <w:rPr>
      <w:b/>
      <w:bCs/>
      <w:sz w:val="20"/>
      <w:szCs w:val="20"/>
    </w:rPr>
  </w:style>
  <w:style w:type="character" w:styleId="Lienhypertexte">
    <w:name w:val="Hyperlink"/>
    <w:basedOn w:val="Policepardfaut"/>
    <w:uiPriority w:val="99"/>
    <w:unhideWhenUsed/>
    <w:rsid w:val="00A30C86"/>
    <w:rPr>
      <w:color w:val="0000FF" w:themeColor="hyperlink"/>
      <w:u w:val="single"/>
    </w:rPr>
  </w:style>
  <w:style w:type="character" w:styleId="Mentionnonrsolue">
    <w:name w:val="Unresolved Mention"/>
    <w:basedOn w:val="Policepardfaut"/>
    <w:uiPriority w:val="99"/>
    <w:semiHidden/>
    <w:unhideWhenUsed/>
    <w:rsid w:val="00A30C86"/>
    <w:rPr>
      <w:color w:val="605E5C"/>
      <w:shd w:val="clear" w:color="auto" w:fill="E1DFDD"/>
    </w:rPr>
  </w:style>
  <w:style w:type="character" w:customStyle="1" w:styleId="s1">
    <w:name w:val="s1"/>
    <w:basedOn w:val="Policepardfaut"/>
    <w:rsid w:val="00682EED"/>
  </w:style>
  <w:style w:type="character" w:customStyle="1" w:styleId="s2">
    <w:name w:val="s2"/>
    <w:basedOn w:val="Policepardfaut"/>
    <w:rsid w:val="00682EED"/>
  </w:style>
  <w:style w:type="paragraph" w:customStyle="1" w:styleId="p1">
    <w:name w:val="p1"/>
    <w:basedOn w:val="Normal"/>
    <w:rsid w:val="00682EED"/>
    <w:pPr>
      <w:spacing w:before="100" w:beforeAutospacing="1" w:after="100" w:afterAutospacing="1"/>
    </w:pPr>
  </w:style>
  <w:style w:type="paragraph" w:customStyle="1" w:styleId="p2">
    <w:name w:val="p2"/>
    <w:basedOn w:val="Normal"/>
    <w:rsid w:val="00682EED"/>
    <w:pPr>
      <w:spacing w:before="100" w:beforeAutospacing="1" w:after="100" w:afterAutospacing="1"/>
    </w:pPr>
  </w:style>
  <w:style w:type="table" w:styleId="TableauGrille1Clair">
    <w:name w:val="Grid Table 1 Light"/>
    <w:basedOn w:val="TableauNormal"/>
    <w:uiPriority w:val="46"/>
    <w:rsid w:val="00682E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3">
    <w:name w:val="p3"/>
    <w:basedOn w:val="Normal"/>
    <w:rsid w:val="00682EED"/>
    <w:pPr>
      <w:spacing w:before="100" w:beforeAutospacing="1" w:after="100" w:afterAutospacing="1"/>
    </w:pPr>
  </w:style>
  <w:style w:type="paragraph" w:styleId="NormalWeb">
    <w:name w:val="Normal (Web)"/>
    <w:basedOn w:val="Normal"/>
    <w:uiPriority w:val="99"/>
    <w:semiHidden/>
    <w:unhideWhenUsed/>
    <w:rsid w:val="00331458"/>
    <w:pPr>
      <w:spacing w:before="100" w:beforeAutospacing="1" w:after="100" w:afterAutospacing="1"/>
    </w:pPr>
  </w:style>
  <w:style w:type="table" w:styleId="Grilledutableau">
    <w:name w:val="Table Grid"/>
    <w:basedOn w:val="TableauNormal"/>
    <w:uiPriority w:val="39"/>
    <w:rsid w:val="00A1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FC19AC"/>
    <w:rPr>
      <w:b/>
      <w:bCs/>
    </w:rPr>
  </w:style>
  <w:style w:type="paragraph" w:styleId="Bibliographie">
    <w:name w:val="Bibliography"/>
    <w:basedOn w:val="Normal"/>
    <w:next w:val="Normal"/>
    <w:uiPriority w:val="37"/>
    <w:unhideWhenUsed/>
    <w:rsid w:val="00E42CCF"/>
    <w:pPr>
      <w:spacing w:line="480" w:lineRule="auto"/>
      <w:ind w:left="720" w:hanging="720"/>
    </w:pPr>
  </w:style>
  <w:style w:type="paragraph" w:styleId="Paragraphedeliste">
    <w:name w:val="List Paragraph"/>
    <w:basedOn w:val="Normal"/>
    <w:uiPriority w:val="34"/>
    <w:qFormat/>
    <w:rsid w:val="00E42C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17">
      <w:bodyDiv w:val="1"/>
      <w:marLeft w:val="0"/>
      <w:marRight w:val="0"/>
      <w:marTop w:val="0"/>
      <w:marBottom w:val="0"/>
      <w:divBdr>
        <w:top w:val="none" w:sz="0" w:space="0" w:color="auto"/>
        <w:left w:val="none" w:sz="0" w:space="0" w:color="auto"/>
        <w:bottom w:val="none" w:sz="0" w:space="0" w:color="auto"/>
        <w:right w:val="none" w:sz="0" w:space="0" w:color="auto"/>
      </w:divBdr>
      <w:divsChild>
        <w:div w:id="1647783096">
          <w:blockQuote w:val="1"/>
          <w:marLeft w:val="225"/>
          <w:marRight w:val="0"/>
          <w:marTop w:val="0"/>
          <w:marBottom w:val="0"/>
          <w:divBdr>
            <w:top w:val="none" w:sz="0" w:space="0" w:color="auto"/>
            <w:left w:val="none" w:sz="0" w:space="0" w:color="auto"/>
            <w:bottom w:val="none" w:sz="0" w:space="0" w:color="auto"/>
            <w:right w:val="none" w:sz="0" w:space="0" w:color="auto"/>
          </w:divBdr>
        </w:div>
        <w:div w:id="768702547">
          <w:blockQuote w:val="1"/>
          <w:marLeft w:val="225"/>
          <w:marRight w:val="0"/>
          <w:marTop w:val="0"/>
          <w:marBottom w:val="0"/>
          <w:divBdr>
            <w:top w:val="none" w:sz="0" w:space="0" w:color="auto"/>
            <w:left w:val="none" w:sz="0" w:space="0" w:color="auto"/>
            <w:bottom w:val="none" w:sz="0" w:space="0" w:color="auto"/>
            <w:right w:val="none" w:sz="0" w:space="0" w:color="auto"/>
          </w:divBdr>
        </w:div>
        <w:div w:id="557397226">
          <w:blockQuote w:val="1"/>
          <w:marLeft w:val="225"/>
          <w:marRight w:val="0"/>
          <w:marTop w:val="0"/>
          <w:marBottom w:val="0"/>
          <w:divBdr>
            <w:top w:val="none" w:sz="0" w:space="0" w:color="auto"/>
            <w:left w:val="none" w:sz="0" w:space="0" w:color="auto"/>
            <w:bottom w:val="none" w:sz="0" w:space="0" w:color="auto"/>
            <w:right w:val="none" w:sz="0" w:space="0" w:color="auto"/>
          </w:divBdr>
        </w:div>
        <w:div w:id="3504535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19626">
      <w:bodyDiv w:val="1"/>
      <w:marLeft w:val="0"/>
      <w:marRight w:val="0"/>
      <w:marTop w:val="0"/>
      <w:marBottom w:val="0"/>
      <w:divBdr>
        <w:top w:val="none" w:sz="0" w:space="0" w:color="auto"/>
        <w:left w:val="none" w:sz="0" w:space="0" w:color="auto"/>
        <w:bottom w:val="none" w:sz="0" w:space="0" w:color="auto"/>
        <w:right w:val="none" w:sz="0" w:space="0" w:color="auto"/>
      </w:divBdr>
    </w:div>
    <w:div w:id="172449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65">
          <w:blockQuote w:val="1"/>
          <w:marLeft w:val="225"/>
          <w:marRight w:val="0"/>
          <w:marTop w:val="0"/>
          <w:marBottom w:val="0"/>
          <w:divBdr>
            <w:top w:val="none" w:sz="0" w:space="0" w:color="auto"/>
            <w:left w:val="none" w:sz="0" w:space="0" w:color="auto"/>
            <w:bottom w:val="none" w:sz="0" w:space="0" w:color="auto"/>
            <w:right w:val="none" w:sz="0" w:space="0" w:color="auto"/>
          </w:divBdr>
        </w:div>
        <w:div w:id="9584941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753264">
      <w:bodyDiv w:val="1"/>
      <w:marLeft w:val="0"/>
      <w:marRight w:val="0"/>
      <w:marTop w:val="0"/>
      <w:marBottom w:val="0"/>
      <w:divBdr>
        <w:top w:val="none" w:sz="0" w:space="0" w:color="auto"/>
        <w:left w:val="none" w:sz="0" w:space="0" w:color="auto"/>
        <w:bottom w:val="none" w:sz="0" w:space="0" w:color="auto"/>
        <w:right w:val="none" w:sz="0" w:space="0" w:color="auto"/>
      </w:divBdr>
    </w:div>
    <w:div w:id="62410025">
      <w:bodyDiv w:val="1"/>
      <w:marLeft w:val="0"/>
      <w:marRight w:val="0"/>
      <w:marTop w:val="0"/>
      <w:marBottom w:val="0"/>
      <w:divBdr>
        <w:top w:val="none" w:sz="0" w:space="0" w:color="auto"/>
        <w:left w:val="none" w:sz="0" w:space="0" w:color="auto"/>
        <w:bottom w:val="none" w:sz="0" w:space="0" w:color="auto"/>
        <w:right w:val="none" w:sz="0" w:space="0" w:color="auto"/>
      </w:divBdr>
      <w:divsChild>
        <w:div w:id="2118988070">
          <w:blockQuote w:val="1"/>
          <w:marLeft w:val="225"/>
          <w:marRight w:val="0"/>
          <w:marTop w:val="0"/>
          <w:marBottom w:val="0"/>
          <w:divBdr>
            <w:top w:val="none" w:sz="0" w:space="0" w:color="auto"/>
            <w:left w:val="none" w:sz="0" w:space="0" w:color="auto"/>
            <w:bottom w:val="none" w:sz="0" w:space="0" w:color="auto"/>
            <w:right w:val="none" w:sz="0" w:space="0" w:color="auto"/>
          </w:divBdr>
        </w:div>
        <w:div w:id="106393923">
          <w:blockQuote w:val="1"/>
          <w:marLeft w:val="225"/>
          <w:marRight w:val="0"/>
          <w:marTop w:val="0"/>
          <w:marBottom w:val="0"/>
          <w:divBdr>
            <w:top w:val="none" w:sz="0" w:space="0" w:color="auto"/>
            <w:left w:val="none" w:sz="0" w:space="0" w:color="auto"/>
            <w:bottom w:val="none" w:sz="0" w:space="0" w:color="auto"/>
            <w:right w:val="none" w:sz="0" w:space="0" w:color="auto"/>
          </w:divBdr>
        </w:div>
        <w:div w:id="13656714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388995">
      <w:bodyDiv w:val="1"/>
      <w:marLeft w:val="0"/>
      <w:marRight w:val="0"/>
      <w:marTop w:val="0"/>
      <w:marBottom w:val="0"/>
      <w:divBdr>
        <w:top w:val="none" w:sz="0" w:space="0" w:color="auto"/>
        <w:left w:val="none" w:sz="0" w:space="0" w:color="auto"/>
        <w:bottom w:val="none" w:sz="0" w:space="0" w:color="auto"/>
        <w:right w:val="none" w:sz="0" w:space="0" w:color="auto"/>
      </w:divBdr>
    </w:div>
    <w:div w:id="68231345">
      <w:bodyDiv w:val="1"/>
      <w:marLeft w:val="0"/>
      <w:marRight w:val="0"/>
      <w:marTop w:val="0"/>
      <w:marBottom w:val="0"/>
      <w:divBdr>
        <w:top w:val="none" w:sz="0" w:space="0" w:color="auto"/>
        <w:left w:val="none" w:sz="0" w:space="0" w:color="auto"/>
        <w:bottom w:val="none" w:sz="0" w:space="0" w:color="auto"/>
        <w:right w:val="none" w:sz="0" w:space="0" w:color="auto"/>
      </w:divBdr>
    </w:div>
    <w:div w:id="94176095">
      <w:bodyDiv w:val="1"/>
      <w:marLeft w:val="0"/>
      <w:marRight w:val="0"/>
      <w:marTop w:val="0"/>
      <w:marBottom w:val="0"/>
      <w:divBdr>
        <w:top w:val="none" w:sz="0" w:space="0" w:color="auto"/>
        <w:left w:val="none" w:sz="0" w:space="0" w:color="auto"/>
        <w:bottom w:val="none" w:sz="0" w:space="0" w:color="auto"/>
        <w:right w:val="none" w:sz="0" w:space="0" w:color="auto"/>
      </w:divBdr>
      <w:divsChild>
        <w:div w:id="1112628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885780">
      <w:bodyDiv w:val="1"/>
      <w:marLeft w:val="0"/>
      <w:marRight w:val="0"/>
      <w:marTop w:val="0"/>
      <w:marBottom w:val="0"/>
      <w:divBdr>
        <w:top w:val="none" w:sz="0" w:space="0" w:color="auto"/>
        <w:left w:val="none" w:sz="0" w:space="0" w:color="auto"/>
        <w:bottom w:val="none" w:sz="0" w:space="0" w:color="auto"/>
        <w:right w:val="none" w:sz="0" w:space="0" w:color="auto"/>
      </w:divBdr>
    </w:div>
    <w:div w:id="158274662">
      <w:bodyDiv w:val="1"/>
      <w:marLeft w:val="0"/>
      <w:marRight w:val="0"/>
      <w:marTop w:val="0"/>
      <w:marBottom w:val="0"/>
      <w:divBdr>
        <w:top w:val="none" w:sz="0" w:space="0" w:color="auto"/>
        <w:left w:val="none" w:sz="0" w:space="0" w:color="auto"/>
        <w:bottom w:val="none" w:sz="0" w:space="0" w:color="auto"/>
        <w:right w:val="none" w:sz="0" w:space="0" w:color="auto"/>
      </w:divBdr>
      <w:divsChild>
        <w:div w:id="470709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395030">
      <w:bodyDiv w:val="1"/>
      <w:marLeft w:val="0"/>
      <w:marRight w:val="0"/>
      <w:marTop w:val="0"/>
      <w:marBottom w:val="0"/>
      <w:divBdr>
        <w:top w:val="none" w:sz="0" w:space="0" w:color="auto"/>
        <w:left w:val="none" w:sz="0" w:space="0" w:color="auto"/>
        <w:bottom w:val="none" w:sz="0" w:space="0" w:color="auto"/>
        <w:right w:val="none" w:sz="0" w:space="0" w:color="auto"/>
      </w:divBdr>
      <w:divsChild>
        <w:div w:id="852720701">
          <w:blockQuote w:val="1"/>
          <w:marLeft w:val="225"/>
          <w:marRight w:val="0"/>
          <w:marTop w:val="0"/>
          <w:marBottom w:val="0"/>
          <w:divBdr>
            <w:top w:val="none" w:sz="0" w:space="0" w:color="auto"/>
            <w:left w:val="none" w:sz="0" w:space="0" w:color="auto"/>
            <w:bottom w:val="none" w:sz="0" w:space="0" w:color="auto"/>
            <w:right w:val="none" w:sz="0" w:space="0" w:color="auto"/>
          </w:divBdr>
        </w:div>
        <w:div w:id="1256093559">
          <w:blockQuote w:val="1"/>
          <w:marLeft w:val="225"/>
          <w:marRight w:val="0"/>
          <w:marTop w:val="0"/>
          <w:marBottom w:val="0"/>
          <w:divBdr>
            <w:top w:val="none" w:sz="0" w:space="0" w:color="auto"/>
            <w:left w:val="none" w:sz="0" w:space="0" w:color="auto"/>
            <w:bottom w:val="none" w:sz="0" w:space="0" w:color="auto"/>
            <w:right w:val="none" w:sz="0" w:space="0" w:color="auto"/>
          </w:divBdr>
        </w:div>
        <w:div w:id="10198897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116152">
      <w:bodyDiv w:val="1"/>
      <w:marLeft w:val="0"/>
      <w:marRight w:val="0"/>
      <w:marTop w:val="0"/>
      <w:marBottom w:val="0"/>
      <w:divBdr>
        <w:top w:val="none" w:sz="0" w:space="0" w:color="auto"/>
        <w:left w:val="none" w:sz="0" w:space="0" w:color="auto"/>
        <w:bottom w:val="none" w:sz="0" w:space="0" w:color="auto"/>
        <w:right w:val="none" w:sz="0" w:space="0" w:color="auto"/>
      </w:divBdr>
    </w:div>
    <w:div w:id="185293002">
      <w:bodyDiv w:val="1"/>
      <w:marLeft w:val="0"/>
      <w:marRight w:val="0"/>
      <w:marTop w:val="0"/>
      <w:marBottom w:val="0"/>
      <w:divBdr>
        <w:top w:val="none" w:sz="0" w:space="0" w:color="auto"/>
        <w:left w:val="none" w:sz="0" w:space="0" w:color="auto"/>
        <w:bottom w:val="none" w:sz="0" w:space="0" w:color="auto"/>
        <w:right w:val="none" w:sz="0" w:space="0" w:color="auto"/>
      </w:divBdr>
    </w:div>
    <w:div w:id="229973269">
      <w:bodyDiv w:val="1"/>
      <w:marLeft w:val="0"/>
      <w:marRight w:val="0"/>
      <w:marTop w:val="0"/>
      <w:marBottom w:val="0"/>
      <w:divBdr>
        <w:top w:val="none" w:sz="0" w:space="0" w:color="auto"/>
        <w:left w:val="none" w:sz="0" w:space="0" w:color="auto"/>
        <w:bottom w:val="none" w:sz="0" w:space="0" w:color="auto"/>
        <w:right w:val="none" w:sz="0" w:space="0" w:color="auto"/>
      </w:divBdr>
    </w:div>
    <w:div w:id="252903461">
      <w:bodyDiv w:val="1"/>
      <w:marLeft w:val="0"/>
      <w:marRight w:val="0"/>
      <w:marTop w:val="0"/>
      <w:marBottom w:val="0"/>
      <w:divBdr>
        <w:top w:val="none" w:sz="0" w:space="0" w:color="auto"/>
        <w:left w:val="none" w:sz="0" w:space="0" w:color="auto"/>
        <w:bottom w:val="none" w:sz="0" w:space="0" w:color="auto"/>
        <w:right w:val="none" w:sz="0" w:space="0" w:color="auto"/>
      </w:divBdr>
    </w:div>
    <w:div w:id="343674403">
      <w:bodyDiv w:val="1"/>
      <w:marLeft w:val="0"/>
      <w:marRight w:val="0"/>
      <w:marTop w:val="0"/>
      <w:marBottom w:val="0"/>
      <w:divBdr>
        <w:top w:val="none" w:sz="0" w:space="0" w:color="auto"/>
        <w:left w:val="none" w:sz="0" w:space="0" w:color="auto"/>
        <w:bottom w:val="none" w:sz="0" w:space="0" w:color="auto"/>
        <w:right w:val="none" w:sz="0" w:space="0" w:color="auto"/>
      </w:divBdr>
    </w:div>
    <w:div w:id="357699722">
      <w:bodyDiv w:val="1"/>
      <w:marLeft w:val="0"/>
      <w:marRight w:val="0"/>
      <w:marTop w:val="0"/>
      <w:marBottom w:val="0"/>
      <w:divBdr>
        <w:top w:val="none" w:sz="0" w:space="0" w:color="auto"/>
        <w:left w:val="none" w:sz="0" w:space="0" w:color="auto"/>
        <w:bottom w:val="none" w:sz="0" w:space="0" w:color="auto"/>
        <w:right w:val="none" w:sz="0" w:space="0" w:color="auto"/>
      </w:divBdr>
    </w:div>
    <w:div w:id="359935367">
      <w:bodyDiv w:val="1"/>
      <w:marLeft w:val="0"/>
      <w:marRight w:val="0"/>
      <w:marTop w:val="0"/>
      <w:marBottom w:val="0"/>
      <w:divBdr>
        <w:top w:val="none" w:sz="0" w:space="0" w:color="auto"/>
        <w:left w:val="none" w:sz="0" w:space="0" w:color="auto"/>
        <w:bottom w:val="none" w:sz="0" w:space="0" w:color="auto"/>
        <w:right w:val="none" w:sz="0" w:space="0" w:color="auto"/>
      </w:divBdr>
    </w:div>
    <w:div w:id="363332123">
      <w:bodyDiv w:val="1"/>
      <w:marLeft w:val="0"/>
      <w:marRight w:val="0"/>
      <w:marTop w:val="0"/>
      <w:marBottom w:val="0"/>
      <w:divBdr>
        <w:top w:val="none" w:sz="0" w:space="0" w:color="auto"/>
        <w:left w:val="none" w:sz="0" w:space="0" w:color="auto"/>
        <w:bottom w:val="none" w:sz="0" w:space="0" w:color="auto"/>
        <w:right w:val="none" w:sz="0" w:space="0" w:color="auto"/>
      </w:divBdr>
      <w:divsChild>
        <w:div w:id="1469980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4495651">
      <w:bodyDiv w:val="1"/>
      <w:marLeft w:val="0"/>
      <w:marRight w:val="0"/>
      <w:marTop w:val="0"/>
      <w:marBottom w:val="0"/>
      <w:divBdr>
        <w:top w:val="none" w:sz="0" w:space="0" w:color="auto"/>
        <w:left w:val="none" w:sz="0" w:space="0" w:color="auto"/>
        <w:bottom w:val="none" w:sz="0" w:space="0" w:color="auto"/>
        <w:right w:val="none" w:sz="0" w:space="0" w:color="auto"/>
      </w:divBdr>
    </w:div>
    <w:div w:id="501890894">
      <w:bodyDiv w:val="1"/>
      <w:marLeft w:val="0"/>
      <w:marRight w:val="0"/>
      <w:marTop w:val="0"/>
      <w:marBottom w:val="0"/>
      <w:divBdr>
        <w:top w:val="none" w:sz="0" w:space="0" w:color="auto"/>
        <w:left w:val="none" w:sz="0" w:space="0" w:color="auto"/>
        <w:bottom w:val="none" w:sz="0" w:space="0" w:color="auto"/>
        <w:right w:val="none" w:sz="0" w:space="0" w:color="auto"/>
      </w:divBdr>
    </w:div>
    <w:div w:id="541282190">
      <w:bodyDiv w:val="1"/>
      <w:marLeft w:val="0"/>
      <w:marRight w:val="0"/>
      <w:marTop w:val="0"/>
      <w:marBottom w:val="0"/>
      <w:divBdr>
        <w:top w:val="none" w:sz="0" w:space="0" w:color="auto"/>
        <w:left w:val="none" w:sz="0" w:space="0" w:color="auto"/>
        <w:bottom w:val="none" w:sz="0" w:space="0" w:color="auto"/>
        <w:right w:val="none" w:sz="0" w:space="0" w:color="auto"/>
      </w:divBdr>
      <w:divsChild>
        <w:div w:id="20192361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2837160">
      <w:bodyDiv w:val="1"/>
      <w:marLeft w:val="0"/>
      <w:marRight w:val="0"/>
      <w:marTop w:val="0"/>
      <w:marBottom w:val="0"/>
      <w:divBdr>
        <w:top w:val="none" w:sz="0" w:space="0" w:color="auto"/>
        <w:left w:val="none" w:sz="0" w:space="0" w:color="auto"/>
        <w:bottom w:val="none" w:sz="0" w:space="0" w:color="auto"/>
        <w:right w:val="none" w:sz="0" w:space="0" w:color="auto"/>
      </w:divBdr>
    </w:div>
    <w:div w:id="613098851">
      <w:bodyDiv w:val="1"/>
      <w:marLeft w:val="0"/>
      <w:marRight w:val="0"/>
      <w:marTop w:val="0"/>
      <w:marBottom w:val="0"/>
      <w:divBdr>
        <w:top w:val="none" w:sz="0" w:space="0" w:color="auto"/>
        <w:left w:val="none" w:sz="0" w:space="0" w:color="auto"/>
        <w:bottom w:val="none" w:sz="0" w:space="0" w:color="auto"/>
        <w:right w:val="none" w:sz="0" w:space="0" w:color="auto"/>
      </w:divBdr>
      <w:divsChild>
        <w:div w:id="380180632">
          <w:blockQuote w:val="1"/>
          <w:marLeft w:val="225"/>
          <w:marRight w:val="0"/>
          <w:marTop w:val="0"/>
          <w:marBottom w:val="0"/>
          <w:divBdr>
            <w:top w:val="none" w:sz="0" w:space="0" w:color="auto"/>
            <w:left w:val="none" w:sz="0" w:space="0" w:color="auto"/>
            <w:bottom w:val="none" w:sz="0" w:space="0" w:color="auto"/>
            <w:right w:val="none" w:sz="0" w:space="0" w:color="auto"/>
          </w:divBdr>
        </w:div>
        <w:div w:id="161242870">
          <w:blockQuote w:val="1"/>
          <w:marLeft w:val="225"/>
          <w:marRight w:val="0"/>
          <w:marTop w:val="0"/>
          <w:marBottom w:val="0"/>
          <w:divBdr>
            <w:top w:val="none" w:sz="0" w:space="0" w:color="auto"/>
            <w:left w:val="none" w:sz="0" w:space="0" w:color="auto"/>
            <w:bottom w:val="none" w:sz="0" w:space="0" w:color="auto"/>
            <w:right w:val="none" w:sz="0" w:space="0" w:color="auto"/>
          </w:divBdr>
        </w:div>
        <w:div w:id="750002273">
          <w:blockQuote w:val="1"/>
          <w:marLeft w:val="225"/>
          <w:marRight w:val="0"/>
          <w:marTop w:val="0"/>
          <w:marBottom w:val="0"/>
          <w:divBdr>
            <w:top w:val="none" w:sz="0" w:space="0" w:color="auto"/>
            <w:left w:val="none" w:sz="0" w:space="0" w:color="auto"/>
            <w:bottom w:val="none" w:sz="0" w:space="0" w:color="auto"/>
            <w:right w:val="none" w:sz="0" w:space="0" w:color="auto"/>
          </w:divBdr>
        </w:div>
        <w:div w:id="779491635">
          <w:blockQuote w:val="1"/>
          <w:marLeft w:val="225"/>
          <w:marRight w:val="0"/>
          <w:marTop w:val="0"/>
          <w:marBottom w:val="0"/>
          <w:divBdr>
            <w:top w:val="none" w:sz="0" w:space="0" w:color="auto"/>
            <w:left w:val="none" w:sz="0" w:space="0" w:color="auto"/>
            <w:bottom w:val="none" w:sz="0" w:space="0" w:color="auto"/>
            <w:right w:val="none" w:sz="0" w:space="0" w:color="auto"/>
          </w:divBdr>
        </w:div>
        <w:div w:id="1153369053">
          <w:blockQuote w:val="1"/>
          <w:marLeft w:val="225"/>
          <w:marRight w:val="0"/>
          <w:marTop w:val="0"/>
          <w:marBottom w:val="0"/>
          <w:divBdr>
            <w:top w:val="none" w:sz="0" w:space="0" w:color="auto"/>
            <w:left w:val="none" w:sz="0" w:space="0" w:color="auto"/>
            <w:bottom w:val="none" w:sz="0" w:space="0" w:color="auto"/>
            <w:right w:val="none" w:sz="0" w:space="0" w:color="auto"/>
          </w:divBdr>
        </w:div>
        <w:div w:id="773745289">
          <w:blockQuote w:val="1"/>
          <w:marLeft w:val="225"/>
          <w:marRight w:val="0"/>
          <w:marTop w:val="0"/>
          <w:marBottom w:val="0"/>
          <w:divBdr>
            <w:top w:val="none" w:sz="0" w:space="0" w:color="auto"/>
            <w:left w:val="none" w:sz="0" w:space="0" w:color="auto"/>
            <w:bottom w:val="none" w:sz="0" w:space="0" w:color="auto"/>
            <w:right w:val="none" w:sz="0" w:space="0" w:color="auto"/>
          </w:divBdr>
        </w:div>
        <w:div w:id="544146964">
          <w:blockQuote w:val="1"/>
          <w:marLeft w:val="225"/>
          <w:marRight w:val="0"/>
          <w:marTop w:val="0"/>
          <w:marBottom w:val="0"/>
          <w:divBdr>
            <w:top w:val="none" w:sz="0" w:space="0" w:color="auto"/>
            <w:left w:val="none" w:sz="0" w:space="0" w:color="auto"/>
            <w:bottom w:val="none" w:sz="0" w:space="0" w:color="auto"/>
            <w:right w:val="none" w:sz="0" w:space="0" w:color="auto"/>
          </w:divBdr>
        </w:div>
        <w:div w:id="939333383">
          <w:blockQuote w:val="1"/>
          <w:marLeft w:val="225"/>
          <w:marRight w:val="0"/>
          <w:marTop w:val="0"/>
          <w:marBottom w:val="0"/>
          <w:divBdr>
            <w:top w:val="none" w:sz="0" w:space="0" w:color="auto"/>
            <w:left w:val="none" w:sz="0" w:space="0" w:color="auto"/>
            <w:bottom w:val="none" w:sz="0" w:space="0" w:color="auto"/>
            <w:right w:val="none" w:sz="0" w:space="0" w:color="auto"/>
          </w:divBdr>
        </w:div>
        <w:div w:id="1859852108">
          <w:blockQuote w:val="1"/>
          <w:marLeft w:val="225"/>
          <w:marRight w:val="0"/>
          <w:marTop w:val="0"/>
          <w:marBottom w:val="0"/>
          <w:divBdr>
            <w:top w:val="none" w:sz="0" w:space="0" w:color="auto"/>
            <w:left w:val="none" w:sz="0" w:space="0" w:color="auto"/>
            <w:bottom w:val="none" w:sz="0" w:space="0" w:color="auto"/>
            <w:right w:val="none" w:sz="0" w:space="0" w:color="auto"/>
          </w:divBdr>
        </w:div>
        <w:div w:id="1309020716">
          <w:blockQuote w:val="1"/>
          <w:marLeft w:val="225"/>
          <w:marRight w:val="0"/>
          <w:marTop w:val="0"/>
          <w:marBottom w:val="0"/>
          <w:divBdr>
            <w:top w:val="none" w:sz="0" w:space="0" w:color="auto"/>
            <w:left w:val="none" w:sz="0" w:space="0" w:color="auto"/>
            <w:bottom w:val="none" w:sz="0" w:space="0" w:color="auto"/>
            <w:right w:val="none" w:sz="0" w:space="0" w:color="auto"/>
          </w:divBdr>
        </w:div>
        <w:div w:id="6707902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8731268">
      <w:bodyDiv w:val="1"/>
      <w:marLeft w:val="0"/>
      <w:marRight w:val="0"/>
      <w:marTop w:val="0"/>
      <w:marBottom w:val="0"/>
      <w:divBdr>
        <w:top w:val="none" w:sz="0" w:space="0" w:color="auto"/>
        <w:left w:val="none" w:sz="0" w:space="0" w:color="auto"/>
        <w:bottom w:val="none" w:sz="0" w:space="0" w:color="auto"/>
        <w:right w:val="none" w:sz="0" w:space="0" w:color="auto"/>
      </w:divBdr>
      <w:divsChild>
        <w:div w:id="840395303">
          <w:blockQuote w:val="1"/>
          <w:marLeft w:val="225"/>
          <w:marRight w:val="0"/>
          <w:marTop w:val="0"/>
          <w:marBottom w:val="0"/>
          <w:divBdr>
            <w:top w:val="none" w:sz="0" w:space="0" w:color="auto"/>
            <w:left w:val="none" w:sz="0" w:space="0" w:color="auto"/>
            <w:bottom w:val="none" w:sz="0" w:space="0" w:color="auto"/>
            <w:right w:val="none" w:sz="0" w:space="0" w:color="auto"/>
          </w:divBdr>
        </w:div>
        <w:div w:id="120616240">
          <w:blockQuote w:val="1"/>
          <w:marLeft w:val="225"/>
          <w:marRight w:val="0"/>
          <w:marTop w:val="0"/>
          <w:marBottom w:val="0"/>
          <w:divBdr>
            <w:top w:val="none" w:sz="0" w:space="0" w:color="auto"/>
            <w:left w:val="none" w:sz="0" w:space="0" w:color="auto"/>
            <w:bottom w:val="none" w:sz="0" w:space="0" w:color="auto"/>
            <w:right w:val="none" w:sz="0" w:space="0" w:color="auto"/>
          </w:divBdr>
        </w:div>
        <w:div w:id="1427507065">
          <w:blockQuote w:val="1"/>
          <w:marLeft w:val="225"/>
          <w:marRight w:val="0"/>
          <w:marTop w:val="0"/>
          <w:marBottom w:val="0"/>
          <w:divBdr>
            <w:top w:val="none" w:sz="0" w:space="0" w:color="auto"/>
            <w:left w:val="none" w:sz="0" w:space="0" w:color="auto"/>
            <w:bottom w:val="none" w:sz="0" w:space="0" w:color="auto"/>
            <w:right w:val="none" w:sz="0" w:space="0" w:color="auto"/>
          </w:divBdr>
        </w:div>
        <w:div w:id="1174952022">
          <w:blockQuote w:val="1"/>
          <w:marLeft w:val="225"/>
          <w:marRight w:val="0"/>
          <w:marTop w:val="0"/>
          <w:marBottom w:val="0"/>
          <w:divBdr>
            <w:top w:val="none" w:sz="0" w:space="0" w:color="auto"/>
            <w:left w:val="none" w:sz="0" w:space="0" w:color="auto"/>
            <w:bottom w:val="none" w:sz="0" w:space="0" w:color="auto"/>
            <w:right w:val="none" w:sz="0" w:space="0" w:color="auto"/>
          </w:divBdr>
        </w:div>
        <w:div w:id="2026207163">
          <w:blockQuote w:val="1"/>
          <w:marLeft w:val="225"/>
          <w:marRight w:val="0"/>
          <w:marTop w:val="0"/>
          <w:marBottom w:val="0"/>
          <w:divBdr>
            <w:top w:val="none" w:sz="0" w:space="0" w:color="auto"/>
            <w:left w:val="none" w:sz="0" w:space="0" w:color="auto"/>
            <w:bottom w:val="none" w:sz="0" w:space="0" w:color="auto"/>
            <w:right w:val="none" w:sz="0" w:space="0" w:color="auto"/>
          </w:divBdr>
        </w:div>
        <w:div w:id="1940412325">
          <w:blockQuote w:val="1"/>
          <w:marLeft w:val="225"/>
          <w:marRight w:val="0"/>
          <w:marTop w:val="0"/>
          <w:marBottom w:val="0"/>
          <w:divBdr>
            <w:top w:val="none" w:sz="0" w:space="0" w:color="auto"/>
            <w:left w:val="none" w:sz="0" w:space="0" w:color="auto"/>
            <w:bottom w:val="none" w:sz="0" w:space="0" w:color="auto"/>
            <w:right w:val="none" w:sz="0" w:space="0" w:color="auto"/>
          </w:divBdr>
        </w:div>
        <w:div w:id="96220897">
          <w:blockQuote w:val="1"/>
          <w:marLeft w:val="225"/>
          <w:marRight w:val="0"/>
          <w:marTop w:val="0"/>
          <w:marBottom w:val="0"/>
          <w:divBdr>
            <w:top w:val="none" w:sz="0" w:space="0" w:color="auto"/>
            <w:left w:val="none" w:sz="0" w:space="0" w:color="auto"/>
            <w:bottom w:val="none" w:sz="0" w:space="0" w:color="auto"/>
            <w:right w:val="none" w:sz="0" w:space="0" w:color="auto"/>
          </w:divBdr>
        </w:div>
        <w:div w:id="1956134247">
          <w:blockQuote w:val="1"/>
          <w:marLeft w:val="225"/>
          <w:marRight w:val="0"/>
          <w:marTop w:val="0"/>
          <w:marBottom w:val="0"/>
          <w:divBdr>
            <w:top w:val="none" w:sz="0" w:space="0" w:color="auto"/>
            <w:left w:val="none" w:sz="0" w:space="0" w:color="auto"/>
            <w:bottom w:val="none" w:sz="0" w:space="0" w:color="auto"/>
            <w:right w:val="none" w:sz="0" w:space="0" w:color="auto"/>
          </w:divBdr>
        </w:div>
        <w:div w:id="550075352">
          <w:blockQuote w:val="1"/>
          <w:marLeft w:val="225"/>
          <w:marRight w:val="0"/>
          <w:marTop w:val="0"/>
          <w:marBottom w:val="0"/>
          <w:divBdr>
            <w:top w:val="none" w:sz="0" w:space="0" w:color="auto"/>
            <w:left w:val="none" w:sz="0" w:space="0" w:color="auto"/>
            <w:bottom w:val="none" w:sz="0" w:space="0" w:color="auto"/>
            <w:right w:val="none" w:sz="0" w:space="0" w:color="auto"/>
          </w:divBdr>
        </w:div>
        <w:div w:id="1181047122">
          <w:blockQuote w:val="1"/>
          <w:marLeft w:val="225"/>
          <w:marRight w:val="0"/>
          <w:marTop w:val="0"/>
          <w:marBottom w:val="0"/>
          <w:divBdr>
            <w:top w:val="none" w:sz="0" w:space="0" w:color="auto"/>
            <w:left w:val="none" w:sz="0" w:space="0" w:color="auto"/>
            <w:bottom w:val="none" w:sz="0" w:space="0" w:color="auto"/>
            <w:right w:val="none" w:sz="0" w:space="0" w:color="auto"/>
          </w:divBdr>
        </w:div>
        <w:div w:id="10671463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4393022">
      <w:bodyDiv w:val="1"/>
      <w:marLeft w:val="0"/>
      <w:marRight w:val="0"/>
      <w:marTop w:val="0"/>
      <w:marBottom w:val="0"/>
      <w:divBdr>
        <w:top w:val="none" w:sz="0" w:space="0" w:color="auto"/>
        <w:left w:val="none" w:sz="0" w:space="0" w:color="auto"/>
        <w:bottom w:val="none" w:sz="0" w:space="0" w:color="auto"/>
        <w:right w:val="none" w:sz="0" w:space="0" w:color="auto"/>
      </w:divBdr>
      <w:divsChild>
        <w:div w:id="17365879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2220149">
      <w:bodyDiv w:val="1"/>
      <w:marLeft w:val="0"/>
      <w:marRight w:val="0"/>
      <w:marTop w:val="0"/>
      <w:marBottom w:val="0"/>
      <w:divBdr>
        <w:top w:val="none" w:sz="0" w:space="0" w:color="auto"/>
        <w:left w:val="none" w:sz="0" w:space="0" w:color="auto"/>
        <w:bottom w:val="none" w:sz="0" w:space="0" w:color="auto"/>
        <w:right w:val="none" w:sz="0" w:space="0" w:color="auto"/>
      </w:divBdr>
    </w:div>
    <w:div w:id="738863159">
      <w:bodyDiv w:val="1"/>
      <w:marLeft w:val="0"/>
      <w:marRight w:val="0"/>
      <w:marTop w:val="0"/>
      <w:marBottom w:val="0"/>
      <w:divBdr>
        <w:top w:val="none" w:sz="0" w:space="0" w:color="auto"/>
        <w:left w:val="none" w:sz="0" w:space="0" w:color="auto"/>
        <w:bottom w:val="none" w:sz="0" w:space="0" w:color="auto"/>
        <w:right w:val="none" w:sz="0" w:space="0" w:color="auto"/>
      </w:divBdr>
      <w:divsChild>
        <w:div w:id="11682497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9327136">
      <w:bodyDiv w:val="1"/>
      <w:marLeft w:val="0"/>
      <w:marRight w:val="0"/>
      <w:marTop w:val="0"/>
      <w:marBottom w:val="0"/>
      <w:divBdr>
        <w:top w:val="none" w:sz="0" w:space="0" w:color="auto"/>
        <w:left w:val="none" w:sz="0" w:space="0" w:color="auto"/>
        <w:bottom w:val="none" w:sz="0" w:space="0" w:color="auto"/>
        <w:right w:val="none" w:sz="0" w:space="0" w:color="auto"/>
      </w:divBdr>
      <w:divsChild>
        <w:div w:id="1574586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2209082">
      <w:bodyDiv w:val="1"/>
      <w:marLeft w:val="0"/>
      <w:marRight w:val="0"/>
      <w:marTop w:val="0"/>
      <w:marBottom w:val="0"/>
      <w:divBdr>
        <w:top w:val="none" w:sz="0" w:space="0" w:color="auto"/>
        <w:left w:val="none" w:sz="0" w:space="0" w:color="auto"/>
        <w:bottom w:val="none" w:sz="0" w:space="0" w:color="auto"/>
        <w:right w:val="none" w:sz="0" w:space="0" w:color="auto"/>
      </w:divBdr>
    </w:div>
    <w:div w:id="811019240">
      <w:bodyDiv w:val="1"/>
      <w:marLeft w:val="0"/>
      <w:marRight w:val="0"/>
      <w:marTop w:val="0"/>
      <w:marBottom w:val="0"/>
      <w:divBdr>
        <w:top w:val="none" w:sz="0" w:space="0" w:color="auto"/>
        <w:left w:val="none" w:sz="0" w:space="0" w:color="auto"/>
        <w:bottom w:val="none" w:sz="0" w:space="0" w:color="auto"/>
        <w:right w:val="none" w:sz="0" w:space="0" w:color="auto"/>
      </w:divBdr>
      <w:divsChild>
        <w:div w:id="355884501">
          <w:blockQuote w:val="1"/>
          <w:marLeft w:val="225"/>
          <w:marRight w:val="0"/>
          <w:marTop w:val="0"/>
          <w:marBottom w:val="0"/>
          <w:divBdr>
            <w:top w:val="none" w:sz="0" w:space="0" w:color="auto"/>
            <w:left w:val="none" w:sz="0" w:space="0" w:color="auto"/>
            <w:bottom w:val="none" w:sz="0" w:space="0" w:color="auto"/>
            <w:right w:val="none" w:sz="0" w:space="0" w:color="auto"/>
          </w:divBdr>
        </w:div>
        <w:div w:id="1576014264">
          <w:blockQuote w:val="1"/>
          <w:marLeft w:val="225"/>
          <w:marRight w:val="0"/>
          <w:marTop w:val="0"/>
          <w:marBottom w:val="0"/>
          <w:divBdr>
            <w:top w:val="none" w:sz="0" w:space="0" w:color="auto"/>
            <w:left w:val="none" w:sz="0" w:space="0" w:color="auto"/>
            <w:bottom w:val="none" w:sz="0" w:space="0" w:color="auto"/>
            <w:right w:val="none" w:sz="0" w:space="0" w:color="auto"/>
          </w:divBdr>
        </w:div>
        <w:div w:id="14863616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1943137">
      <w:bodyDiv w:val="1"/>
      <w:marLeft w:val="0"/>
      <w:marRight w:val="0"/>
      <w:marTop w:val="0"/>
      <w:marBottom w:val="0"/>
      <w:divBdr>
        <w:top w:val="none" w:sz="0" w:space="0" w:color="auto"/>
        <w:left w:val="none" w:sz="0" w:space="0" w:color="auto"/>
        <w:bottom w:val="none" w:sz="0" w:space="0" w:color="auto"/>
        <w:right w:val="none" w:sz="0" w:space="0" w:color="auto"/>
      </w:divBdr>
      <w:divsChild>
        <w:div w:id="1980381424">
          <w:blockQuote w:val="1"/>
          <w:marLeft w:val="225"/>
          <w:marRight w:val="0"/>
          <w:marTop w:val="0"/>
          <w:marBottom w:val="0"/>
          <w:divBdr>
            <w:top w:val="none" w:sz="0" w:space="0" w:color="auto"/>
            <w:left w:val="none" w:sz="0" w:space="0" w:color="auto"/>
            <w:bottom w:val="none" w:sz="0" w:space="0" w:color="auto"/>
            <w:right w:val="none" w:sz="0" w:space="0" w:color="auto"/>
          </w:divBdr>
        </w:div>
        <w:div w:id="1430157282">
          <w:blockQuote w:val="1"/>
          <w:marLeft w:val="225"/>
          <w:marRight w:val="0"/>
          <w:marTop w:val="0"/>
          <w:marBottom w:val="0"/>
          <w:divBdr>
            <w:top w:val="none" w:sz="0" w:space="0" w:color="auto"/>
            <w:left w:val="none" w:sz="0" w:space="0" w:color="auto"/>
            <w:bottom w:val="none" w:sz="0" w:space="0" w:color="auto"/>
            <w:right w:val="none" w:sz="0" w:space="0" w:color="auto"/>
          </w:divBdr>
        </w:div>
        <w:div w:id="11125546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7467175">
      <w:bodyDiv w:val="1"/>
      <w:marLeft w:val="0"/>
      <w:marRight w:val="0"/>
      <w:marTop w:val="0"/>
      <w:marBottom w:val="0"/>
      <w:divBdr>
        <w:top w:val="none" w:sz="0" w:space="0" w:color="auto"/>
        <w:left w:val="none" w:sz="0" w:space="0" w:color="auto"/>
        <w:bottom w:val="none" w:sz="0" w:space="0" w:color="auto"/>
        <w:right w:val="none" w:sz="0" w:space="0" w:color="auto"/>
      </w:divBdr>
    </w:div>
    <w:div w:id="985623429">
      <w:bodyDiv w:val="1"/>
      <w:marLeft w:val="0"/>
      <w:marRight w:val="0"/>
      <w:marTop w:val="0"/>
      <w:marBottom w:val="0"/>
      <w:divBdr>
        <w:top w:val="none" w:sz="0" w:space="0" w:color="auto"/>
        <w:left w:val="none" w:sz="0" w:space="0" w:color="auto"/>
        <w:bottom w:val="none" w:sz="0" w:space="0" w:color="auto"/>
        <w:right w:val="none" w:sz="0" w:space="0" w:color="auto"/>
      </w:divBdr>
      <w:divsChild>
        <w:div w:id="12096891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8051319">
      <w:bodyDiv w:val="1"/>
      <w:marLeft w:val="0"/>
      <w:marRight w:val="0"/>
      <w:marTop w:val="0"/>
      <w:marBottom w:val="0"/>
      <w:divBdr>
        <w:top w:val="none" w:sz="0" w:space="0" w:color="auto"/>
        <w:left w:val="none" w:sz="0" w:space="0" w:color="auto"/>
        <w:bottom w:val="none" w:sz="0" w:space="0" w:color="auto"/>
        <w:right w:val="none" w:sz="0" w:space="0" w:color="auto"/>
      </w:divBdr>
    </w:div>
    <w:div w:id="994987881">
      <w:bodyDiv w:val="1"/>
      <w:marLeft w:val="0"/>
      <w:marRight w:val="0"/>
      <w:marTop w:val="0"/>
      <w:marBottom w:val="0"/>
      <w:divBdr>
        <w:top w:val="none" w:sz="0" w:space="0" w:color="auto"/>
        <w:left w:val="none" w:sz="0" w:space="0" w:color="auto"/>
        <w:bottom w:val="none" w:sz="0" w:space="0" w:color="auto"/>
        <w:right w:val="none" w:sz="0" w:space="0" w:color="auto"/>
      </w:divBdr>
    </w:div>
    <w:div w:id="997344195">
      <w:bodyDiv w:val="1"/>
      <w:marLeft w:val="0"/>
      <w:marRight w:val="0"/>
      <w:marTop w:val="0"/>
      <w:marBottom w:val="0"/>
      <w:divBdr>
        <w:top w:val="none" w:sz="0" w:space="0" w:color="auto"/>
        <w:left w:val="none" w:sz="0" w:space="0" w:color="auto"/>
        <w:bottom w:val="none" w:sz="0" w:space="0" w:color="auto"/>
        <w:right w:val="none" w:sz="0" w:space="0" w:color="auto"/>
      </w:divBdr>
      <w:divsChild>
        <w:div w:id="972097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100845">
      <w:bodyDiv w:val="1"/>
      <w:marLeft w:val="0"/>
      <w:marRight w:val="0"/>
      <w:marTop w:val="0"/>
      <w:marBottom w:val="0"/>
      <w:divBdr>
        <w:top w:val="none" w:sz="0" w:space="0" w:color="auto"/>
        <w:left w:val="none" w:sz="0" w:space="0" w:color="auto"/>
        <w:bottom w:val="none" w:sz="0" w:space="0" w:color="auto"/>
        <w:right w:val="none" w:sz="0" w:space="0" w:color="auto"/>
      </w:divBdr>
    </w:div>
    <w:div w:id="1090541647">
      <w:bodyDiv w:val="1"/>
      <w:marLeft w:val="0"/>
      <w:marRight w:val="0"/>
      <w:marTop w:val="0"/>
      <w:marBottom w:val="0"/>
      <w:divBdr>
        <w:top w:val="none" w:sz="0" w:space="0" w:color="auto"/>
        <w:left w:val="none" w:sz="0" w:space="0" w:color="auto"/>
        <w:bottom w:val="none" w:sz="0" w:space="0" w:color="auto"/>
        <w:right w:val="none" w:sz="0" w:space="0" w:color="auto"/>
      </w:divBdr>
    </w:div>
    <w:div w:id="1096629108">
      <w:bodyDiv w:val="1"/>
      <w:marLeft w:val="0"/>
      <w:marRight w:val="0"/>
      <w:marTop w:val="0"/>
      <w:marBottom w:val="0"/>
      <w:divBdr>
        <w:top w:val="none" w:sz="0" w:space="0" w:color="auto"/>
        <w:left w:val="none" w:sz="0" w:space="0" w:color="auto"/>
        <w:bottom w:val="none" w:sz="0" w:space="0" w:color="auto"/>
        <w:right w:val="none" w:sz="0" w:space="0" w:color="auto"/>
      </w:divBdr>
    </w:div>
    <w:div w:id="1100489862">
      <w:bodyDiv w:val="1"/>
      <w:marLeft w:val="0"/>
      <w:marRight w:val="0"/>
      <w:marTop w:val="0"/>
      <w:marBottom w:val="0"/>
      <w:divBdr>
        <w:top w:val="none" w:sz="0" w:space="0" w:color="auto"/>
        <w:left w:val="none" w:sz="0" w:space="0" w:color="auto"/>
        <w:bottom w:val="none" w:sz="0" w:space="0" w:color="auto"/>
        <w:right w:val="none" w:sz="0" w:space="0" w:color="auto"/>
      </w:divBdr>
      <w:divsChild>
        <w:div w:id="1292520743">
          <w:blockQuote w:val="1"/>
          <w:marLeft w:val="225"/>
          <w:marRight w:val="0"/>
          <w:marTop w:val="0"/>
          <w:marBottom w:val="0"/>
          <w:divBdr>
            <w:top w:val="none" w:sz="0" w:space="0" w:color="auto"/>
            <w:left w:val="none" w:sz="0" w:space="0" w:color="auto"/>
            <w:bottom w:val="none" w:sz="0" w:space="0" w:color="auto"/>
            <w:right w:val="none" w:sz="0" w:space="0" w:color="auto"/>
          </w:divBdr>
        </w:div>
        <w:div w:id="2127767622">
          <w:blockQuote w:val="1"/>
          <w:marLeft w:val="225"/>
          <w:marRight w:val="0"/>
          <w:marTop w:val="0"/>
          <w:marBottom w:val="0"/>
          <w:divBdr>
            <w:top w:val="none" w:sz="0" w:space="0" w:color="auto"/>
            <w:left w:val="none" w:sz="0" w:space="0" w:color="auto"/>
            <w:bottom w:val="none" w:sz="0" w:space="0" w:color="auto"/>
            <w:right w:val="none" w:sz="0" w:space="0" w:color="auto"/>
          </w:divBdr>
        </w:div>
        <w:div w:id="623316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0473841">
      <w:bodyDiv w:val="1"/>
      <w:marLeft w:val="0"/>
      <w:marRight w:val="0"/>
      <w:marTop w:val="0"/>
      <w:marBottom w:val="0"/>
      <w:divBdr>
        <w:top w:val="none" w:sz="0" w:space="0" w:color="auto"/>
        <w:left w:val="none" w:sz="0" w:space="0" w:color="auto"/>
        <w:bottom w:val="none" w:sz="0" w:space="0" w:color="auto"/>
        <w:right w:val="none" w:sz="0" w:space="0" w:color="auto"/>
      </w:divBdr>
      <w:divsChild>
        <w:div w:id="1044330000">
          <w:marLeft w:val="0"/>
          <w:marRight w:val="0"/>
          <w:marTop w:val="0"/>
          <w:marBottom w:val="0"/>
          <w:divBdr>
            <w:top w:val="none" w:sz="0" w:space="0" w:color="auto"/>
            <w:left w:val="none" w:sz="0" w:space="0" w:color="auto"/>
            <w:bottom w:val="none" w:sz="0" w:space="0" w:color="auto"/>
            <w:right w:val="none" w:sz="0" w:space="0" w:color="auto"/>
          </w:divBdr>
        </w:div>
        <w:div w:id="628315083">
          <w:marLeft w:val="0"/>
          <w:marRight w:val="0"/>
          <w:marTop w:val="0"/>
          <w:marBottom w:val="0"/>
          <w:divBdr>
            <w:top w:val="none" w:sz="0" w:space="0" w:color="auto"/>
            <w:left w:val="none" w:sz="0" w:space="0" w:color="auto"/>
            <w:bottom w:val="none" w:sz="0" w:space="0" w:color="auto"/>
            <w:right w:val="none" w:sz="0" w:space="0" w:color="auto"/>
          </w:divBdr>
        </w:div>
        <w:div w:id="556867104">
          <w:marLeft w:val="0"/>
          <w:marRight w:val="0"/>
          <w:marTop w:val="0"/>
          <w:marBottom w:val="0"/>
          <w:divBdr>
            <w:top w:val="none" w:sz="0" w:space="0" w:color="auto"/>
            <w:left w:val="none" w:sz="0" w:space="0" w:color="auto"/>
            <w:bottom w:val="none" w:sz="0" w:space="0" w:color="auto"/>
            <w:right w:val="none" w:sz="0" w:space="0" w:color="auto"/>
          </w:divBdr>
        </w:div>
        <w:div w:id="1088700291">
          <w:marLeft w:val="0"/>
          <w:marRight w:val="0"/>
          <w:marTop w:val="0"/>
          <w:marBottom w:val="0"/>
          <w:divBdr>
            <w:top w:val="none" w:sz="0" w:space="0" w:color="auto"/>
            <w:left w:val="none" w:sz="0" w:space="0" w:color="auto"/>
            <w:bottom w:val="none" w:sz="0" w:space="0" w:color="auto"/>
            <w:right w:val="none" w:sz="0" w:space="0" w:color="auto"/>
          </w:divBdr>
        </w:div>
      </w:divsChild>
    </w:div>
    <w:div w:id="1133133760">
      <w:bodyDiv w:val="1"/>
      <w:marLeft w:val="0"/>
      <w:marRight w:val="0"/>
      <w:marTop w:val="0"/>
      <w:marBottom w:val="0"/>
      <w:divBdr>
        <w:top w:val="none" w:sz="0" w:space="0" w:color="auto"/>
        <w:left w:val="none" w:sz="0" w:space="0" w:color="auto"/>
        <w:bottom w:val="none" w:sz="0" w:space="0" w:color="auto"/>
        <w:right w:val="none" w:sz="0" w:space="0" w:color="auto"/>
      </w:divBdr>
      <w:divsChild>
        <w:div w:id="29189910">
          <w:blockQuote w:val="1"/>
          <w:marLeft w:val="225"/>
          <w:marRight w:val="0"/>
          <w:marTop w:val="0"/>
          <w:marBottom w:val="0"/>
          <w:divBdr>
            <w:top w:val="none" w:sz="0" w:space="0" w:color="auto"/>
            <w:left w:val="none" w:sz="0" w:space="0" w:color="auto"/>
            <w:bottom w:val="none" w:sz="0" w:space="0" w:color="auto"/>
            <w:right w:val="none" w:sz="0" w:space="0" w:color="auto"/>
          </w:divBdr>
        </w:div>
        <w:div w:id="1470709101">
          <w:blockQuote w:val="1"/>
          <w:marLeft w:val="225"/>
          <w:marRight w:val="0"/>
          <w:marTop w:val="0"/>
          <w:marBottom w:val="0"/>
          <w:divBdr>
            <w:top w:val="none" w:sz="0" w:space="0" w:color="auto"/>
            <w:left w:val="none" w:sz="0" w:space="0" w:color="auto"/>
            <w:bottom w:val="none" w:sz="0" w:space="0" w:color="auto"/>
            <w:right w:val="none" w:sz="0" w:space="0" w:color="auto"/>
          </w:divBdr>
        </w:div>
        <w:div w:id="5157723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4515564">
      <w:bodyDiv w:val="1"/>
      <w:marLeft w:val="0"/>
      <w:marRight w:val="0"/>
      <w:marTop w:val="0"/>
      <w:marBottom w:val="0"/>
      <w:divBdr>
        <w:top w:val="none" w:sz="0" w:space="0" w:color="auto"/>
        <w:left w:val="none" w:sz="0" w:space="0" w:color="auto"/>
        <w:bottom w:val="none" w:sz="0" w:space="0" w:color="auto"/>
        <w:right w:val="none" w:sz="0" w:space="0" w:color="auto"/>
      </w:divBdr>
      <w:divsChild>
        <w:div w:id="1447433526">
          <w:marLeft w:val="0"/>
          <w:marRight w:val="0"/>
          <w:marTop w:val="0"/>
          <w:marBottom w:val="0"/>
          <w:divBdr>
            <w:top w:val="none" w:sz="0" w:space="0" w:color="auto"/>
            <w:left w:val="none" w:sz="0" w:space="0" w:color="auto"/>
            <w:bottom w:val="none" w:sz="0" w:space="0" w:color="auto"/>
            <w:right w:val="none" w:sz="0" w:space="0" w:color="auto"/>
          </w:divBdr>
        </w:div>
      </w:divsChild>
    </w:div>
    <w:div w:id="1285892863">
      <w:bodyDiv w:val="1"/>
      <w:marLeft w:val="0"/>
      <w:marRight w:val="0"/>
      <w:marTop w:val="0"/>
      <w:marBottom w:val="0"/>
      <w:divBdr>
        <w:top w:val="none" w:sz="0" w:space="0" w:color="auto"/>
        <w:left w:val="none" w:sz="0" w:space="0" w:color="auto"/>
        <w:bottom w:val="none" w:sz="0" w:space="0" w:color="auto"/>
        <w:right w:val="none" w:sz="0" w:space="0" w:color="auto"/>
      </w:divBdr>
      <w:divsChild>
        <w:div w:id="115411723">
          <w:blockQuote w:val="1"/>
          <w:marLeft w:val="225"/>
          <w:marRight w:val="0"/>
          <w:marTop w:val="0"/>
          <w:marBottom w:val="0"/>
          <w:divBdr>
            <w:top w:val="none" w:sz="0" w:space="0" w:color="auto"/>
            <w:left w:val="none" w:sz="0" w:space="0" w:color="auto"/>
            <w:bottom w:val="none" w:sz="0" w:space="0" w:color="auto"/>
            <w:right w:val="none" w:sz="0" w:space="0" w:color="auto"/>
          </w:divBdr>
        </w:div>
        <w:div w:id="633413824">
          <w:blockQuote w:val="1"/>
          <w:marLeft w:val="225"/>
          <w:marRight w:val="0"/>
          <w:marTop w:val="0"/>
          <w:marBottom w:val="0"/>
          <w:divBdr>
            <w:top w:val="none" w:sz="0" w:space="0" w:color="auto"/>
            <w:left w:val="none" w:sz="0" w:space="0" w:color="auto"/>
            <w:bottom w:val="none" w:sz="0" w:space="0" w:color="auto"/>
            <w:right w:val="none" w:sz="0" w:space="0" w:color="auto"/>
          </w:divBdr>
        </w:div>
        <w:div w:id="690371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0940276">
      <w:bodyDiv w:val="1"/>
      <w:marLeft w:val="0"/>
      <w:marRight w:val="0"/>
      <w:marTop w:val="0"/>
      <w:marBottom w:val="0"/>
      <w:divBdr>
        <w:top w:val="none" w:sz="0" w:space="0" w:color="auto"/>
        <w:left w:val="none" w:sz="0" w:space="0" w:color="auto"/>
        <w:bottom w:val="none" w:sz="0" w:space="0" w:color="auto"/>
        <w:right w:val="none" w:sz="0" w:space="0" w:color="auto"/>
      </w:divBdr>
      <w:divsChild>
        <w:div w:id="12707733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8460517">
      <w:bodyDiv w:val="1"/>
      <w:marLeft w:val="0"/>
      <w:marRight w:val="0"/>
      <w:marTop w:val="0"/>
      <w:marBottom w:val="0"/>
      <w:divBdr>
        <w:top w:val="none" w:sz="0" w:space="0" w:color="auto"/>
        <w:left w:val="none" w:sz="0" w:space="0" w:color="auto"/>
        <w:bottom w:val="none" w:sz="0" w:space="0" w:color="auto"/>
        <w:right w:val="none" w:sz="0" w:space="0" w:color="auto"/>
      </w:divBdr>
    </w:div>
    <w:div w:id="1353872272">
      <w:bodyDiv w:val="1"/>
      <w:marLeft w:val="0"/>
      <w:marRight w:val="0"/>
      <w:marTop w:val="0"/>
      <w:marBottom w:val="0"/>
      <w:divBdr>
        <w:top w:val="none" w:sz="0" w:space="0" w:color="auto"/>
        <w:left w:val="none" w:sz="0" w:space="0" w:color="auto"/>
        <w:bottom w:val="none" w:sz="0" w:space="0" w:color="auto"/>
        <w:right w:val="none" w:sz="0" w:space="0" w:color="auto"/>
      </w:divBdr>
      <w:divsChild>
        <w:div w:id="2000230994">
          <w:blockQuote w:val="1"/>
          <w:marLeft w:val="225"/>
          <w:marRight w:val="0"/>
          <w:marTop w:val="0"/>
          <w:marBottom w:val="0"/>
          <w:divBdr>
            <w:top w:val="none" w:sz="0" w:space="0" w:color="auto"/>
            <w:left w:val="none" w:sz="0" w:space="0" w:color="auto"/>
            <w:bottom w:val="none" w:sz="0" w:space="0" w:color="auto"/>
            <w:right w:val="none" w:sz="0" w:space="0" w:color="auto"/>
          </w:divBdr>
        </w:div>
        <w:div w:id="1403335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5545338">
      <w:bodyDiv w:val="1"/>
      <w:marLeft w:val="0"/>
      <w:marRight w:val="0"/>
      <w:marTop w:val="0"/>
      <w:marBottom w:val="0"/>
      <w:divBdr>
        <w:top w:val="none" w:sz="0" w:space="0" w:color="auto"/>
        <w:left w:val="none" w:sz="0" w:space="0" w:color="auto"/>
        <w:bottom w:val="none" w:sz="0" w:space="0" w:color="auto"/>
        <w:right w:val="none" w:sz="0" w:space="0" w:color="auto"/>
      </w:divBdr>
      <w:divsChild>
        <w:div w:id="275452404">
          <w:marLeft w:val="-1020"/>
          <w:marRight w:val="0"/>
          <w:marTop w:val="0"/>
          <w:marBottom w:val="0"/>
          <w:divBdr>
            <w:top w:val="none" w:sz="0" w:space="0" w:color="auto"/>
            <w:left w:val="none" w:sz="0" w:space="0" w:color="auto"/>
            <w:bottom w:val="none" w:sz="0" w:space="0" w:color="auto"/>
            <w:right w:val="none" w:sz="0" w:space="0" w:color="auto"/>
          </w:divBdr>
        </w:div>
      </w:divsChild>
    </w:div>
    <w:div w:id="1401095947">
      <w:bodyDiv w:val="1"/>
      <w:marLeft w:val="0"/>
      <w:marRight w:val="0"/>
      <w:marTop w:val="0"/>
      <w:marBottom w:val="0"/>
      <w:divBdr>
        <w:top w:val="none" w:sz="0" w:space="0" w:color="auto"/>
        <w:left w:val="none" w:sz="0" w:space="0" w:color="auto"/>
        <w:bottom w:val="none" w:sz="0" w:space="0" w:color="auto"/>
        <w:right w:val="none" w:sz="0" w:space="0" w:color="auto"/>
      </w:divBdr>
    </w:div>
    <w:div w:id="1499423037">
      <w:bodyDiv w:val="1"/>
      <w:marLeft w:val="0"/>
      <w:marRight w:val="0"/>
      <w:marTop w:val="0"/>
      <w:marBottom w:val="0"/>
      <w:divBdr>
        <w:top w:val="none" w:sz="0" w:space="0" w:color="auto"/>
        <w:left w:val="none" w:sz="0" w:space="0" w:color="auto"/>
        <w:bottom w:val="none" w:sz="0" w:space="0" w:color="auto"/>
        <w:right w:val="none" w:sz="0" w:space="0" w:color="auto"/>
      </w:divBdr>
      <w:divsChild>
        <w:div w:id="11383746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7398133">
      <w:bodyDiv w:val="1"/>
      <w:marLeft w:val="0"/>
      <w:marRight w:val="0"/>
      <w:marTop w:val="0"/>
      <w:marBottom w:val="0"/>
      <w:divBdr>
        <w:top w:val="none" w:sz="0" w:space="0" w:color="auto"/>
        <w:left w:val="none" w:sz="0" w:space="0" w:color="auto"/>
        <w:bottom w:val="none" w:sz="0" w:space="0" w:color="auto"/>
        <w:right w:val="none" w:sz="0" w:space="0" w:color="auto"/>
      </w:divBdr>
      <w:divsChild>
        <w:div w:id="1573158788">
          <w:marLeft w:val="0"/>
          <w:marRight w:val="0"/>
          <w:marTop w:val="0"/>
          <w:marBottom w:val="0"/>
          <w:divBdr>
            <w:top w:val="none" w:sz="0" w:space="0" w:color="auto"/>
            <w:left w:val="none" w:sz="0" w:space="0" w:color="auto"/>
            <w:bottom w:val="none" w:sz="0" w:space="0" w:color="auto"/>
            <w:right w:val="none" w:sz="0" w:space="0" w:color="auto"/>
          </w:divBdr>
        </w:div>
        <w:div w:id="514612614">
          <w:marLeft w:val="0"/>
          <w:marRight w:val="0"/>
          <w:marTop w:val="0"/>
          <w:marBottom w:val="0"/>
          <w:divBdr>
            <w:top w:val="none" w:sz="0" w:space="0" w:color="auto"/>
            <w:left w:val="none" w:sz="0" w:space="0" w:color="auto"/>
            <w:bottom w:val="none" w:sz="0" w:space="0" w:color="auto"/>
            <w:right w:val="none" w:sz="0" w:space="0" w:color="auto"/>
          </w:divBdr>
        </w:div>
        <w:div w:id="256524432">
          <w:marLeft w:val="0"/>
          <w:marRight w:val="0"/>
          <w:marTop w:val="0"/>
          <w:marBottom w:val="0"/>
          <w:divBdr>
            <w:top w:val="none" w:sz="0" w:space="0" w:color="auto"/>
            <w:left w:val="none" w:sz="0" w:space="0" w:color="auto"/>
            <w:bottom w:val="none" w:sz="0" w:space="0" w:color="auto"/>
            <w:right w:val="none" w:sz="0" w:space="0" w:color="auto"/>
          </w:divBdr>
        </w:div>
        <w:div w:id="1946762315">
          <w:marLeft w:val="0"/>
          <w:marRight w:val="0"/>
          <w:marTop w:val="0"/>
          <w:marBottom w:val="0"/>
          <w:divBdr>
            <w:top w:val="none" w:sz="0" w:space="0" w:color="auto"/>
            <w:left w:val="none" w:sz="0" w:space="0" w:color="auto"/>
            <w:bottom w:val="none" w:sz="0" w:space="0" w:color="auto"/>
            <w:right w:val="none" w:sz="0" w:space="0" w:color="auto"/>
          </w:divBdr>
        </w:div>
      </w:divsChild>
    </w:div>
    <w:div w:id="1509523455">
      <w:bodyDiv w:val="1"/>
      <w:marLeft w:val="0"/>
      <w:marRight w:val="0"/>
      <w:marTop w:val="0"/>
      <w:marBottom w:val="0"/>
      <w:divBdr>
        <w:top w:val="none" w:sz="0" w:space="0" w:color="auto"/>
        <w:left w:val="none" w:sz="0" w:space="0" w:color="auto"/>
        <w:bottom w:val="none" w:sz="0" w:space="0" w:color="auto"/>
        <w:right w:val="none" w:sz="0" w:space="0" w:color="auto"/>
      </w:divBdr>
      <w:divsChild>
        <w:div w:id="1894416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0605019">
      <w:bodyDiv w:val="1"/>
      <w:marLeft w:val="0"/>
      <w:marRight w:val="0"/>
      <w:marTop w:val="0"/>
      <w:marBottom w:val="0"/>
      <w:divBdr>
        <w:top w:val="none" w:sz="0" w:space="0" w:color="auto"/>
        <w:left w:val="none" w:sz="0" w:space="0" w:color="auto"/>
        <w:bottom w:val="none" w:sz="0" w:space="0" w:color="auto"/>
        <w:right w:val="none" w:sz="0" w:space="0" w:color="auto"/>
      </w:divBdr>
      <w:divsChild>
        <w:div w:id="17630677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4824666">
      <w:bodyDiv w:val="1"/>
      <w:marLeft w:val="0"/>
      <w:marRight w:val="0"/>
      <w:marTop w:val="0"/>
      <w:marBottom w:val="0"/>
      <w:divBdr>
        <w:top w:val="none" w:sz="0" w:space="0" w:color="auto"/>
        <w:left w:val="none" w:sz="0" w:space="0" w:color="auto"/>
        <w:bottom w:val="none" w:sz="0" w:space="0" w:color="auto"/>
        <w:right w:val="none" w:sz="0" w:space="0" w:color="auto"/>
      </w:divBdr>
    </w:div>
    <w:div w:id="1608194561">
      <w:bodyDiv w:val="1"/>
      <w:marLeft w:val="0"/>
      <w:marRight w:val="0"/>
      <w:marTop w:val="0"/>
      <w:marBottom w:val="0"/>
      <w:divBdr>
        <w:top w:val="none" w:sz="0" w:space="0" w:color="auto"/>
        <w:left w:val="none" w:sz="0" w:space="0" w:color="auto"/>
        <w:bottom w:val="none" w:sz="0" w:space="0" w:color="auto"/>
        <w:right w:val="none" w:sz="0" w:space="0" w:color="auto"/>
      </w:divBdr>
      <w:divsChild>
        <w:div w:id="17568251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9266350">
      <w:bodyDiv w:val="1"/>
      <w:marLeft w:val="0"/>
      <w:marRight w:val="0"/>
      <w:marTop w:val="0"/>
      <w:marBottom w:val="0"/>
      <w:divBdr>
        <w:top w:val="none" w:sz="0" w:space="0" w:color="auto"/>
        <w:left w:val="none" w:sz="0" w:space="0" w:color="auto"/>
        <w:bottom w:val="none" w:sz="0" w:space="0" w:color="auto"/>
        <w:right w:val="none" w:sz="0" w:space="0" w:color="auto"/>
      </w:divBdr>
      <w:divsChild>
        <w:div w:id="1207068107">
          <w:blockQuote w:val="1"/>
          <w:marLeft w:val="225"/>
          <w:marRight w:val="0"/>
          <w:marTop w:val="0"/>
          <w:marBottom w:val="0"/>
          <w:divBdr>
            <w:top w:val="none" w:sz="0" w:space="0" w:color="auto"/>
            <w:left w:val="none" w:sz="0" w:space="0" w:color="auto"/>
            <w:bottom w:val="none" w:sz="0" w:space="0" w:color="auto"/>
            <w:right w:val="none" w:sz="0" w:space="0" w:color="auto"/>
          </w:divBdr>
        </w:div>
        <w:div w:id="1225339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3804181">
      <w:bodyDiv w:val="1"/>
      <w:marLeft w:val="0"/>
      <w:marRight w:val="0"/>
      <w:marTop w:val="0"/>
      <w:marBottom w:val="0"/>
      <w:divBdr>
        <w:top w:val="none" w:sz="0" w:space="0" w:color="auto"/>
        <w:left w:val="none" w:sz="0" w:space="0" w:color="auto"/>
        <w:bottom w:val="none" w:sz="0" w:space="0" w:color="auto"/>
        <w:right w:val="none" w:sz="0" w:space="0" w:color="auto"/>
      </w:divBdr>
      <w:divsChild>
        <w:div w:id="369962975">
          <w:blockQuote w:val="1"/>
          <w:marLeft w:val="225"/>
          <w:marRight w:val="0"/>
          <w:marTop w:val="0"/>
          <w:marBottom w:val="0"/>
          <w:divBdr>
            <w:top w:val="none" w:sz="0" w:space="0" w:color="auto"/>
            <w:left w:val="none" w:sz="0" w:space="0" w:color="auto"/>
            <w:bottom w:val="none" w:sz="0" w:space="0" w:color="auto"/>
            <w:right w:val="none" w:sz="0" w:space="0" w:color="auto"/>
          </w:divBdr>
        </w:div>
        <w:div w:id="589200290">
          <w:blockQuote w:val="1"/>
          <w:marLeft w:val="225"/>
          <w:marRight w:val="0"/>
          <w:marTop w:val="0"/>
          <w:marBottom w:val="0"/>
          <w:divBdr>
            <w:top w:val="none" w:sz="0" w:space="0" w:color="auto"/>
            <w:left w:val="none" w:sz="0" w:space="0" w:color="auto"/>
            <w:bottom w:val="none" w:sz="0" w:space="0" w:color="auto"/>
            <w:right w:val="none" w:sz="0" w:space="0" w:color="auto"/>
          </w:divBdr>
        </w:div>
        <w:div w:id="271087073">
          <w:blockQuote w:val="1"/>
          <w:marLeft w:val="225"/>
          <w:marRight w:val="0"/>
          <w:marTop w:val="0"/>
          <w:marBottom w:val="0"/>
          <w:divBdr>
            <w:top w:val="none" w:sz="0" w:space="0" w:color="auto"/>
            <w:left w:val="none" w:sz="0" w:space="0" w:color="auto"/>
            <w:bottom w:val="none" w:sz="0" w:space="0" w:color="auto"/>
            <w:right w:val="none" w:sz="0" w:space="0" w:color="auto"/>
          </w:divBdr>
        </w:div>
        <w:div w:id="1711344941">
          <w:blockQuote w:val="1"/>
          <w:marLeft w:val="225"/>
          <w:marRight w:val="0"/>
          <w:marTop w:val="0"/>
          <w:marBottom w:val="0"/>
          <w:divBdr>
            <w:top w:val="none" w:sz="0" w:space="0" w:color="auto"/>
            <w:left w:val="none" w:sz="0" w:space="0" w:color="auto"/>
            <w:bottom w:val="none" w:sz="0" w:space="0" w:color="auto"/>
            <w:right w:val="none" w:sz="0" w:space="0" w:color="auto"/>
          </w:divBdr>
        </w:div>
        <w:div w:id="2065450744">
          <w:blockQuote w:val="1"/>
          <w:marLeft w:val="225"/>
          <w:marRight w:val="0"/>
          <w:marTop w:val="0"/>
          <w:marBottom w:val="0"/>
          <w:divBdr>
            <w:top w:val="none" w:sz="0" w:space="0" w:color="auto"/>
            <w:left w:val="none" w:sz="0" w:space="0" w:color="auto"/>
            <w:bottom w:val="none" w:sz="0" w:space="0" w:color="auto"/>
            <w:right w:val="none" w:sz="0" w:space="0" w:color="auto"/>
          </w:divBdr>
        </w:div>
        <w:div w:id="1024747908">
          <w:blockQuote w:val="1"/>
          <w:marLeft w:val="225"/>
          <w:marRight w:val="0"/>
          <w:marTop w:val="0"/>
          <w:marBottom w:val="0"/>
          <w:divBdr>
            <w:top w:val="none" w:sz="0" w:space="0" w:color="auto"/>
            <w:left w:val="none" w:sz="0" w:space="0" w:color="auto"/>
            <w:bottom w:val="none" w:sz="0" w:space="0" w:color="auto"/>
            <w:right w:val="none" w:sz="0" w:space="0" w:color="auto"/>
          </w:divBdr>
        </w:div>
        <w:div w:id="94516791">
          <w:blockQuote w:val="1"/>
          <w:marLeft w:val="225"/>
          <w:marRight w:val="0"/>
          <w:marTop w:val="0"/>
          <w:marBottom w:val="0"/>
          <w:divBdr>
            <w:top w:val="none" w:sz="0" w:space="0" w:color="auto"/>
            <w:left w:val="none" w:sz="0" w:space="0" w:color="auto"/>
            <w:bottom w:val="none" w:sz="0" w:space="0" w:color="auto"/>
            <w:right w:val="none" w:sz="0" w:space="0" w:color="auto"/>
          </w:divBdr>
        </w:div>
        <w:div w:id="2088991825">
          <w:blockQuote w:val="1"/>
          <w:marLeft w:val="225"/>
          <w:marRight w:val="0"/>
          <w:marTop w:val="0"/>
          <w:marBottom w:val="0"/>
          <w:divBdr>
            <w:top w:val="none" w:sz="0" w:space="0" w:color="auto"/>
            <w:left w:val="none" w:sz="0" w:space="0" w:color="auto"/>
            <w:bottom w:val="none" w:sz="0" w:space="0" w:color="auto"/>
            <w:right w:val="none" w:sz="0" w:space="0" w:color="auto"/>
          </w:divBdr>
        </w:div>
        <w:div w:id="1549681461">
          <w:blockQuote w:val="1"/>
          <w:marLeft w:val="225"/>
          <w:marRight w:val="0"/>
          <w:marTop w:val="0"/>
          <w:marBottom w:val="0"/>
          <w:divBdr>
            <w:top w:val="none" w:sz="0" w:space="0" w:color="auto"/>
            <w:left w:val="none" w:sz="0" w:space="0" w:color="auto"/>
            <w:bottom w:val="none" w:sz="0" w:space="0" w:color="auto"/>
            <w:right w:val="none" w:sz="0" w:space="0" w:color="auto"/>
          </w:divBdr>
        </w:div>
        <w:div w:id="1887789809">
          <w:blockQuote w:val="1"/>
          <w:marLeft w:val="225"/>
          <w:marRight w:val="0"/>
          <w:marTop w:val="0"/>
          <w:marBottom w:val="0"/>
          <w:divBdr>
            <w:top w:val="none" w:sz="0" w:space="0" w:color="auto"/>
            <w:left w:val="none" w:sz="0" w:space="0" w:color="auto"/>
            <w:bottom w:val="none" w:sz="0" w:space="0" w:color="auto"/>
            <w:right w:val="none" w:sz="0" w:space="0" w:color="auto"/>
          </w:divBdr>
        </w:div>
        <w:div w:id="15950885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9283031">
      <w:bodyDiv w:val="1"/>
      <w:marLeft w:val="0"/>
      <w:marRight w:val="0"/>
      <w:marTop w:val="0"/>
      <w:marBottom w:val="0"/>
      <w:divBdr>
        <w:top w:val="none" w:sz="0" w:space="0" w:color="auto"/>
        <w:left w:val="none" w:sz="0" w:space="0" w:color="auto"/>
        <w:bottom w:val="none" w:sz="0" w:space="0" w:color="auto"/>
        <w:right w:val="none" w:sz="0" w:space="0" w:color="auto"/>
      </w:divBdr>
      <w:divsChild>
        <w:div w:id="266821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1638711">
      <w:bodyDiv w:val="1"/>
      <w:marLeft w:val="0"/>
      <w:marRight w:val="0"/>
      <w:marTop w:val="0"/>
      <w:marBottom w:val="0"/>
      <w:divBdr>
        <w:top w:val="none" w:sz="0" w:space="0" w:color="auto"/>
        <w:left w:val="none" w:sz="0" w:space="0" w:color="auto"/>
        <w:bottom w:val="none" w:sz="0" w:space="0" w:color="auto"/>
        <w:right w:val="none" w:sz="0" w:space="0" w:color="auto"/>
      </w:divBdr>
      <w:divsChild>
        <w:div w:id="12754054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6010126">
      <w:bodyDiv w:val="1"/>
      <w:marLeft w:val="0"/>
      <w:marRight w:val="0"/>
      <w:marTop w:val="0"/>
      <w:marBottom w:val="0"/>
      <w:divBdr>
        <w:top w:val="none" w:sz="0" w:space="0" w:color="auto"/>
        <w:left w:val="none" w:sz="0" w:space="0" w:color="auto"/>
        <w:bottom w:val="none" w:sz="0" w:space="0" w:color="auto"/>
        <w:right w:val="none" w:sz="0" w:space="0" w:color="auto"/>
      </w:divBdr>
    </w:div>
    <w:div w:id="1701784839">
      <w:bodyDiv w:val="1"/>
      <w:marLeft w:val="0"/>
      <w:marRight w:val="0"/>
      <w:marTop w:val="0"/>
      <w:marBottom w:val="0"/>
      <w:divBdr>
        <w:top w:val="none" w:sz="0" w:space="0" w:color="auto"/>
        <w:left w:val="none" w:sz="0" w:space="0" w:color="auto"/>
        <w:bottom w:val="none" w:sz="0" w:space="0" w:color="auto"/>
        <w:right w:val="none" w:sz="0" w:space="0" w:color="auto"/>
      </w:divBdr>
      <w:divsChild>
        <w:div w:id="976955139">
          <w:blockQuote w:val="1"/>
          <w:marLeft w:val="225"/>
          <w:marRight w:val="0"/>
          <w:marTop w:val="0"/>
          <w:marBottom w:val="0"/>
          <w:divBdr>
            <w:top w:val="none" w:sz="0" w:space="0" w:color="auto"/>
            <w:left w:val="none" w:sz="0" w:space="0" w:color="auto"/>
            <w:bottom w:val="none" w:sz="0" w:space="0" w:color="auto"/>
            <w:right w:val="none" w:sz="0" w:space="0" w:color="auto"/>
          </w:divBdr>
        </w:div>
        <w:div w:id="824930960">
          <w:blockQuote w:val="1"/>
          <w:marLeft w:val="225"/>
          <w:marRight w:val="0"/>
          <w:marTop w:val="0"/>
          <w:marBottom w:val="0"/>
          <w:divBdr>
            <w:top w:val="none" w:sz="0" w:space="0" w:color="auto"/>
            <w:left w:val="none" w:sz="0" w:space="0" w:color="auto"/>
            <w:bottom w:val="none" w:sz="0" w:space="0" w:color="auto"/>
            <w:right w:val="none" w:sz="0" w:space="0" w:color="auto"/>
          </w:divBdr>
        </w:div>
        <w:div w:id="827329334">
          <w:blockQuote w:val="1"/>
          <w:marLeft w:val="225"/>
          <w:marRight w:val="0"/>
          <w:marTop w:val="0"/>
          <w:marBottom w:val="0"/>
          <w:divBdr>
            <w:top w:val="none" w:sz="0" w:space="0" w:color="auto"/>
            <w:left w:val="none" w:sz="0" w:space="0" w:color="auto"/>
            <w:bottom w:val="none" w:sz="0" w:space="0" w:color="auto"/>
            <w:right w:val="none" w:sz="0" w:space="0" w:color="auto"/>
          </w:divBdr>
        </w:div>
        <w:div w:id="798844885">
          <w:blockQuote w:val="1"/>
          <w:marLeft w:val="225"/>
          <w:marRight w:val="0"/>
          <w:marTop w:val="0"/>
          <w:marBottom w:val="0"/>
          <w:divBdr>
            <w:top w:val="none" w:sz="0" w:space="0" w:color="auto"/>
            <w:left w:val="none" w:sz="0" w:space="0" w:color="auto"/>
            <w:bottom w:val="none" w:sz="0" w:space="0" w:color="auto"/>
            <w:right w:val="none" w:sz="0" w:space="0" w:color="auto"/>
          </w:divBdr>
        </w:div>
        <w:div w:id="1953391657">
          <w:blockQuote w:val="1"/>
          <w:marLeft w:val="225"/>
          <w:marRight w:val="0"/>
          <w:marTop w:val="0"/>
          <w:marBottom w:val="0"/>
          <w:divBdr>
            <w:top w:val="none" w:sz="0" w:space="0" w:color="auto"/>
            <w:left w:val="none" w:sz="0" w:space="0" w:color="auto"/>
            <w:bottom w:val="none" w:sz="0" w:space="0" w:color="auto"/>
            <w:right w:val="none" w:sz="0" w:space="0" w:color="auto"/>
          </w:divBdr>
        </w:div>
        <w:div w:id="220143881">
          <w:blockQuote w:val="1"/>
          <w:marLeft w:val="225"/>
          <w:marRight w:val="0"/>
          <w:marTop w:val="0"/>
          <w:marBottom w:val="0"/>
          <w:divBdr>
            <w:top w:val="none" w:sz="0" w:space="0" w:color="auto"/>
            <w:left w:val="none" w:sz="0" w:space="0" w:color="auto"/>
            <w:bottom w:val="none" w:sz="0" w:space="0" w:color="auto"/>
            <w:right w:val="none" w:sz="0" w:space="0" w:color="auto"/>
          </w:divBdr>
        </w:div>
        <w:div w:id="1508323406">
          <w:blockQuote w:val="1"/>
          <w:marLeft w:val="225"/>
          <w:marRight w:val="0"/>
          <w:marTop w:val="0"/>
          <w:marBottom w:val="0"/>
          <w:divBdr>
            <w:top w:val="none" w:sz="0" w:space="0" w:color="auto"/>
            <w:left w:val="none" w:sz="0" w:space="0" w:color="auto"/>
            <w:bottom w:val="none" w:sz="0" w:space="0" w:color="auto"/>
            <w:right w:val="none" w:sz="0" w:space="0" w:color="auto"/>
          </w:divBdr>
        </w:div>
        <w:div w:id="616642615">
          <w:blockQuote w:val="1"/>
          <w:marLeft w:val="225"/>
          <w:marRight w:val="0"/>
          <w:marTop w:val="0"/>
          <w:marBottom w:val="0"/>
          <w:divBdr>
            <w:top w:val="none" w:sz="0" w:space="0" w:color="auto"/>
            <w:left w:val="none" w:sz="0" w:space="0" w:color="auto"/>
            <w:bottom w:val="none" w:sz="0" w:space="0" w:color="auto"/>
            <w:right w:val="none" w:sz="0" w:space="0" w:color="auto"/>
          </w:divBdr>
        </w:div>
        <w:div w:id="483278749">
          <w:blockQuote w:val="1"/>
          <w:marLeft w:val="225"/>
          <w:marRight w:val="0"/>
          <w:marTop w:val="0"/>
          <w:marBottom w:val="0"/>
          <w:divBdr>
            <w:top w:val="none" w:sz="0" w:space="0" w:color="auto"/>
            <w:left w:val="none" w:sz="0" w:space="0" w:color="auto"/>
            <w:bottom w:val="none" w:sz="0" w:space="0" w:color="auto"/>
            <w:right w:val="none" w:sz="0" w:space="0" w:color="auto"/>
          </w:divBdr>
        </w:div>
        <w:div w:id="187724820">
          <w:blockQuote w:val="1"/>
          <w:marLeft w:val="225"/>
          <w:marRight w:val="0"/>
          <w:marTop w:val="0"/>
          <w:marBottom w:val="0"/>
          <w:divBdr>
            <w:top w:val="none" w:sz="0" w:space="0" w:color="auto"/>
            <w:left w:val="none" w:sz="0" w:space="0" w:color="auto"/>
            <w:bottom w:val="none" w:sz="0" w:space="0" w:color="auto"/>
            <w:right w:val="none" w:sz="0" w:space="0" w:color="auto"/>
          </w:divBdr>
        </w:div>
        <w:div w:id="1066101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0040192">
      <w:bodyDiv w:val="1"/>
      <w:marLeft w:val="0"/>
      <w:marRight w:val="0"/>
      <w:marTop w:val="0"/>
      <w:marBottom w:val="0"/>
      <w:divBdr>
        <w:top w:val="none" w:sz="0" w:space="0" w:color="auto"/>
        <w:left w:val="none" w:sz="0" w:space="0" w:color="auto"/>
        <w:bottom w:val="none" w:sz="0" w:space="0" w:color="auto"/>
        <w:right w:val="none" w:sz="0" w:space="0" w:color="auto"/>
      </w:divBdr>
    </w:div>
    <w:div w:id="1752197346">
      <w:bodyDiv w:val="1"/>
      <w:marLeft w:val="0"/>
      <w:marRight w:val="0"/>
      <w:marTop w:val="0"/>
      <w:marBottom w:val="0"/>
      <w:divBdr>
        <w:top w:val="none" w:sz="0" w:space="0" w:color="auto"/>
        <w:left w:val="none" w:sz="0" w:space="0" w:color="auto"/>
        <w:bottom w:val="none" w:sz="0" w:space="0" w:color="auto"/>
        <w:right w:val="none" w:sz="0" w:space="0" w:color="auto"/>
      </w:divBdr>
    </w:div>
    <w:div w:id="1783961752">
      <w:bodyDiv w:val="1"/>
      <w:marLeft w:val="0"/>
      <w:marRight w:val="0"/>
      <w:marTop w:val="0"/>
      <w:marBottom w:val="0"/>
      <w:divBdr>
        <w:top w:val="none" w:sz="0" w:space="0" w:color="auto"/>
        <w:left w:val="none" w:sz="0" w:space="0" w:color="auto"/>
        <w:bottom w:val="none" w:sz="0" w:space="0" w:color="auto"/>
        <w:right w:val="none" w:sz="0" w:space="0" w:color="auto"/>
      </w:divBdr>
      <w:divsChild>
        <w:div w:id="19436090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7771993">
      <w:bodyDiv w:val="1"/>
      <w:marLeft w:val="0"/>
      <w:marRight w:val="0"/>
      <w:marTop w:val="0"/>
      <w:marBottom w:val="0"/>
      <w:divBdr>
        <w:top w:val="none" w:sz="0" w:space="0" w:color="auto"/>
        <w:left w:val="none" w:sz="0" w:space="0" w:color="auto"/>
        <w:bottom w:val="none" w:sz="0" w:space="0" w:color="auto"/>
        <w:right w:val="none" w:sz="0" w:space="0" w:color="auto"/>
      </w:divBdr>
    </w:div>
    <w:div w:id="1821459996">
      <w:bodyDiv w:val="1"/>
      <w:marLeft w:val="0"/>
      <w:marRight w:val="0"/>
      <w:marTop w:val="0"/>
      <w:marBottom w:val="0"/>
      <w:divBdr>
        <w:top w:val="none" w:sz="0" w:space="0" w:color="auto"/>
        <w:left w:val="none" w:sz="0" w:space="0" w:color="auto"/>
        <w:bottom w:val="none" w:sz="0" w:space="0" w:color="auto"/>
        <w:right w:val="none" w:sz="0" w:space="0" w:color="auto"/>
      </w:divBdr>
    </w:div>
    <w:div w:id="1821534446">
      <w:bodyDiv w:val="1"/>
      <w:marLeft w:val="0"/>
      <w:marRight w:val="0"/>
      <w:marTop w:val="0"/>
      <w:marBottom w:val="0"/>
      <w:divBdr>
        <w:top w:val="none" w:sz="0" w:space="0" w:color="auto"/>
        <w:left w:val="none" w:sz="0" w:space="0" w:color="auto"/>
        <w:bottom w:val="none" w:sz="0" w:space="0" w:color="auto"/>
        <w:right w:val="none" w:sz="0" w:space="0" w:color="auto"/>
      </w:divBdr>
      <w:divsChild>
        <w:div w:id="1943686510">
          <w:blockQuote w:val="1"/>
          <w:marLeft w:val="225"/>
          <w:marRight w:val="0"/>
          <w:marTop w:val="0"/>
          <w:marBottom w:val="0"/>
          <w:divBdr>
            <w:top w:val="none" w:sz="0" w:space="0" w:color="auto"/>
            <w:left w:val="none" w:sz="0" w:space="0" w:color="auto"/>
            <w:bottom w:val="none" w:sz="0" w:space="0" w:color="auto"/>
            <w:right w:val="none" w:sz="0" w:space="0" w:color="auto"/>
          </w:divBdr>
        </w:div>
        <w:div w:id="6348750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1367743">
      <w:bodyDiv w:val="1"/>
      <w:marLeft w:val="0"/>
      <w:marRight w:val="0"/>
      <w:marTop w:val="0"/>
      <w:marBottom w:val="0"/>
      <w:divBdr>
        <w:top w:val="none" w:sz="0" w:space="0" w:color="auto"/>
        <w:left w:val="none" w:sz="0" w:space="0" w:color="auto"/>
        <w:bottom w:val="none" w:sz="0" w:space="0" w:color="auto"/>
        <w:right w:val="none" w:sz="0" w:space="0" w:color="auto"/>
      </w:divBdr>
      <w:divsChild>
        <w:div w:id="199351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48053274">
      <w:bodyDiv w:val="1"/>
      <w:marLeft w:val="0"/>
      <w:marRight w:val="0"/>
      <w:marTop w:val="0"/>
      <w:marBottom w:val="0"/>
      <w:divBdr>
        <w:top w:val="none" w:sz="0" w:space="0" w:color="auto"/>
        <w:left w:val="none" w:sz="0" w:space="0" w:color="auto"/>
        <w:bottom w:val="none" w:sz="0" w:space="0" w:color="auto"/>
        <w:right w:val="none" w:sz="0" w:space="0" w:color="auto"/>
      </w:divBdr>
      <w:divsChild>
        <w:div w:id="188689831">
          <w:blockQuote w:val="1"/>
          <w:marLeft w:val="225"/>
          <w:marRight w:val="0"/>
          <w:marTop w:val="0"/>
          <w:marBottom w:val="0"/>
          <w:divBdr>
            <w:top w:val="none" w:sz="0" w:space="0" w:color="auto"/>
            <w:left w:val="none" w:sz="0" w:space="0" w:color="auto"/>
            <w:bottom w:val="none" w:sz="0" w:space="0" w:color="auto"/>
            <w:right w:val="none" w:sz="0" w:space="0" w:color="auto"/>
          </w:divBdr>
        </w:div>
        <w:div w:id="67776803">
          <w:blockQuote w:val="1"/>
          <w:marLeft w:val="225"/>
          <w:marRight w:val="0"/>
          <w:marTop w:val="0"/>
          <w:marBottom w:val="0"/>
          <w:divBdr>
            <w:top w:val="none" w:sz="0" w:space="0" w:color="auto"/>
            <w:left w:val="none" w:sz="0" w:space="0" w:color="auto"/>
            <w:bottom w:val="none" w:sz="0" w:space="0" w:color="auto"/>
            <w:right w:val="none" w:sz="0" w:space="0" w:color="auto"/>
          </w:divBdr>
        </w:div>
        <w:div w:id="3852222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6164036">
      <w:bodyDiv w:val="1"/>
      <w:marLeft w:val="0"/>
      <w:marRight w:val="0"/>
      <w:marTop w:val="0"/>
      <w:marBottom w:val="0"/>
      <w:divBdr>
        <w:top w:val="none" w:sz="0" w:space="0" w:color="auto"/>
        <w:left w:val="none" w:sz="0" w:space="0" w:color="auto"/>
        <w:bottom w:val="none" w:sz="0" w:space="0" w:color="auto"/>
        <w:right w:val="none" w:sz="0" w:space="0" w:color="auto"/>
      </w:divBdr>
    </w:div>
    <w:div w:id="2035499874">
      <w:bodyDiv w:val="1"/>
      <w:marLeft w:val="0"/>
      <w:marRight w:val="0"/>
      <w:marTop w:val="0"/>
      <w:marBottom w:val="0"/>
      <w:divBdr>
        <w:top w:val="none" w:sz="0" w:space="0" w:color="auto"/>
        <w:left w:val="none" w:sz="0" w:space="0" w:color="auto"/>
        <w:bottom w:val="none" w:sz="0" w:space="0" w:color="auto"/>
        <w:right w:val="none" w:sz="0" w:space="0" w:color="auto"/>
      </w:divBdr>
      <w:divsChild>
        <w:div w:id="4253482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8969475">
      <w:bodyDiv w:val="1"/>
      <w:marLeft w:val="0"/>
      <w:marRight w:val="0"/>
      <w:marTop w:val="0"/>
      <w:marBottom w:val="0"/>
      <w:divBdr>
        <w:top w:val="none" w:sz="0" w:space="0" w:color="auto"/>
        <w:left w:val="none" w:sz="0" w:space="0" w:color="auto"/>
        <w:bottom w:val="none" w:sz="0" w:space="0" w:color="auto"/>
        <w:right w:val="none" w:sz="0" w:space="0" w:color="auto"/>
      </w:divBdr>
      <w:divsChild>
        <w:div w:id="147207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55418851">
      <w:bodyDiv w:val="1"/>
      <w:marLeft w:val="0"/>
      <w:marRight w:val="0"/>
      <w:marTop w:val="0"/>
      <w:marBottom w:val="0"/>
      <w:divBdr>
        <w:top w:val="none" w:sz="0" w:space="0" w:color="auto"/>
        <w:left w:val="none" w:sz="0" w:space="0" w:color="auto"/>
        <w:bottom w:val="none" w:sz="0" w:space="0" w:color="auto"/>
        <w:right w:val="none" w:sz="0" w:space="0" w:color="auto"/>
      </w:divBdr>
      <w:divsChild>
        <w:div w:id="637346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653518">
      <w:bodyDiv w:val="1"/>
      <w:marLeft w:val="0"/>
      <w:marRight w:val="0"/>
      <w:marTop w:val="0"/>
      <w:marBottom w:val="0"/>
      <w:divBdr>
        <w:top w:val="none" w:sz="0" w:space="0" w:color="auto"/>
        <w:left w:val="none" w:sz="0" w:space="0" w:color="auto"/>
        <w:bottom w:val="none" w:sz="0" w:space="0" w:color="auto"/>
        <w:right w:val="none" w:sz="0" w:space="0" w:color="auto"/>
      </w:divBdr>
    </w:div>
    <w:div w:id="2092387072">
      <w:bodyDiv w:val="1"/>
      <w:marLeft w:val="0"/>
      <w:marRight w:val="0"/>
      <w:marTop w:val="0"/>
      <w:marBottom w:val="0"/>
      <w:divBdr>
        <w:top w:val="none" w:sz="0" w:space="0" w:color="auto"/>
        <w:left w:val="none" w:sz="0" w:space="0" w:color="auto"/>
        <w:bottom w:val="none" w:sz="0" w:space="0" w:color="auto"/>
        <w:right w:val="none" w:sz="0" w:space="0" w:color="auto"/>
      </w:divBdr>
      <w:divsChild>
        <w:div w:id="224419584">
          <w:blockQuote w:val="1"/>
          <w:marLeft w:val="225"/>
          <w:marRight w:val="0"/>
          <w:marTop w:val="0"/>
          <w:marBottom w:val="0"/>
          <w:divBdr>
            <w:top w:val="none" w:sz="0" w:space="0" w:color="auto"/>
            <w:left w:val="none" w:sz="0" w:space="0" w:color="auto"/>
            <w:bottom w:val="none" w:sz="0" w:space="0" w:color="auto"/>
            <w:right w:val="none" w:sz="0" w:space="0" w:color="auto"/>
          </w:divBdr>
        </w:div>
        <w:div w:id="825247040">
          <w:blockQuote w:val="1"/>
          <w:marLeft w:val="225"/>
          <w:marRight w:val="0"/>
          <w:marTop w:val="0"/>
          <w:marBottom w:val="0"/>
          <w:divBdr>
            <w:top w:val="none" w:sz="0" w:space="0" w:color="auto"/>
            <w:left w:val="none" w:sz="0" w:space="0" w:color="auto"/>
            <w:bottom w:val="none" w:sz="0" w:space="0" w:color="auto"/>
            <w:right w:val="none" w:sz="0" w:space="0" w:color="auto"/>
          </w:divBdr>
        </w:div>
        <w:div w:id="1446272986">
          <w:blockQuote w:val="1"/>
          <w:marLeft w:val="225"/>
          <w:marRight w:val="0"/>
          <w:marTop w:val="0"/>
          <w:marBottom w:val="0"/>
          <w:divBdr>
            <w:top w:val="none" w:sz="0" w:space="0" w:color="auto"/>
            <w:left w:val="none" w:sz="0" w:space="0" w:color="auto"/>
            <w:bottom w:val="none" w:sz="0" w:space="0" w:color="auto"/>
            <w:right w:val="none" w:sz="0" w:space="0" w:color="auto"/>
          </w:divBdr>
        </w:div>
        <w:div w:id="1277829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15</Pages>
  <Words>43122</Words>
  <Characters>237177</Characters>
  <Application>Microsoft Office Word</Application>
  <DocSecurity>0</DocSecurity>
  <Lines>1976</Lines>
  <Paragraphs>559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ESKINAZI Mickael</cp:lastModifiedBy>
  <cp:revision>10</cp:revision>
  <dcterms:created xsi:type="dcterms:W3CDTF">2026-02-05T16:35:00Z</dcterms:created>
  <dcterms:modified xsi:type="dcterms:W3CDTF">2026-02-10T16:12:00Z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id="mtdEuibc"/&gt;&lt;style id="http://www.zotero.org/styles/apa"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