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CD6F1" w14:textId="77777777" w:rsidR="0032425B" w:rsidRDefault="00081001" w:rsidP="00E42CCF">
      <w:pPr>
        <w:spacing w:before="280"/>
        <w:ind w:left="720" w:hanging="360"/>
      </w:pPr>
      <w:commentRangeStart w:id="0"/>
      <w:commentRangeStart w:id="1"/>
      <w:commentRangeEnd w:id="0"/>
      <w:r>
        <w:rPr>
          <w:rStyle w:val="Marquedecommentaire"/>
          <w:sz w:val="24"/>
          <w:szCs w:val="24"/>
        </w:rPr>
        <w:commentReference w:id="0"/>
      </w:r>
      <w:commentRangeEnd w:id="1"/>
      <w:r w:rsidR="0042578C">
        <w:rPr>
          <w:rStyle w:val="Marquedecommentaire"/>
          <w:sz w:val="24"/>
          <w:szCs w:val="24"/>
        </w:rPr>
        <w:commentReference w:id="1"/>
      </w:r>
    </w:p>
    <w:p w14:paraId="5D6B9D99" w14:textId="77777777" w:rsidR="0032425B" w:rsidRDefault="0032425B" w:rsidP="0032425B">
      <w:pPr>
        <w:pStyle w:val="Paragraphedeliste"/>
        <w:spacing w:before="280"/>
        <w:rPr>
          <w:b/>
          <w:bCs/>
          <w:lang w:val="en-US"/>
        </w:rPr>
      </w:pPr>
    </w:p>
    <w:p w14:paraId="559C787C" w14:textId="741ED202" w:rsidR="00E42CCF" w:rsidRPr="00E42CCF" w:rsidRDefault="00542108" w:rsidP="00E42CCF">
      <w:pPr>
        <w:pStyle w:val="Paragraphedeliste"/>
        <w:numPr>
          <w:ilvl w:val="0"/>
          <w:numId w:val="2"/>
        </w:numPr>
        <w:spacing w:before="280"/>
        <w:rPr>
          <w:b/>
          <w:bCs/>
          <w:lang w:val="en-US"/>
        </w:rPr>
      </w:pPr>
      <w:r w:rsidRPr="00E42CCF">
        <w:rPr>
          <w:b/>
          <w:bCs/>
          <w:lang w:val="en-US"/>
        </w:rPr>
        <w:t>Introduction</w:t>
      </w:r>
    </w:p>
    <w:p w14:paraId="48762354" w14:textId="1F4030DD" w:rsidR="000829E4" w:rsidRPr="007A17FC" w:rsidRDefault="00542108" w:rsidP="00FC19AC">
      <w:pPr>
        <w:spacing w:after="240" w:line="360" w:lineRule="auto"/>
        <w:rPr>
          <w:lang w:val="en-US"/>
        </w:rPr>
      </w:pPr>
      <w:r w:rsidRPr="007A17FC">
        <w:rPr>
          <w:lang w:val="en-US"/>
        </w:rPr>
        <w:t>Psychedelic-assisted therapy has re-emerged as a promising intervention across several psychiatric conditions, supported by randomized controlled trials (RCTs) demonstrating clinically meaningful symptom reductions in major depressive disorder</w:t>
      </w:r>
      <w:r w:rsidR="00575EE5">
        <w:rPr>
          <w:lang w:val="en-US"/>
        </w:rPr>
        <w:t xml:space="preserve"> </w:t>
      </w:r>
      <w:r w:rsidR="00575EE5">
        <w:rPr>
          <w:lang w:val="en-US"/>
        </w:rPr>
        <w:fldChar w:fldCharType="begin"/>
      </w:r>
      <w:r w:rsidR="003D39F1">
        <w:rPr>
          <w:lang w:val="en-US"/>
        </w:rPr>
        <w:instrText xml:space="preserve"> ADDIN ZOTERO_ITEM CSL_CITATION {"citationID":"k8bmbK5Y","properties":{"formattedCitation":"(Back et al., 2024; R. Carhart-Harris et al., 2021; Goodwin et al., 2022; M\\uc0\\u252{}ller et al., 2025; Palhano-Fontes et al., 2019; Raison et al., 2023; Von Rotz et al., 2023)","plainCitation":"(Back et al., 2024; R. Carhart-Harris et al., 2021; Goodwin et al., 2022; Müller et al., 2025; Palhano-Fontes et al., 2019; Raison et al., 2023; Von Rotz et al., 2023)","noteIndex":0},"citationItems":[{"id":738,"uris":["http://zotero.org/users/4564126/items/Q6FRP3NY"],"itemData":{"id":738,"type":"article-journal","abstract":"BACKGROUND: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J."}],"issued":{"date-parts":[["2021",4,15]]}}},{"id":771,"uris":["http://zotero.org/users/4564126/items/JMQWUY4P"],"itemData":{"id":771,"type":"article-journal","abstract":"BACKGROUND: Psilocybin is being studied for use in treatment-resistant depression. METHODS: In this phase 2 double-blind trial, we randomly assigned  adults with treatment-resistant depression to receive a single dose of a  proprietary, synthetic formulation of psilocybin at a dose of 25 mg, 10 mg, or 1  mg (control), along with psychological support. The primary end point was the  change from baseline to week 3 in the total score on the Montgomery-Åsberg  Depression Rating Scale (MADRS; range, 0 to 60, with higher scores indicating  more severe depression). Secondary end points included response at week 3 (≥50%  decrease from baseline in the MADRS total score), remission at week 3 (MADRS  total score ≤10), and sustained response at 12 weeks (meeting response criteria  at week 3 and all subsequent visits). RESULTS: A total of 79 participants were in  the 25-mg group, 75 in the 10-mg group, and 79 in the 1-mg group. The mean MADRS  total score at baseline was 32 or 33 in each group. Least-squares mean changes  from baseline to week 3 in the score were -12.0 for 25 mg, -7.9 for 10 mg, and  -5.4 for 1 mg; the difference between the 25-mg group and 1-mg group was -6.6  (95% confidence interval [CI], -10.2 to -2.9; P&lt;0.001) and between the 10-mg  group and 1-mg group was -2.5 (95% CI, -6.2 to 1.2; P = 0.18). In the 25-mg  group, the incidences of response and remission at 3 weeks, but not sustained  response at 12 weeks, were generally supportive of the primary results. Adverse  events occurred in 179 of 233 participants (77%) and included headache, nausea,  and dizziness. Suicidal ideation or behavior or self-injury occurred in all dose  groups. CONCLUSIONS: In this phase 2 trial involving participants with  treatment-resistant depression, psilocybin at a single dose of 25 mg, but not 10  mg, reduced depression scores significantly more than a 1-mg dose over a period  of 3 weeks but was associated with adverse effects. Larger and longer trials,  including comparison with existing treatments, are required to determine the  efficacy and safety of psilocybin for this disorder. (Funded by COMPASS  Pathfinder; EudraCT number, 2017-003288-36; ClinicalTrials.gov number,  NCT03775200.).","container-title":"The New England journal of medicine","DOI":"10.1056/NEJMoa2206443","ISSN":"1533-4406 0028-4793","issue":"18","journalAbbreviation":"N Engl J Med","language":"eng","license":"Copyright © 2022 Massachusetts Medical Society.","note":"publisher-place: United States","page":"1637-1648","PMID":"36322843","title":"Single-Dose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 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Reemst","given":"Aumer","non-dropping-particle":"van"},{"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id":2986,"uris":["http://zotero.org/users/4564126/items/ZJVKNIWA"],"itemData":{"id":2986,"type":"article-journal","abstract":"OBJECTIVE To evaluate the magnitude, timing, and durability of antidepressant effects and safety of a single dose of psilocybin in patients with MDD. DESIGN, SETTING, AND PARTICIPANTS In this phase 2 trial conducted between December 2019 and June 2022 at 11 research sites in the US, participants were randomized in a 1:1 ratio to receive a single dose of psilocybin vs niacin placebo administered with psychological support. Participants were adults aged 21 to 65 years with a Diagnostic and Statistical Manual of Mental Disorders, Fifth Edition diagnosis of MDD of at least 60 days’ duration and moderate or greater symptom severity. Exclusion criteria included history of psychosis or mania, active substance use disorder, and active suicidal ideation with intent. Participants taking psychotropic agents who otherwise met inclusion/exclusion criteria were eligible following medication taper. Primary and secondary outcomes and adverse events (AEs) were assessed at baseline (conducted within 7 days before dosing) and at 2, 8, 15, 29, and 43 days after dosing. INTERVENTIONS Interventions were a 25-mg dose of synthetic psilocybin or a 100-mg dose of niacin in identical-appearing capsules, each administered with psychological support. MAIN OUTCOMES AND MEASURES The primary outcome was change in central rater–assessed Montgomery-Asberg Depression Rating Scale (MADRS) score (range, 0-60; higher scores indicate more severe depression) from baseline to day 43. The key secondary outcome measure was change in MADRS score from baseline to day 8. Other secondary outcomes were change in Sheehan Disability Scale score from baseline to day 43 and MADRS-defined sustained response and remission. Participants, study site personnel, study sponsor, outcome assessors (raters), and statisticians were blinded to treatment assignment.\nRESULTS A total of 104 participants (mean [SD] age, 41.1 [11.3] years; 52 [50%] women) were randomized (51 to the psilocybin group and 53 to the niacin group). Psilocybin treatment was associated with significantly reduced MADRS scores compared with niacin from baseline to day 43 (mean difference,−12.3 [95% CI, −17.5 to −7.2]; P &lt;.001) and from baseline to day 8 (mean difference, −12.0 [95% CI, −16.6 to −7.4]; P &lt; .001). Psilocybin treatment was also associated with significantly reduced Sheehan Disability Scale scores compared with niacin (mean difference, −2.31 [95% CI, −3.50 to −1.11]; P &lt; .001) from baseline to day 43. More participants receiving psilocybin had sustained response (but not remission) than those receiving niacin. There were no serious treatment-emergent AEs; however, psilocybin treatment was associated with a higher rate of overall AEs and a higher rate of severe AEs.\nCONCLUSIONS AND RELEVANCE Psilocybin treatment was associated with a clinically significant sustained reduction in depressive symptoms and functional disability, without serious adverse events. These findings add to increasing evidence that psilocybin—when administered with psychological support—may hold promise as a novel intervention for MDD.","container-title":"JAMA","DOI":"10.1001/jama.2023.14530","ISSN":"0098-7484","issue":"9","journalAbbreviation":"JAMA","language":"en","page":"843","source":"DOI.org (Crossref)","title":"Single-Dose Psilocybin Treatment for Major Depressive Disorder: A Randomized Clinical Trial","title-short":"Single-Dose Psilocybin Treatment for Major Depressive Disorder","volume":"330","author":[{"family":"Raison","given":"Charles L."},{"family":"Sanacora","given":"Gerard"},{"family":"Woolley","given":"Joshua"},{"family":"Heinzerling","given":"Keith"},{"family":"Dunlop","given":"Boadie W."},{"family":"Brown","given":"Randall T."},{"family":"Kakar","given":"Rishi"},{"family":"Hassman","given":"Michael"},{"family":"Trivedi","given":"Rupal P."},{"family":"Robison","given":"Reid"},{"family":"Gukasyan","given":"Natalie"},{"family":"Nayak","given":"Sandeep M."},{"family":"Hu","given":"Xiaojue"},{"family":"O’Donnell","given":"Kelley C."},{"family":"Kelmendi","given":"Benjamin"},{"family":"Sloshower","given":"Jordan"},{"family":"Penn","given":"Andrew D."},{"family":"Bradley","given":"Ellen"},{"family":"Kelly","given":"Daniel F."},{"family":"Mletzko","given":"Tanja"},{"family":"Nicholas","given":"Christopher R."},{"family":"Hutson","given":"Paul R."},{"family":"Tarpley","given":"Gary"},{"family":"Utzinger","given":"Malynn"},{"family":"Lenoch","given":"Kelsey"},{"family":"Warchol","given":"Kasia"},{"family":"Gapasin","given":"Theraysa"},{"family":"Davis","given":"Mike C."},{"family":"Nelson-Douthit","given":"Courtney"},{"family":"Wilson","given":"Steffanie"},{"family":"Brown","given":"Carrie"},{"family":"Linton","given":"William"},{"family":"Johnson","given":"Matthew W."},{"family":"Ross","given":"Stephen"},{"family":"Griffiths","given":"Roland R."}],"issued":{"date-parts":[["2023",9,5]]}}},{"id":2943,"uris":["http://zotero.org/users/4564126/items/VCR8J7DW"],"itemData":{"id":2943,"type":"article-journal","abstract":"Summary Background This trial aimed to assess the efficacy of lysergic acid diethylamide (LSD)-assisted therapy in patients with moderate-to-severe major depressive disorder. Methods This was a randomized, parallel, double-blind, low-dose controlled trial (Clinicaltrials.gov: NCT03866252). Patients were randomly assigned in a 1:1 ratio to receive supportive psychotherapy and either 100 μg + 200 μg LSD or 25 μg + 25 μg LSD in two dosing sessions. The primary endpoints were the changes in scores on the Inventory of Depressive Symptomatology, in the Clinician-Rated (IDS-C) version (assessed by the treating therapist) and the Self-Rated (IDS-SR) version, from baseline to 2 weeks after the second administration. The IDS scores were also assessed 6 and 12 weeks after the second administration. Findings Thirty-one patients were randomized to the low-dose group, and 30 were randomized to the high-dose group. At the primary endpoint, least-squares mean change (LSM) in IDS-SR scores was −3.9 in the low-dose and −11.8 in the high-dose group (difference: −7.9; 95% CI, −16.0 to 0.3; effect size: −0.5; p = 0.059). LSM in IDS-C scores was −3.6 in the low-dose and −12.9 in the high-dose group (difference: −9.2; CI, −17.1 to −1.3; effect size: −0.6; p = 0.023; corrected &lt;0.05). However, significance was not reached after adjusting for baseline depression scores (p = 0.086). Both outcomes remained numerically consistent up to the final follow-up at 12 weeks. Adverse events were comparable between groups. Conclusions The findings of this exploratory study support further investigation of LSD-assisted therapy in depression in a larger phase 3 trial. Funding Gertrud Thalmann Fund for depression research.","container-title":"Med","DOI":"https://doi.org/10.1016/j.medj.2025.100725","ISSN":"2666-6340","issue":"9","page":"100725","title":"Efficacy and safety of low- versus high-dose-LSD-assisted therapy in patients with major depression: A randomized trial","volume":"6","author":[{"family":"Müller","given":"Felix"},{"family":"Zaczek","given":"Hannes"},{"family":"Becker","given":"Anna M."},{"family":"Ley","given":"Laura"},{"family":"Borgwardt","given":"Stefan"},{"family":"Jesus","given":"Joyce Santos","dropping-particle":"de"},{"family":"Loh","given":"Nico"},{"family":"Kohut","given":"Jan"},{"family":"Auernig","given":"Mathias"},{"family":"Boehlke","given":"Christopher"},{"family":"Liechti","given":"Matthias E."}],"issued":{"date-parts":[["2025"]]}}},{"id":2989,"uris":["http://zotero.org/users/4564126/items/LZ533Z6B"],"itemData":{"id":2989,"type":"article-journal","abstract":"Background Psilocybin has been suggested as a novel, rapid-acting treatment for depression. Two consecutive doses have been shown to markedly decrease symptom severity in an open-label setting or when compared to a waiting list group. To date, to our knowledge, no other trial compared a single, moderate dose of psilocybin to a placebo condition.","container-title":"eClinicalMedicine","DOI":"10.1016/j.eclinm.2022.101809","ISSN":"25895370","journalAbbreviation":"eClinicalMedicine","language":"en","page":"101809","source":"DOI.org (Crossref)","title":"Single-dose psilocybin-assisted therapy in major depressive disorder: a placebo-controlled, double-blind, randomised clinical trial","title-short":"Single-dose psilocybin-assisted therapy in major depressive disorder","volume":"56","author":[{"family":"Von Rotz","given":"Robin"},{"family":"Schindowski","given":"Eva M."},{"family":"Jungwirth","given":"Johannes"},{"family":"Schuldt","given":"Anna"},{"family":"Rieser","given":"Nathalie M."},{"family":"Zahoranszky","given":"Katharina"},{"family":"Seifritz","given":"Erich"},{"family":"Nowak","given":"Albina"},{"family":"Nowak","given":"Peter"},{"family":"Jäncke","given":"Lutz"},{"family":"Preller","given":"Katrin H."},{"family":"Vollenweider","given":"Franz X."}],"issued":{"date-parts":[["2023",2]]}}},{"id":577,"uris":["http://zotero.org/users/4564126/items/DAZYZHDB"],"itemData":{"id":577,"type":"article-journal","abstract":"BACKGROUND: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B."}],"issued":{"date-parts":[["2019",3]]}}},{"id":530,"uris":["http://zotero.org/users/4564126/items/3X45KU2G"],"itemData":{"id":530,"type":"article-journal","abstract":"IMPORTANCE: The psychological morbidity experienced by physicians, advanced practice practitioners (APPs), and nurses from working during the COVID-19  pandemic includes burnout, depression, and posttraumatic stress disorder (PTSD).  OBJECTIVE: To investigate whether psilocybin therapy could improve symptoms of  depression, burnout, and PTSD in US clinicians who developed these symptoms from  frontline clinical work during the pandemic. DESIGN, SETTING, AND PARTICIPANTS:  This double-blind randomized clinical trial enrolled participants from February  to December 2022. Participants included physicians, APPs, and nurses who provided  frontline care for more than 1 month during the pandemic and had no prepandemic  mental health diagnoses but had moderate or severe symptoms of depression at  enrollment. Participants were randomly assigned to either the psilocybin or  niacin arm. Data analysis was conducted between December 2023 and May 2024 and  was based on the intention-to-treat principle. INTERVENTION: One intervention  episode consisted of 2 preparation visits, 1 medication session, and 3  integration visits. At the medication session, participants received psilocybin,  25 mg, or niacin, 100 mg, orally. MAIN OUTCOME AND MEASURES: The primary outcome  was a change from baseline (preparation 1 session) to day 28 (after medication  administration) in symptoms of depression as measured by the  clinician-administered Montgomery-Asberg Depression Rating Scale (MADRS) used by  blinded raters. The secondary outcomes were a change in symptoms of burnout  (measured with the Stanford Professional Fulfillment Index [SPFI]) and symptoms  of PTSD (measured with the Posttraumatic Stress Disorder Checklist for Diagnostic  and Statistical Manual of Mental Disorders, Fifth Edition [PCL-5]). RESULTS: A  total of 30 clinicians (15 females [50%]; mean [range] age, 38 [29-60] years)  participated, of whom 15 were randomly assigned to receive psilocybin and 15 to  receive niacin. The mean change in symptoms of depression (MADRS scores) from  preparation 1 session to day 28 was -21.33 (7.84) in the psilocybin arm compared  with -9.33 (7.32) in the niacin arm, with a mean difference between arms of  -12.00 (95% CI, -17.67 to -6.33; P &lt; .001), a decrease in MADRS scores indicating  improvement. The mean change in SPFI scores from preparation 1 session to day 28  showed a numerically larger improvement in symptoms of burnout in the psilocybin  compared with the niacin arm (-6.40 [5.00] vs -2.33 [5.97]; P = .05) but was not  statistically significant. Since the SPFI score change did not reach statistical  significance, the PCL-5 score change was evaluated descriptively. The mean change  in PCL-5 scores showed a numerically larger decrease in symptoms of PTSD from  preparation 1 session to day 28 in the psilocybin vs the niacin arm (-16.67  [15.04] vs -6.73 [10.69]), but this difference was not statistically tested.  CONCLUSIONS AND RELEVANCE: This randomized clinical trial found that psilocybin  therapy resulted in a significant, sustained reduction in symptoms of depression  experienced by clinicians after frontline work during the COVID-19 pandemic. The  findings establish psilocybin therapy as a new paradigm of treatment for this  postpandemic condition. TRIAL REGISTRATION: ClinicalTrials.gov Identifier:  NCT05163496.","container-title":"JAMA network open","DOI":"10.1001/jamanetworkopen.2024.49026","ISSN":"2574-3805","issue":"12","journalAbbreviation":"JAMA Netw Open","language":"eng","note":"publisher-place: United States","page":"e2449026","PMID":"39636638","PMCID":"PMC11621983","title":"Psilocybin Therapy for Clinicians With Symptoms of Depression From Frontline Care During the COVID-19 Pandemic: A Randomized Clinical Trial.","volume":"7","author":[{"family":"Back","given":"Anthony L."},{"family":"Freeman-Young","given":"Timara K."},{"family":"Morgan","given":"Ladybird"},{"family":"Sethi","given":"Tanmeet"},{"family":"Baker","given":"Kelsey K."},{"family":"Myers","given":"Susanna"},{"family":"McGregor","given":"Bonnie A."},{"family":"Harvey","given":"Kalin"},{"family":"Tai","given":"Marlene"},{"family":"Kollefrath","given":"Austin"},{"family":"Thomas","given":"Brandon J."},{"family":"Sorta","given":"Dennis"},{"family":"Kaelen","given":"Mendel"},{"family":"Kelmendi","given":"Benjamin"},{"family":"Gooley","given":"Ted A."}],"issued":{"date-parts":[["2024",12,2]]}}}],"schema":"https://github.com/citation-style-language/schema/raw/master/csl-citation.json"} </w:instrText>
      </w:r>
      <w:r w:rsidR="00575EE5">
        <w:rPr>
          <w:lang w:val="en-US"/>
        </w:rPr>
        <w:fldChar w:fldCharType="separate"/>
      </w:r>
      <w:r w:rsidR="003D39F1" w:rsidRPr="003D39F1">
        <w:rPr>
          <w:lang w:val="fr-FR" w:eastAsia="en-US"/>
        </w:rPr>
        <w:t>(Back et al., 2024; R. Carhart-Harris et al., 2021; Goodwin et al., 2022; Müller et al., 2025; Palhano-Fontes et al., 2019; Raison et al., 2023; Von Rotz et al., 2023)</w:t>
      </w:r>
      <w:r w:rsidR="00575EE5">
        <w:rPr>
          <w:lang w:val="en-US"/>
        </w:rPr>
        <w:fldChar w:fldCharType="end"/>
      </w:r>
      <w:r w:rsidRPr="007A17FC">
        <w:rPr>
          <w:lang w:val="en-US"/>
        </w:rPr>
        <w:t>, anxiety disorders</w:t>
      </w:r>
      <w:r w:rsidR="00575EE5">
        <w:rPr>
          <w:lang w:val="en-US"/>
        </w:rPr>
        <w:t xml:space="preserve"> </w:t>
      </w:r>
      <w:r w:rsidR="00575EE5">
        <w:rPr>
          <w:lang w:val="en-US"/>
        </w:rPr>
        <w:fldChar w:fldCharType="begin"/>
      </w:r>
      <w:r w:rsidR="00575EE5">
        <w:rPr>
          <w:lang w:val="en-US"/>
        </w:rPr>
        <w:instrText xml:space="preserve"> ADDIN ZOTERO_ITEM CSL_CITATION {"citationID":"joDP4MS4","properties":{"formattedCitation":"(Dos Santos et al., 2021; Gasser et al., 2014; Holze et al., 2023; Robison et al., 2025; Ross et al., 2016)","plainCitation":"(Dos Santos et al., 2021; Gasser et al., 2014; Holze et al., 2023; Robison et al., 2025; Ross et al., 2016)","noteIndex":0},"citationItems":[{"id":619,"uris":["http://zotero.org/users/4564126/items/CRE2D4II"],"itemData":{"id":619,"type":"article-journal","abstract":"BACKGROUND: Ayahuasca is a classic hallucinogen with anxiolytic and antidepressive properties. Anecdotal evidence also suggests that it improves  performance (eg, singing, speech). This controlled trial assessed the effects of  ayahuasca on speech performance and anxiety in individuals with social anxiety  disorder. METHODS: Seventeen volunteers with social anxiety disorder participated  in a pilot, proof-of-concept, randomized, parallel-group trial. Self-perception  of performance during a public-speaking test was assessed with the  Self-statements During Public Speaking Scale primary outcome). Secondary outcomes  included anxiety/subjective effects (Visual Analog Mood Scale; Bodily Symptoms  Scale), recognition of emotions in facial expressions (REFE), tolerability  measures (cardiovascular measures, self-reports), and brain-derived neurotrophic  factor plasma levels. Effects on anxiety and REFE were assessed again 7, 14, and  21 days postdrug. FINDINGS: Compared with placebo, ayahuasca significantly  improved self-perception of speech performance (Self-statements During Public  Speaking Scale) and increased somatic symptoms (Bodily Symptoms Scale). There was  also a significant time × group interaction in the cognitive deterioration Visual  Analog Mood Scale factor and a significant effect of time in the REFE task,  especially in reaction time. Other measures were not significantly modified.  Ayahuasca was well tolerated, producing mainly nausea, gastrointestinal  discomfort, and vomiting. CONCLUSIONS: Ayahuasca improved self-perception of  speech performance in socially anxious individuals. These effects occurred  independent of task-related anxiety and REFE, suggesting that ayahuasca could  specifically improve the cognitive aspect of speech performance. Further studies  should try to unveil the mechanisms involved in the effects of ayahuasca and to  better understand its effects on anxiety.","container-title":"Journal of clinical psychopharmacology","DOI":"10.1097/JCP.0000000000001428","ISSN":"1533-712X 0271-0749","issue":"5","journalAbbreviation":"J Clin Psychopharmacol","language":"eng","license":"Copyright © 2021 Wolters Kluwer Health, Inc. All rights reserved.","note":"publisher-place: United States","page":"540-550","PMID":"34166299","title":"Ayahuasca Improves Self-perception of Speech Performance in Subjects With Social Anxiety Disorder: A Pilot, Proof-of-Concept, Randomized, Placebo-Controlled  Trial.","volume":"41","author":[{"family":"Dos Santos","given":"Rafael G."},{"family":"Osório","given":"Flávia de Lima"},{"family":"Rocha","given":"Juliana Mendes"},{"family":"Rossi","given":"Giordano Novak"},{"family":"Bouso","given":"José Carlos"},{"family":"Rodrigues","given":"Lucas S."},{"family":"Oliveira Silveira","given":"Gabriela","non-dropping-particle":"de"},{"family":"Yonamine","given":"Mauricio"},{"family":"Hallak","given":"Jaime E. Cecílio"}],"issued":{"date-parts":[["2021",10,1]]}}},{"id":831,"uris":["http://zotero.org/users/4564126/items/6BTJMUZL"],"itemData":{"id":831,"type":"article-journal","abstract":"A double-blind, randomized, active placebo-controlled pilot study was conducted to examine safety and efficacy of lysergic acid diethylamide (LSD)-assisted  psychotherapy in 12 patients with anxiety associated with life-threatening  diseases. Treatment included drug-free psychotherapy sessions supplemented by two  LSD-assisted psychotherapy sessions 2 to 3 weeks apart. The participants received  either 200 μg of LSD (n = 8) or 20 μg of LSD with an open-label crossover to 200  μg of LSD after the initial blinded treatment was unmasked (n = 4). At the  2-month follow-up, positive trends were found via the State-Trait Anxiety  Inventory (STAI) in reductions in trait anxiety (p = 0.033) with an effect size  of 1.1, and state anxiety was significantly reduced (p = 0.021) with an effect  size of 1.2, with no acute or chronic adverse effects persisting beyond 1 day  after treatment or treatment-related serious adverse events. STAI reductions were  sustained for 12 months. These results indicate that when administered safely in  a methodologically rigorous medically supervised psychotherapeutic setting, LSD  can reduce anxiety, suggesting that larger controlled studies are warranted.","container-title":"The Journal of nervous and mental disease","DOI":"10.1097/NMD.0000000000000113","ISSN":"1539-736X 0022-3018","issue":"7","journalAbbreviation":"J Nerv Ment Dis","language":"eng","note":"publisher-place: United States","page":"513-520","PMID":"24594678","PMCID":"PMC4086777","title":"Safety and efficacy of lysergic acid diethylamide-assisted psychotherapy for anxiety associated with life-threatening diseases.","volume":"202","author":[{"family":"Gasser","given":"Peter"},{"family":"Holstein","given":"Dominique"},{"family":"Michel","given":"Yvonne"},{"family":"Doblin","given":"Rick"},{"family":"Yazar-Klosinski","given":"Berra"},{"family":"Passie","given":"Torsten"},{"family":"Brenneisen","given":"Rudolf"}],"issued":{"date-parts":[["2014",7]]}}},{"id":73,"uris":["http://zotero.org/users/4564126/items/VRDY3ZHH"],"itemData":{"id":73,"type":"article-journal","abstract":"BACKGROUND: This study aimed to investigate the efficacy and safety of lysergic acid diethylamide (LSD)-assisted therapy in patients who experienced anxiety with  or without association with a life-threatening illness. METHODS: The study is an  investigator-initiated 2-center trial that used a double-blind,  placebo-controlled, 2-period, random-order, crossover design with 2 sessions with  either oral LSD (200 μg) or placebo per period. The primary end point was anxiety  symptoms 16 weeks after the last treatment session, assessed by the Spielberger  State-Trait Anxiety Inventory-Global score in 42 patients. Further outcome  measures included ratings for depression symptoms (Beck Depression Inventory and  Hamilton Depression Rating Scale, 21-item version) and ratings for acute  subjective drug effects. The outcomes for the first period (between-subjects  analysis) are primarily shown due to carryover effects. RESULTS: LSD treatment  resulted in significant reductions of State-Trait Anxiety Inventory-Global scores  up to 16 weeks after treatment (least-square mean [standard error] change from  baseline difference = -16.2 [5.8], 95% CI, -27.8 to -4.5, d = -1.18, p = .007).  Similar effects were observed for ratings of comorbid depression on the Hamilton  Depression Rating Scale, 21-item version (-7.0 [1.9], 95% CI, -10.8 to -3.2,  d = -1.1, p = .0004) and the Beck Depression Inventory (-6.1 [2.6], 95% CI, -11.4  to -0.9, d = -0.72, p = .02). Positive acute subjective drug effects and  mystical-type experiences correlated with the long-term reductions in anxiety  symptoms. Transient, mild, acute untoward effects of LSD treatment were reported  by 8 patients (19%). One treatment-related serious adverse event (acute transient  anxiety) occurred (2%). CONCLUSIONS: LSD produced long-lasting and notable  reductions in anxiety and comorbid depression symptoms up to 16 weeks.","container-title":"Biological psychiatry","DOI":"10.1016/j.biopsych.2022.08.025","ISSN":"1873-2402 0006-3223","issue":"3","journalAbbreviation":"Biol Psychiatry","language":"eng","license":"Copyright © 2022 Society of Biological Psychiatry. Published by Elsevier Inc. All rights reserved.","note":"publisher-place: United States","page":"215-223","PMID":"36266118","title":"Lysergic Acid Diethylamide-Assisted Therapy in Patients With Anxiety With and Without a Life-Threatening Illness: A Randomized, Double-Blind,  Placebo-Controlled Phase II Study.","volume":"93","author":[{"family":"Holze","given":"Friederike"},{"family":"Gasser","given":"Peter"},{"family":"Müller","given":"Felix"},{"family":"Dolder","given":"Patrick C."},{"family":"Liechti","given":"Matthias E."}],"issued":{"date-parts":[["2023",2,1]]}}},{"id":2967,"uris":["http://zotero.org/users/4564126/items/X2UKA4ZM"],"itemData":{"id":2967,"type":"article-journal","abstract":"OBJECTIVE To determine the dose-response relationship of MM120 (lysergide D-tartrate) in adults with moderate to severe GAD. DESIGN, SETTINGS, AND PARTICIPANTS This phase 2b, multicenter, randomized, double-blind, placebo-controlled study enrolled 198 adults aged 18 to 74 years with a primary GAD diagnosis who presented with moderate to severe symptoms (defined by a Hamilton Anxiety Rating Scale [HAM-A] score 20) and was conducted at 22 outpatient psychiatric research sites in the US from August 2022 to August 2023. The anxiety and depression end point assessments were conducted by independent central raters who were blinded to the trial protocol, treatment allocation, and study visit date. The last date of follow-up was November 27, 2023. INTERVENTIONS Participants were randomized to receive a single (freebase equivalent) treatment dose with 25 μg (n = 39), 50 μg (n = 40), 100 μg (n = 40), or 200 μg (n = 40) of MM120 or placebo (n = 39). MAIN OUTCOME AND MEASURES The primary outcome was a dose-response relationship assessed using the multiple comparison procedure modeling (MCP-Mod) method for change in HAM-A score at 4 weeks (score range, 0-56; higher scores indicate greater severity; 7 indicates no or minimal anxiety; 8-14, mild; 15-23, moderate; and 24, severe). The minimal clinically important difference was 2.5 points.\nRESULTS Of the 198 participants randomized, 194 were included in the full analysis set (mean age, 41.3 [SD, 13.6] years; 56.7% were female; and 3.6% were Asian, 7.7% were Black or African American, and 83.0% were White). The dose-response relationship assessed using the MCP-Mod method for change in HAM-A score at week 4 was statistically significant for the 100-μg and the 200-μg dose groups vs placebo (least-squares mean difference, −5.0 points [95% CI, −9.6 to −0.4 points] with 100 μg of MM120 and −6.0 points [95% CI, −9.8 to −2.0 points] with 200 μg of MM120) but the 25-μg and 50-μg dose groups did not reach significance vs placebo (least-squares mean difference, −1.2 points [95% CI, −6.0 to 3.5 points] with 25 μg of MM120 and −1.8 points [95% CI, −7.6 to 4.0 points] with 50 μg of MM120). The adverse events were consistent with the expected effects of MM120. The most common adverse events were visual perceptual changes (illusion, pseudo-hallucination, and visual hallucination), which occurred in 46.2% of participants who received 25 μg of MM120, in 75.0% who received 50 μg, in 92.5% who received 100 μg, in 100% who received 200 μg, and in 10.3% who received placebo; nausea occurred in 7.7%, 27.5%, 40.0%, 60.0%, and 7.7%, respectively; and headache occurred in 12.8%, 22.5%, 35.0%, 27.5%, and 23.1%.\nCONCLUSIONS AND RELEVANCE In participants with moderate to severe GAD, a single dose of MM120 produced a dose-dependent reduction in anxiety. These results support the dose-dependent efficacy of MM120 and inform the dose selection for phase 3 pivotal trials.","container-title":"JAMA","DOI":"10.1001/jama.2025.13481","ISSN":"0098-7484","issue":"15","journalAbbreviation":"JAMA","language":"en","page":"1358","source":"DOI.org (Crossref)","title":"Single Treatment With MM120 (Lysergide) in Generalized Anxiety Disorder: A Randomized Clinical Trial","title-short":"Single Treatment With MM120 (Lysergide) in Generalized Anxiety Disorder","volume":"334","author":[{"family":"Robison","given":"Reid"},{"family":"Barrow","given":"Robert"},{"family":"Conant","given":"Craig"},{"family":"Foster","given":"Eric"},{"family":"Freedman","given":"Jamie M."},{"family":"Jacobsen","given":"Paula L."},{"family":"Jemison","given":"Jamileh"},{"family":"Karas","given":"Sarah M."},{"family":"Karlin","given":"Daniel R."},{"family":"Solomon","given":"Todd M."},{"family":"Halperin Wernli","given":"Miri"},{"family":"Fava","given":"Maurizio"}],"issued":{"date-parts":[["2025",10,21]]}}},{"id":25,"uris":["http://zotero.org/users/4564126/items/5RSA8JBD"],"itemData":{"id":25,"type":"article-journal","abstract":"BACKGROUND: Clinically significant anxiety and depression are common in patients with cancer, and are associated with poor psychiatric and medical outcomes.  Historical and recent research suggests a role for psilocybin to treat  cancer-related anxiety and depression. METHODS: In this double-blind,  placebo-controlled, crossover trial, 29 patients with cancer-related anxiety and  depression were randomly assigned and received treatment with single-dose  psilocybin (0.3 mg/kg) or niacin, both in conjunction with psychotherapy. The  primary outcomes were anxiety and depression assessed between groups prior to the  crossover at 7 weeks. RESULTS: Prior to the crossover, psilocybin produced  immediate, substantial, and sustained improvements in anxiety and depression and  led to decreases in cancer-related demoralization and hopelessness, improved  spiritual wellbeing, and increased quality of life. At the 6.5-month follow-up,  psilocybin was associated with enduring anxiolytic and anti-depressant effects  (approximately 60-80% of participants continued with clinically significant  reductions in depression or anxiety), sustained benefits in existential distress  and quality of life, as well as improved attitudes towards death. The  psilocybin-induced mystical experience mediated the therapeutic effect of  psilocybin on anxiety and depression. CONCLUSIONS: In conjunction with  psychotherapy, single moderate-dose psilocybin produced rapid, robust and  enduring anxiolytic and anti-depressant effects in patients with cancer-related  psychological distress. TRIAL REGISTRATION: ClinicalTrials.gov Identifier:  NCT00957359.","container-title":"Journal of psychopharmacology (Oxford, England)","DOI":"10.1177/0269881116675512","ISSN":"1461-7285 0269-8811","issue":"12","journalAbbreviation":"J Psychopharmacol","language":"eng","license":"© The Author(s) 2016.","note":"publisher-place: United States","page":"1165-1180","PMID":"27909164","PMCID":"PMC5367551","title":"Rapid and sustained symptom reduction following psilocybin treatment for anxiety and depression in patients with life-threatening cancer: a randomized controlled  trial.","volume":"30","author":[{"family":"Ross","given":"Stephen"},{"family":"Bossis","given":"Anthony"},{"family":"Guss","given":"Jeffrey"},{"family":"Agin-Liebes","given":"Gabrielle"},{"family":"Malone","given":"Tara"},{"family":"Cohen","given":"Barry"},{"family":"Mennenga","given":"Sarah E."},{"family":"Belser","given":"Alexander"},{"family":"Kalliontzi","given":"Krystallia"},{"family":"Babb","given":"James"},{"family":"Su","given":"Zhe"},{"family":"Corby","given":"Patricia"},{"family":"Schmidt","given":"Brian L."}],"issued":{"date-parts":[["2016",12]]}}}],"schema":"https://github.com/citation-style-language/schema/raw/master/csl-citation.json"} </w:instrText>
      </w:r>
      <w:r w:rsidR="00575EE5">
        <w:rPr>
          <w:lang w:val="en-US"/>
        </w:rPr>
        <w:fldChar w:fldCharType="separate"/>
      </w:r>
      <w:r w:rsidR="00575EE5">
        <w:rPr>
          <w:noProof/>
          <w:lang w:val="en-US"/>
        </w:rPr>
        <w:t>(Dos Santos et al., 2021; Gasser et al., 2014; Holze et al., 2023; Robison et al., 2025; Ross et al., 2016)</w:t>
      </w:r>
      <w:r w:rsidR="00575EE5">
        <w:rPr>
          <w:lang w:val="en-US"/>
        </w:rPr>
        <w:fldChar w:fldCharType="end"/>
      </w:r>
      <w:r w:rsidRPr="007A17FC">
        <w:rPr>
          <w:lang w:val="en-US"/>
        </w:rPr>
        <w:t xml:space="preserve">, chronic PTSD </w:t>
      </w:r>
      <w:r w:rsidR="00575EE5">
        <w:rPr>
          <w:lang w:val="en-US"/>
        </w:rPr>
        <w:fldChar w:fldCharType="begin"/>
      </w:r>
      <w:r w:rsidR="00575EE5">
        <w:rPr>
          <w:lang w:val="en-US"/>
        </w:rPr>
        <w:instrText xml:space="preserve"> ADDIN ZOTERO_ITEM CSL_CITATION {"citationID":"WN4iEemD","properties":{"formattedCitation":"(Bouso et al., 2008; Mitchell et al., 2021; Mithoefer et al., 2011; Oehen et al., 2013; Ot\\uc0\\u8217{}alora G et al., 2018; Wolfson et al., 2020)","plainCitation":"(Bouso et al., 2008; Mitchell et al., 2021; Mithoefer et al., 2011; Oehen et al., 2013; Ot’alora G et al., 2018; Wolfson et al., 2020)","noteIndex":0},"citationItems":[{"id":3008,"uris":["http://zotero.org/users/4564126/items/UHRMJJI8"],"itemData":{"id":3008,"type":"article-journal","abstract":"The purpose of this study was to investigate the safety of different doses ofMDMA-assisted psychotherapy administered in a psychotherapeutic setting to women with chronic PTSD secondary to a sexual assault, and also to obtain preliminary data regarding efficacy. Although this study was originally planned to include 29 subjects, political pressures led to the closing of the study before it could be finished, at which time only six subjects had been treated. Preliminary results from those six subjects are presented here. We found that low doses of MDMA (between 50 and 75 mg) were both psychologically and physiologically safe for all the subjects. Future studies in larger samples and using larger doses are needed in order to further clarify the safety and efficacy of MDMA in the clinical setting in subjects with PTSD.","container-title":"Journal of Psychoactive Drugs","DOI":"10.1080/02791072.2008.10400637","ISSN":"0279-1072, 2159-9777","issue":"3","journalAbbreviation":"Journal of Psychoactive Drugs","language":"en","page":"225-236","source":"DOI.org (Crossref)","title":"MDMA-Assisted Psychotherapy Using Low Doses in a Small Sample of Women with Chronic Posttraumatic Stress Disorder","volume":"40","author":[{"family":"Bouso","given":"José Carlos"},{"family":"Doblin","given":"Rick"},{"family":"Farré","given":"Magí"},{"family":"Alcázar","given":"Miguel Ángel"},{"family":"Gómez-Jarabo","given":"Gregorio"}],"issued":{"date-parts":[["2008",9]]}}},{"id":1465,"uris":["http://zotero.org/users/4564126/items/5BUVJQ2P"],"itemData":{"id":1465,"type":"article-journal","abstract":"Post-traumatic stress disorder (PTSD) presents a major public health problem for which currently available treatments are modestly effective. We report the  findings of a randomized, double-blind, placebo-controlled, multi-site phase 3  clinical trial (NCT03537014) to test the efficacy and safety of  3,4-methylenedioxymethamphetamine (MDMA)-assisted therapy for the treatment of  patients with severe PTSD, including those with common comorbidities such as  dissociation, depression, a history of alcohol and substance use disorders, and  childhood trauma. After psychiatric medication washout, participants (n = 90)  were randomized 1:1 to receive manualized therapy with MDMA or with placebo,  combined with three preparatory and nine integrative therapy sessions. PTSD  symptoms, measured with the Clinician-Administered PTSD Scale for DSM-5 (CAPS-5,  the primary endpoint), and functional impairment, measured with the Sheehan  Disability Scale (SDS, the secondary endpoint) were assessed at baseline and at  2 months after the last experimental session. Adverse events and suicidality were  tracked throughout the study. MDMA was found to induce significant and robust  attenuation in CAPS-5 score compared with placebo (P &lt; 0.0001, d = 0.91) and to  significantly decrease the SDS total score (P = 0.0116, d = 0.43). The mean  change in CAPS-5 scores in participants completing treatment was -24.4 (s.d.  11.6) in the MDMA group and -13.9 (s.d. 11.5) in the placebo group. MDMA did not  induce adverse events of abuse potential, suicidality or QT prolongation. These  data indicate that, compared with manualized therapy with inactive placebo,  MDMA-assisted therapy is highly efficacious in individuals with severe PTSD, and  treatment is safe and well-tolerated, even in those with comorbidities. We  conclude that MDMA-assisted therapy represents a potential breakthrough treatment  that merits expedited clinical evaluation.","container-title":"Nature medicine","DOI":"10.1038/s41591-021-01336-3","ISSN":"1546-170X 1078-8956","issue":"6","journalAbbreviation":"Nat Med","language":"eng","note":"publisher-place: United States","page":"1025-1033","PMID":"33972795","PMCID":"PMC8205851","title":"MDMA-assisted therapy for severe PTSD: a randomized, double-blind, placebo-controlled phase 3 study.","volume":"27","author":[{"family":"Mitchell","given":"Jennifer M."},{"family":"Bogenschutz","given":"Michael"},{"family":"Lilienstein","given":"Alia"},{"family":"Harrison","given":"Charlotte"},{"family":"Kleiman","given":"Sarah"},{"family":"Parker-Guilbert","given":"Kelly"},{"family":"Ot'alora G","given":"Marcela"},{"family":"Garas","given":"Wael"},{"family":"Paleos","given":"Casey"},{"family":"Gorman","given":"Ingmar"},{"family":"Nicholas","given":"Christopher"},{"family":"Mithoefer","given":"Michael"},{"family":"Carlin","given":"Shannon"},{"family":"Poulter","given":"Bruce"},{"family":"Mithoefer","given":"Ann"},{"family":"Quevedo","given":"Sylvestre"},{"family":"Wells","given":"Gregory"},{"family":"Klaire","given":"Sukhpreet S."},{"family":"Kolk","given":"Bessel","non-dropping-particle":"van der"},{"family":"Tzarfaty","given":"Keren"},{"family":"Amiaz","given":"Revital"},{"family":"Worthy","given":"Ray"},{"family":"Shannon","given":"Scott"},{"family":"Woolley","given":"Joshua D."},{"family":"Marta","given":"Cole"},{"family":"Gelfand","given":"Yevgeniy"},{"family":"Hapke","given":"Emma"},{"family":"Amar","given":"Simon"},{"family":"Wallach","given":"Yair"},{"family":"Brown","given":"Randall"},{"family":"Hamilton","given":"Scott"},{"family":"Wang","given":"Julie B."},{"family":"Coker","given":"Allison"},{"family":"Matthews","given":"Rebecca"},{"family":"Boer","given":"Alberdina","non-dropping-particle":"de"},{"family":"Yazar-Klosinski","given":"Berra"},{"family":"Emerson","given":"Amy"},{"family":"Doblin","given":"Rick"}],"issued":{"date-parts":[["2021",6]]}}},{"id":3015,"uris":["http://zotero.org/users/4564126/items/49LDNVVF"],"itemData":{"id":3015,"type":"article-journal","abstract":"Case reports indicate that psychiatrists administered 3,4-methylenedioxymethamphetamine (MDMA) as a catalyst to psychotherapy before recreational use of MDMA as ‘Ecstasy’ resulted in its criminalization in 1985. Over two decades later, this study is the first completed clinical trial evaluating MDMA as a therapeutic adjunct. Twenty patients with chronic posttraumatic stress disorder, refractory to both psychotherapy and psychopharmacology, were randomly assigned to psychotherapy with concomitant active drug (n ¼ 12) or inactive placebo (n ¼ 8) administered during two 8-h experimental psychotherapy sessions. Both groups received preparatory and follow-up non-drug psychotherapy. The primary outcome measure was the ClinicianAdministered PTSD Scale, administered at baseline, 4 days after each experimental session, and 2 months after the second session. Neurocognitive testing, blood pressure, and temperature monitoring were performed. After 2-month follow-up, placebo subjects were offered the option to re-enroll in the experimental procedure with open-label MDMA. Decrease in Clinician-Administered PTSD Scale scores from baseline was significantly greater for the group that received MDMA than for the placebo group at all three time points after baseline. The rate of clinical response was 10/12 (83%) in the active treatment group versus 2/8 (25%) in the placebo group. There were no drug-related serious adverse events, adverse neurocognitive effects or clinically significant blood pressure increases. MDMA-assisted psychotherapy can be administered to posttraumatic stress disorder patients without evidence of harm, and it may be useful in patients refractory to other treatments.","container-title":"Journal of Psychopharmacology","DOI":"10.1177/0269881110378371","ISSN":"0269-8811, 1461-7285","issue":"4","journalAbbreviation":"J Psychopharmacol","language":"en","page":"439-452","source":"DOI.org (Crossref)","title":"The safety and efficacy of ±3,4-methylenedioxymethamphetamine-assisted psychotherapy in subjects with chronic, treatment-resistant posttraumatic stress disorder: the first randomized controlled pilot study","title-short":"The safety and efficacy of ±3,4-methylenedioxymethamphetamine-assisted psychotherapy in subjects with chronic, treatment-resistant posttraumatic stress disorder","volume":"25","author":[{"family":"Mithoefer","given":"Michael C"},{"family":"Wagner","given":"Mark T"},{"family":"Mithoefer","given":"Ann T"},{"family":"Jerome","given":"Lisa"},{"family":"Doblin","given":"Rick"}],"issued":{"date-parts":[["2011",4]]}}},{"id":3018,"uris":["http://zotero.org/users/4564126/items/FD5LP5XV"],"itemData":{"id":3018,"type":"article-journal","abstract":"Psychiatrists and psychotherapists in the US (1970s to 1985) and Switzerland (1988–1993) used MDMA legally as a prescription drug, to enhance the effectiveness of psychotherapy. Early reports suggest that it is useful in treating trauma-related disorders. Recently, the first completed pilot study of MDMA-assisted psychotherapy for PTSD yielded encouraging results. Designed to test the safety and efficacy of MDMA-assisted psychotherapy in patients with treatment-resistant PTSD; our randomized, double-blind, active-placebo controlled trial enrolled 12 patients for treatment with either low-dose (25 mg, plus 12.5 mg supplemental dose) or full-dose MDMA (125 mg, plus 62.5 mg supplemental dose). MDMA was administered during three experimental sessions, interspersed with weekly non-drug-based psychotherapy sessions. Outcome measures used were the Clinician-Administered PTSD Scale (CAPS) and the Posttraumatic Diagnostic Scale (PDS). Patients were assessed at baseline, three weeks after the second and third MDMA session (end of treatment), and at the 2-month and 1-year follow-ups.","container-title":"Journal of Psychopharmacology","DOI":"10.1177/0269881112464827","ISSN":"0269-8811, 1461-7285","issue":"1","journalAbbreviation":"J Psychopharmacol","language":"en","page":"40-52","source":"DOI.org (Crossref)","title":"A randomized, controlled pilot study of MDMA (±3,4-Methylenedioxymethamphetamine)-assisted psychotherapy for treatment of resistant, chronic Post-Traumatic Stress Disorder (PTSD)","volume":"27","author":[{"family":"Oehen","given":"Peter"},{"family":"Traber","given":"Rafael"},{"family":"Widmer","given":"Verena"},{"family":"Schnyder","given":"Ulrich"}],"issued":{"date-parts":[["2013",1]]}}},{"id":1291,"uris":["http://zotero.org/users/4564126/items/IZH4ERRD"],"itemData":{"id":1291,"type":"article-journal","abstract":"BACKGROUND: Posttraumatic stress disorder often does not resolve after conventional psychotherapies or pharmacotherapies. Pilot studies have reported  that 3,4-methylenedioxymethamphetamine (MDMA) combined with psychotherapy reduces  posttraumatic stress disorder symptoms. AIMS: This pilot dose response trial  assessed efficacy and safety of MDMA-assisted psychotherapy across multiple  therapy teams. METHODS: Twenty-eight people with chronic posttraumatic stress  disorder were randomized in a double-blind dose response comparison of two active  doses (100 and 125 mg) with a low dose (40 mg) of MDMA administered during  eight-hour psychotherapy sessions. Change in the Clinician-Administered PTSD  Scale total scores one month after two sessions of MDMA served as the primary  outcome. Active dose groups had one additional open-label session; the low dose  group crossed over for three open-label active dose sessions. A 12-month  follow-up assessment occurred after the final MDMA session. RESULTS: In the  intent-to-treat set, the active groups had the largest reduction in  Clinician-Administered PTSD Scale total scores at the primary endpoint, with mean  (standard deviation) changes of -26.3 (29.5) for 125 mg, -24.4 (24.2) for 100 mg,  and -11.5 (21.2) for 40 mg, though statistical significance was reached only in  the per protocol set ( p=0.03). Posttraumatic stress disorder symptoms remained  lower than baseline at 12-month follow-up ( p&lt;0.001) with 76% ( n=25) not meeting  posttraumatic stress disorder criteria. There were no drug-related serious  adverse events, and the treatment was well-tolerated. CONCLUSIONS: Our findings  support previous investigations of MDMA-assisted psychotherapy as an innovative,  efficacious treatment for posttraumatic stress disorder.","container-title":"Journal of psychopharmacology (Oxford, England)","DOI":"10.1177/0269881118806297","ISSN":"1461-7285 0269-8811","issue":"12","journalAbbreviation":"J Psychopharmacol","language":"eng","note":"publisher-place: United States","page":"1295-1307","PMID":"30371148","PMCID":"PMC6247454","title":"3,4-Methylenedioxymethamphetamine-assisted psychotherapy for treatment of chronic posttraumatic stress disorder: A randomized phase 2 controlled trial.","volume":"32","author":[{"family":"Ot'alora G","given":"Marcela"},{"family":"Grigsby","given":"Jim"},{"family":"Poulter","given":"Bruce"},{"family":"Van Derveer","given":"Joseph W. 3rd"},{"family":"Giron","given":"Sara Gael"},{"family":"Jerome","given":"Lisa"},{"family":"Feduccia","given":"Allison A."},{"family":"Hamilton","given":"Scott"},{"family":"Yazar-Klosinski","given":"Berra"},{"family":"Emerson","given":"Amy"},{"family":"Mithoefer","given":"Michael C."},{"family":"Doblin","given":"Rick"}],"issued":{"date-parts":[["2018",12]]}}},{"id":424,"uris":["http://zotero.org/users/4564126/items/ZQ6DNZGW"],"itemData":{"id":424,"type":"article-journal","abstract":"The success of modern medicine creates a growing population of those suffering from life-threatening illnesses (LTI) who often experience anxiety, depression,  and existential distress. We present a novel approach; investigating  MDMA-assisted psychotherapy for the treatment of anxiety in people with an LTI.  Participants with anxiety from an LTI were randomized in a double-blind study to  receive MDMA (125 mg, n = 13) or placebo (n = 5) in combination with two 8-h  psychotherapy sessions. The primary outcome was change in State-Trait Anxiety  Inventory (STAI) Trait scores from baseline to one month post the second  experimental session. After unblinding, participants in the MDMA group had one  open-label MDMA session and placebo participants crossed over to receive three  open-label MDMA sessions. Additional follow-up assessments occurred six and  twelve months after a participant's last experimental session. At the primary  endpoint, the MDMA group had a greater mean (SD) reduction in STAI-Trait scores,  - 23.5 (13.2), indicating less anxiety, compared to placebo group, - 8.8 (14.7);  results did not reach a significant group difference (p = .056). Hedges' g  between-group effect size was 1.03 (95% CI: - 5.25, 7.31). Overall, MDMA was  well-tolerated in this sample. These preliminary findings can inform development  of larger clinical trials to further examine MDMA-assisted psychotherapy as a  novel approach to treat individuals with LTI-related anxiety.Trial Registration:  clinicaltrials.gov Identifier: NCT02427568, first registered April 28, 2015.","container-title":"Scientific reports","DOI":"10.1038/s41598-020-75706-1","ISSN":"2045-2322","issue":"1","journalAbbreviation":"Sci Rep","language":"eng","note":"publisher-place: England","page":"20442","PMID":"33235285","PMCID":"PMC7686344","title":"MDMA-assisted psychotherapy for treatment of anxiety and other psychological distress related to life-threatening illnesses: a randomized pilot study.","volume":"10","author":[{"family":"Wolfson","given":"Philip E."},{"family":"Andries","given":"Julane"},{"family":"Feduccia","given":"Allison A."},{"family":"Jerome","given":"Lisa"},{"family":"Wang","given":"Julie B."},{"family":"Williams","given":"Emily"},{"family":"Carlin","given":"Shannon C."},{"family":"Sola","given":"Evan"},{"family":"Hamilton","given":"Scott"},{"family":"Yazar-Klosinski","given":"Berra"},{"family":"Emerson","given":"Amy"},{"family":"Mithoefer","given":"Michael C."},{"family":"Doblin","given":"Rick"}],"issued":{"date-parts":[["2020",11,24]]}}}],"schema":"https://github.com/citation-style-language/schema/raw/master/csl-citation.json"} </w:instrText>
      </w:r>
      <w:r w:rsidR="00575EE5">
        <w:rPr>
          <w:lang w:val="en-US"/>
        </w:rPr>
        <w:fldChar w:fldCharType="separate"/>
      </w:r>
      <w:r w:rsidR="00575EE5" w:rsidRPr="00575EE5">
        <w:rPr>
          <w:lang w:val="en-US" w:eastAsia="en-US"/>
        </w:rPr>
        <w:t>(Bouso et al., 2008; Mitchell et al., 2021; Mithoefer et al., 2011; Oehen et al., 2013; Ot’alora G et al., 2018; Wolfson et al., 2020)</w:t>
      </w:r>
      <w:r w:rsidR="00575EE5">
        <w:rPr>
          <w:lang w:val="en-US"/>
        </w:rPr>
        <w:fldChar w:fldCharType="end"/>
      </w:r>
      <w:r w:rsidRPr="007A17FC">
        <w:rPr>
          <w:lang w:val="en-US"/>
        </w:rPr>
        <w:t>, and alcohol use disorder</w:t>
      </w:r>
      <w:r w:rsidR="00575EE5">
        <w:rPr>
          <w:lang w:val="en-US"/>
        </w:rPr>
        <w:t xml:space="preserve"> </w:t>
      </w:r>
      <w:r w:rsidR="00575EE5">
        <w:rPr>
          <w:lang w:val="en-US"/>
        </w:rPr>
        <w:fldChar w:fldCharType="begin"/>
      </w:r>
      <w:r w:rsidR="00575EE5">
        <w:rPr>
          <w:lang w:val="en-US"/>
        </w:rPr>
        <w:instrText xml:space="preserve"> ADDIN ZOTERO_ITEM CSL_CITATION {"citationID":"FeTXtxNR","properties":{"formattedCitation":"(Bogenschutz et al., 2022; Hollister et al., 1969; Luquiens et al., 2025; Tomsovic &amp; Edwards, 1970)","plainCitation":"(Bogenschutz et al., 2022; Hollister et al., 1969; Luquiens et al., 2025; Tomsovic &amp; Edwards, 1970)","noteIndex":0},"citationItems":[{"id":2982,"uris":["http://zotero.org/users/4564126/items/H6YHRFSR"],"itemData":{"id":2982,"type":"article-journal","abstract":"OBJECTIVE To evaluate whether 2 administrations of high-dose psilocybin improve the percentage of heavy drinking days in patients with AUD undergoing psychotherapy relative to outcomes observed with active placebo medication and psychotherapy. DESIGN, SETTING, AND PARTICIPANTS In this double-blind randomized clinical trial, participants were offered 12 weeks of manualized psychotherapy and were randomly assigned to receive psilocybin vs diphenhydramine during 2 day-long medication sessions at weeks 4 and 8. Outcomes were assessed over the 32-week double-blind period following the first dose of study medication. The study was conducted at 2 academic centers in the US. Participants were recruited from the community between March 12, 2014, and March 19, 2020. Adults aged 25 to 65 years with a DSM-IV diagnosis of alcohol dependence and at least 4 heavy drinking days during the 30 days prior to screening were included. Exclusion criteria included major psychiatric and drug use disorders, hallucinogen use, medical conditions that contraindicated the study medications, use of exclusionary medications, and current treatment for AUD. INTERVENTIONS Study medications were psilocybin, 25 mg/70 kg, vs diphenhydramine, 50 mg (first session), and psilocybin, 25-40 mg/70 kg, vs diphenhydramine, 50-100 mg (second session). Psychotherapy included motivational enhancement therapy and cognitive behavioral therapy. MAIN OUTCOMES AND MEASURES The primary outcome was percentage of heavy drinking days, assessed using a timeline followback interview, contrasted between groups over the 32-week period following the first administration of study medication using multivariate repeated-measures analysis of variance.\nRESULTS A total of 95 participants (mean [SD] age, 46 [12] years; 42 [44.2%] female) were randomized (49 to psilocybin and 46 to diphenhydramine). One participant (1.1%) was American Indian/Alaska Native, 3 (3.2%) were Asian, 4 (4.2%) were Black, 14 (14.7%) were Hispanic, and 75 (78.9%) were non-Hispanic White. Of the 95 randomized participants, 93 received at least 1 dose of study medication and were included in the primary outcome analysis. Percentage of heavy drinking days during the 32-week double-blind period was 9.7% for the psilocybin group and 23.6% for the diphenhydramine group, a mean difference of 13.9%; (95% CI, 3.0–24.7; F1,86 = 6.43; P = .01). Mean daily alcohol consumption (number of standard drinks per day) was also lower in the psilocybin group. There were no serious adverse events among participants who received psilocybin.\nCONCLUSIONS AND RELEVANCE Psilocybin administered in combination with psychotherapy produced robust decreases in percentage of heavy drinking days over and above those produced by active placebo and psychotherapy. These results provide support for further study of psilocybin-assisted treatment for AUD.","container-title":"JAMA Psychiatry","DOI":"10.1001/jamapsychiatry.2022.2096","ISSN":"2168-622X","issue":"10","journalAbbreviation":"JAMA Psychiatry","language":"en","page":"953","source":"DOI.org (Crossref)","title":"Percentage of Heavy Drinking Days Following Psilocybin-Assisted Psychotherapy vs Placebo in the Treatment of Adult Patients With Alcohol Use Disorder: A Randomized Clinical Trial","title-short":"Percentage of Heavy Drinking Days Following Psilocybin-Assisted Psychotherapy vs Placebo in the Treatment of Adult Patients With Alcohol Use Disorder","volume":"79","author":[{"family":"Bogenschutz","given":"Michael P."},{"family":"Ross","given":"Stephen"},{"family":"Bhatt","given":"Snehal"},{"family":"Baron","given":"Tara"},{"family":"Forcehimes","given":"Alyssa A."},{"family":"Laska","given":"Eugene"},{"family":"Mennenga","given":"Sarah E."},{"family":"O’Donnell","given":"Kelley"},{"family":"Owens","given":"Lindsey T."},{"family":"Podrebarac","given":"Samantha"},{"family":"Rotrosen","given":"John"},{"family":"Tonigan","given":"J. Scott"},{"family":"Worth","given":"Lindsay"}],"issued":{"date-parts":[["2022",10,1]]}}},{"id":2965,"uris":["http://zotero.org/users/4564126/items/QWXGANKD"],"itemData":{"id":2965,"type":"article-journal","container-title":"American Journal of Psychiatry","DOI":"10.1176/ajp.125.10.1352","ISSN":"0002-953X, 1535-7228","issue":"10","journalAbbreviation":"AJP","language":"en","page":"1352-1357","source":"DOI.org (Crossref)","title":"A Controlled Comparison of Lysergic Acid Diethylamide (LSD) and Dextroamphetamine in Alcoholics","volume":"125","author":[{"family":"Hollister","given":"Leo E."},{"family":"Shelton","given":"Jack"},{"family":"Krieger","given":"George"}],"issued":{"date-parts":[["1969",4]]}}},{"id":3026,"uris":["http://zotero.org/users/4564126/items/P45F8WJG"],"itemData":{"id":3026,"type":"article-journal","abstract":"Abstract\n            \n              Background and Aims\n              Psilocybin has emerged as a potential treatment for alcohol use disorder (AUD), but early efficacy data are inconsistent. Depression following alcohol detoxification significantly increases the risk of relapse. This pilot study aimed to evaluate the feasibility, acceptability, and preliminary efficacy of psilocybin‐assisted psychotherapy for patients with comorbid AUD and depression.\n            \n            \n              Design\n              A prospective, single‐center, double‐blind, parallel (2:1), randomized controlled pilot study.\n            \n            \n              Setting\n              The study was conducted in a French inpatient addiction treatment program offering intensive relapse prevention interventions.\n            \n            \n              Participants\n              \n                Of 350 screened patients, 30 adults (mean age 49 ± 10 years; 43% female) with severe AUD (\n                Diagnostic and Statistical Manual of Mental Disorders\n                , Fifth Edition [DSM‐5] criteria) and a Beck Depression Inventory‐II (BDI‐II) score ≥14 were included. Participants had completed detoxification between 14 and 60 days prior to inclusion.\n              \n            \n            \n              Interventions\n              Participants received either two oral sessions of 25 mg (n = 20) or 1 mg (n = 10) psilocybin‐assisted psychotherapy spaced three weeks apart, as an add‐on to standard care. Patients, investigators and outcome assessors were all blinded to patient group.\n            \n            \n              Measurements\n              The primary outcome was feasibility, according to participation in both dosing sessions and recruitment/inclusion rates. Secondary outcomes included alcohol use (Alcohol Timeline Followback), time to relapse, craving (Craving Experience Questionnaire), depression (BDI‐II), safety and blinding integrity.\n            \n            \n              Findings\n              One participant in the 25 mg group could not receive the second dose due to myocardial infarction occurring three days earlier, unrelated to the treatment. Four participants in the control group refused the second session after guessing their group assignment (p‐value = 0.019), with one participant self‐administering 3,4‐Methylenedioxymethamphetamine (MDMA). At 12 weeks, the 25 mg group showed significantly greater abstinent rate (11/20 (55%) vs 1/9 (11%) (one lost of follow up) (difference = −44%, [95% confidence interval [CI]: −82% to −5.9%]), p = 0.043), reductions in % drinking days −100 (−100 to −49) vs − 93 (−96 to 0), p = 0.038 and craving frequency −8 (−23 to −1) vs + 7 (−2 to 11), p = 0.045, respectively in the 25 vs 1 mg groups (median [25;75]). Relapse rates were 35% in the 25 mg group and 50% in the control group (HR = 0.52 [0.16 to1.65]). No efficacy differences were observed based on antidepressant use in terms of drinking and depression. Blinding was imperfect (correct guess by patients: 93.3%; investigators: 86.7%). Twenty‐five adverse events were reported in 10 patients (50%) in the 25 mg group versus 6 patients (60%) in the control group.\n            \n            \n              Conclusions\n              Psilocybin‐assisted psychotherapy appears feasible, acceptable, and safe in recently detoxified patients with comorbid alcohol use disorder and depression.","container-title":"Addiction","DOI":"10.1111/add.70152","ISSN":"0965-2140, 1360-0443","journalAbbreviation":"Addiction","language":"en","page":"add.70152","source":"DOI.org (Crossref)","title":"Psilocybin in alcohol use disorder and comorbid depressive symptoms: Results from a feasibility randomized clinical trial","title-short":"Psilocybin in alcohol use disorder and comorbid depressive symptoms","author":[{"family":"Luquiens","given":"Amandine"},{"family":"Belahda","given":"Dahbia"},{"family":"Graux","given":"Carine"},{"family":"Igounenc","given":"Noe"},{"family":"Serrand","given":"Chris"},{"family":"Rochefort","given":"Paul"},{"family":"Mura","given":"Thibault"},{"family":"Sergent","given":"Felix"}],"issued":{"date-parts":[["2025",7,24]]}}},{"id":2971,"uris":["http://zotero.org/users/4564126/items/UE7EYGNL"],"itemData":{"id":2971,"type":"article-journal","abstract":"Of 75 alcoholics treated with lysergide, 23 were diagnosed as schizophrenics. The nonschizophrenics had better reactions to the drug and more of them were abstinent at a 1-year follow-up than the schizophrenics and than alcoholics treated by other methods.","container-title":"Quarterly Journal of Studies on Alcohol","DOI":"10.15288/qjsa.1970.31.932","ISSN":"0033-5649, 1946-7214","issue":"4","journalAbbreviation":"Q. J. Stud. Alcohol","language":"en","page":"932-949","source":"DOI.org (Crossref)","title":"Lysergide Treatment of Schizophrenic and Nonschizophrenic Alcoholics; A Controlled Evaluation","volume":"31","author":[{"family":"Tomsovic","given":"Milan"},{"family":"Edwards","given":"Robert V."}],"issued":{"date-parts":[["1970",12,1]]}}}],"schema":"https://github.com/citation-style-language/schema/raw/master/csl-citation.json"} </w:instrText>
      </w:r>
      <w:r w:rsidR="00575EE5">
        <w:rPr>
          <w:lang w:val="en-US"/>
        </w:rPr>
        <w:fldChar w:fldCharType="separate"/>
      </w:r>
      <w:r w:rsidR="00575EE5">
        <w:rPr>
          <w:noProof/>
          <w:lang w:val="en-US"/>
        </w:rPr>
        <w:t>(Bogenschutz et al., 2022; Hollister et al., 1969; Luquiens et al., 2025; Tomsovic &amp; Edwards, 1970)</w:t>
      </w:r>
      <w:r w:rsidR="00575EE5">
        <w:rPr>
          <w:lang w:val="en-US"/>
        </w:rPr>
        <w:fldChar w:fldCharType="end"/>
      </w:r>
      <w:r w:rsidRPr="007A17FC">
        <w:rPr>
          <w:lang w:val="en-US"/>
        </w:rPr>
        <w:t xml:space="preserve"> . These advances span the major serotonergic psychedelics—psilocybin, LSD, and DMT/ayahuasca </w:t>
      </w:r>
      <w:proofErr w:type="gramStart"/>
      <w:r w:rsidRPr="007A17FC">
        <w:rPr>
          <w:lang w:val="en-US"/>
        </w:rPr>
        <w:t>and also</w:t>
      </w:r>
      <w:proofErr w:type="gramEnd"/>
      <w:r w:rsidRPr="007A17FC">
        <w:rPr>
          <w:lang w:val="en-US"/>
        </w:rPr>
        <w:t xml:space="preserve"> include MDMA, a non-classical psychedelic agent with distinct pharmacological </w:t>
      </w:r>
      <w:commentRangeStart w:id="2"/>
      <w:r w:rsidRPr="007A17FC">
        <w:rPr>
          <w:lang w:val="en-US"/>
        </w:rPr>
        <w:t>properties</w:t>
      </w:r>
      <w:commentRangeEnd w:id="2"/>
      <w:r w:rsidR="00950516" w:rsidRPr="007A17FC">
        <w:rPr>
          <w:rStyle w:val="Marquedecommentaire"/>
          <w:sz w:val="24"/>
          <w:szCs w:val="24"/>
          <w:lang w:val="en-US"/>
        </w:rPr>
        <w:commentReference w:id="2"/>
      </w:r>
      <w:r w:rsidRPr="007A17FC">
        <w:rPr>
          <w:lang w:val="en-US"/>
        </w:rPr>
        <w:t>.</w:t>
      </w:r>
    </w:p>
    <w:p w14:paraId="77362CE5" w14:textId="228A1B51" w:rsidR="000829E4" w:rsidRPr="007A17FC" w:rsidRDefault="00542108" w:rsidP="00FC19AC">
      <w:pPr>
        <w:spacing w:before="240" w:after="240" w:line="360" w:lineRule="auto"/>
        <w:rPr>
          <w:lang w:val="en-US"/>
        </w:rPr>
      </w:pPr>
      <w:r w:rsidRPr="007A17FC">
        <w:rPr>
          <w:lang w:val="en-US"/>
        </w:rPr>
        <w:t>As clinical evidence expands, regulatory landscapes are evolving</w:t>
      </w:r>
      <w:r w:rsidR="00A30C86">
        <w:rPr>
          <w:lang w:val="en-US"/>
        </w:rPr>
        <w:t xml:space="preserve"> </w:t>
      </w:r>
      <w:r w:rsidR="00C4252A">
        <w:rPr>
          <w:lang w:val="en-US"/>
        </w:rPr>
        <w:fldChar w:fldCharType="begin"/>
      </w:r>
      <w:r w:rsidR="00C4252A">
        <w:rPr>
          <w:lang w:val="en-US"/>
        </w:rPr>
        <w:instrText xml:space="preserve"> ADDIN ZOTERO_ITEM CSL_CITATION {"citationID":"um69AYrq","properties":{"formattedCitation":"(Solmi et al., 2022)","plainCitation":"(Solmi et al., 2022)","noteIndex":0},"citationItems":[{"id":324,"uris":["http://zotero.org/users/4564126/items/8EGK579D"],"itemData":{"id":324,"type":"article-journal","abstract":"A scientometric analysis was realized to outline clinical research on psychedelics over the last century. Web of Science Core Collection was searched  up to March 18, 2022, for publications on psychedelics. Network analyses and  bibliometrics were combined, to identify research themes and trends with  Bibliometrix and CiteSpace. The primary aim was to measure research trends  evolution over time, and the secondary aims were to identify bibliometric  performance and influence networks of publications, authors, institutions, and  countries. Sensitivity analyses were conducted for 2016-2022, and 2021 time  periods. We included 31,687 documents (591,329 references), which aggregated into  a well-structured network with credible clustering. Research productivity was  split into an early less productive period mainly focusing on safety issues, and  a \"psychedelic renaissance\" after the 1990s. Major trends were identified for  hallucinogens/entheogens, entactogens, novel psychoactive substances (NPS), and  on dissociative substances. There was a translational evolution from the bench to  the bedside, with phase 2 and 3 trials and/or evidence synthesis in particular.  The most recent trends concerned NPS, ketamine-associated brain changes, and  ayahuasca-assisted psychotherapy. The USA and Canada were the most productive  settings for the research overall, and more recently this geographical  distribution became more prominent, reflecting legislative context/policy making.  A translational evolution of psychedelics has been occurring, that has brought  approval of esketamine for depression and will likely lead to approval of  additional psychedelics across mental and physical conditions. Toxicology  screening tools for NPS are urgently needed, which in turn might follow the same  translational evolution of psychedelics in the future.","container-title":"European neuropsychopharmacology : the journal of the European College of Neuropsychopharmacology","DOI":"10.1016/j.euroneuro.2022.09.004","ISSN":"1873-7862 0924-977X","journalAbbreviation":"Eur Neuropsychopharmacol","language":"eng","license":"Copyright © 2022. Published by Elsevier B.V.","note":"publisher-place: Netherlands","page":"44-60","PMID":"36191546","title":"A century of research on psychedelics: A scientometric analysis on trends and knowledge maps of hallucinogens, entactogens, entheogens and dissociative drugs.","volume":"64","author":[{"family":"Solmi","given":"Marco"},{"family":"Chen","given":"Chaomei"},{"family":"Daure","given":"Charles"},{"family":"Buot","given":"Anne"},{"family":"Ljuslin","given":"Michael"},{"family":"Verroust","given":"Vincent"},{"family":"Mallet","given":"Luc"},{"family":"Khazaal","given":"Yasser"},{"family":"Rothen","given":"Stephane"},{"family":"Thorens","given":"Gabriel"},{"family":"Zullino","given":"Daniele"},{"family":"Gobbi","given":"Gabriella"},{"family":"Rosenblat","given":"Joshua"},{"family":"Husain","given":"Muhammad Ishrat"},{"family":"De Gregorio","given":"Danilo"},{"family":"Castle","given":"David"},{"family":"Sabé","given":"Michel"}],"issued":{"date-parts":[["2022",11]]}}}],"schema":"https://github.com/citation-style-language/schema/raw/master/csl-citation.json"} </w:instrText>
      </w:r>
      <w:r w:rsidR="00C4252A">
        <w:rPr>
          <w:lang w:val="en-US"/>
        </w:rPr>
        <w:fldChar w:fldCharType="separate"/>
      </w:r>
      <w:r w:rsidR="00C4252A">
        <w:rPr>
          <w:noProof/>
          <w:lang w:val="en-US"/>
        </w:rPr>
        <w:t>(Solmi et al., 2022)</w:t>
      </w:r>
      <w:r w:rsidR="00C4252A">
        <w:rPr>
          <w:lang w:val="en-US"/>
        </w:rPr>
        <w:fldChar w:fldCharType="end"/>
      </w:r>
      <w:r w:rsidR="00C4252A">
        <w:rPr>
          <w:lang w:val="en-US"/>
        </w:rPr>
        <w:t xml:space="preserve">. </w:t>
      </w:r>
      <w:r w:rsidRPr="007A17FC">
        <w:rPr>
          <w:lang w:val="en-US"/>
        </w:rPr>
        <w:t xml:space="preserve">Switzerland has allowed case-by-case medical </w:t>
      </w:r>
      <w:proofErr w:type="spellStart"/>
      <w:r w:rsidRPr="007A17FC">
        <w:rPr>
          <w:lang w:val="en-US"/>
        </w:rPr>
        <w:t>authorisations</w:t>
      </w:r>
      <w:proofErr w:type="spellEnd"/>
      <w:r w:rsidRPr="007A17FC">
        <w:rPr>
          <w:lang w:val="en-US"/>
        </w:rPr>
        <w:t xml:space="preserve"> for LSD, psilocybin, and MDMA since 2014; Australia enabled specialist prescribing of psilocybin and MDMA in </w:t>
      </w:r>
      <w:commentRangeStart w:id="3"/>
      <w:r w:rsidRPr="007A17FC">
        <w:rPr>
          <w:lang w:val="en-US"/>
        </w:rPr>
        <w:t>2023</w:t>
      </w:r>
      <w:commentRangeEnd w:id="3"/>
      <w:r w:rsidR="00E462C7" w:rsidRPr="007A17FC">
        <w:rPr>
          <w:rStyle w:val="Marquedecommentaire"/>
          <w:sz w:val="24"/>
          <w:szCs w:val="24"/>
          <w:lang w:val="en-US"/>
        </w:rPr>
        <w:commentReference w:id="3"/>
      </w:r>
      <w:r w:rsidRPr="007A17FC">
        <w:rPr>
          <w:lang w:val="en-US"/>
        </w:rPr>
        <w:t xml:space="preserve">; and Germany introduced a compassionate-use </w:t>
      </w:r>
      <w:proofErr w:type="spellStart"/>
      <w:r w:rsidRPr="007A17FC">
        <w:rPr>
          <w:lang w:val="en-US"/>
        </w:rPr>
        <w:t>programme</w:t>
      </w:r>
      <w:proofErr w:type="spellEnd"/>
      <w:r w:rsidRPr="007A17FC">
        <w:rPr>
          <w:lang w:val="en-US"/>
        </w:rPr>
        <w:t xml:space="preserve"> for psilocybin in 2025 </w:t>
      </w:r>
      <w:r w:rsidR="00C4252A">
        <w:rPr>
          <w:lang w:val="en-US"/>
        </w:rPr>
        <w:fldChar w:fldCharType="begin"/>
      </w:r>
      <w:r w:rsidR="00C4252A">
        <w:rPr>
          <w:lang w:val="en-US"/>
        </w:rPr>
        <w:instrText xml:space="preserve"> ADDIN ZOTERO_ITEM CSL_CITATION {"citationID":"x04cJcOw","properties":{"formattedCitation":"(Gr\\uc0\\u252{}nder et al., 2025)","plainCitation":"(Gründer et al., 2025)","noteIndex":0},"citationItems":[{"id":3146,"uris":["http://zotero.org/users/4564126/items/TKWGEJBZ"],"itemData":{"id":3146,"type":"article-journal","container-title":"The Lancet Psychiatry","DOI":"10.1016/S2215-0366(25)00277-9","title":"Compassionate use of psilocybin for treatment-resistant depression in Germany","author":[{"family":"Gründer","given":"Gerhard"},{"family":"Mertens","given":"Lea J."},{"family":"Jungaberle","given":"Andrea"},{"family":"Jungaberle","given":"Henrik"},{"family":"Spangemacher","given":"Moritz"}],"issued":{"date-parts":[["2025"]]}}}],"schema":"https://github.com/citation-style-language/schema/raw/master/csl-citation.json"} </w:instrText>
      </w:r>
      <w:r w:rsidR="00C4252A">
        <w:rPr>
          <w:lang w:val="en-US"/>
        </w:rPr>
        <w:fldChar w:fldCharType="separate"/>
      </w:r>
      <w:r w:rsidR="00C4252A" w:rsidRPr="00C4252A">
        <w:rPr>
          <w:lang w:val="en-US" w:eastAsia="en-US"/>
        </w:rPr>
        <w:t>(Gründer et al., 2025)</w:t>
      </w:r>
      <w:r w:rsidR="00C4252A">
        <w:rPr>
          <w:lang w:val="en-US"/>
        </w:rPr>
        <w:fldChar w:fldCharType="end"/>
      </w:r>
      <w:r w:rsidR="00C4252A">
        <w:rPr>
          <w:lang w:val="en-US"/>
        </w:rPr>
        <w:t xml:space="preserve"> </w:t>
      </w:r>
      <w:r w:rsidRPr="007A17FC">
        <w:rPr>
          <w:lang w:val="en-US"/>
        </w:rPr>
        <w:t>(</w:t>
      </w:r>
      <w:proofErr w:type="spellStart"/>
      <w:r w:rsidRPr="007A17FC">
        <w:rPr>
          <w:lang w:val="en-US"/>
        </w:rPr>
        <w:t>Gründer</w:t>
      </w:r>
      <w:proofErr w:type="spellEnd"/>
      <w:r w:rsidRPr="007A17FC">
        <w:rPr>
          <w:lang w:val="en-US"/>
        </w:rPr>
        <w:t xml:space="preserve"> et al., 2025). These developments underscore the need for precise safety </w:t>
      </w:r>
      <w:r w:rsidR="00A30C86" w:rsidRPr="007A17FC">
        <w:rPr>
          <w:lang w:val="en-US"/>
        </w:rPr>
        <w:t>characterization</w:t>
      </w:r>
      <w:r w:rsidRPr="007A17FC">
        <w:rPr>
          <w:lang w:val="en-US"/>
        </w:rPr>
        <w:t xml:space="preserve">, particularly given the heterogeneity of adverse-event (AE) reporting and the presence of substance-specific physiological and psychological risk signals </w:t>
      </w:r>
      <w:r w:rsidR="00C4252A">
        <w:rPr>
          <w:lang w:val="en-US"/>
        </w:rPr>
        <w:fldChar w:fldCharType="begin"/>
      </w:r>
      <w:r w:rsidR="00C4252A">
        <w:rPr>
          <w:lang w:val="en-US"/>
        </w:rPr>
        <w:instrText xml:space="preserve"> ADDIN ZOTERO_ITEM CSL_CITATION {"citationID":"arNap372","properties":{"formattedCitation":"(Breeksema et al., 2022; Colcott et al., 2024; Hinkle et al., 2024)","plainCitation":"(Breeksema et al., 2022; Colcott et al., 2024; Hinkle et al., 2024)","noteIndex":0},"citationItems":[{"id":379,"uris":["http://zotero.org/users/4564126/items/6273RGTQ"],"itemData":{"id":379,"type":"article-journal","abstract":"INTRODUCTION: Small-scale clinical studies with psychedelic drugs have shown promising results for the treatment of several mental disorders. Before  psychedelics become registered medicines, it is important to know the full range  of adverse events (AEs) for making balanced treatment decisions. OBJECTIVE: To  systematically review the presence of AEs during and after administration of  serotonergic psychedelics and 3,4-methyenedioxymethamphetamine (MDMA) in clinical  studies. METHODS: We systematically searched PubMed, PsycINFO, Embase, and  ClinicalTrials.gov for clinical trials with psychedelics since 2000 describing  the results of quantitative and qualitative studies. RESULTS: We included 44  articles (34 quantitative + 10 qualitative), describing treatments with MDMA and  serotonergic psychedelics (psilocybin, lysergic acid diethylamide, and ayahuasca)  in 598 unique patients. In many studies, AEs were not systematically assessed.  Despite this limitation, treatments seemed to be overall well tolerated. Nausea,  headaches, and anxiety were commonly reported acute AEs across diagnoses and  compounds. Late AEs included headaches (psilocybin, MDMA), fatigue, low mood, and  anxiety (MDMA). One serious AE occurred during MDMA administration (increase in  premature ventricular contractions requiring brief hospitalization); no other AEs  required medical intervention. Qualitative studies suggested that psychologically  challenging experiences may also be therapeutically beneficial. Except for  ayahuasca, a large proportion of patients had prior experience with psychedelic  drugs before entering studies. CONCLUSIONS: AEs are poorly defined in the context  of psychedelic treatments and are probably underreported in the literature due to  study design (lack of systematic assessment of AEs) and sample selection. Acute  challenging experiences may be therapeutically meaningful, but a better  understanding of AEs in the context of psychedelic treatments requires systematic  and detailed reporting.","container-title":"Journal of psychopharmacology (Oxford, England)","DOI":"10.1177/02698811221116926","ISSN":"1461-7285 0269-8811","issue":"10","journalAbbreviation":"J Psychopharmacol","language":"eng","note":"publisher-place: United States","page":"1100-1117","PMID":"36017784","PMCID":"PMC9548934","title":"Adverse events in clinical treatments with serotonergic psychedelics and MDMA: A mixed-methods systematic review.","volume":"36","author":[{"family":"Breeksema","given":"Joost J."},{"family":"Kuin","given":"Bouwe W."},{"family":"Kamphuis","given":"Jeanine"},{"family":"Brink","given":"Wim","non-dropping-particle":"van den"},{"family":"Vermetten","given":"Eric"},{"family":"Schoevers","given":"Robert A."}],"issued":{"date-parts":[["2022",10]]}}},{"id":1419,"uris":["http://zotero.org/users/4564126/items/Q2ACQDPN"],"itemData":{"id":1419,"type":"article-journal","abstract":"Evidence suggests that MDMA-assisted psychotherapy (MDMA-AP) has therapeutic potential for treatment of psychiatric illness. We conducted the first  comprehensive systematic review and meta-analysis of the side effects of MDMA-AP  across indications. We also assessed the quality of side effects-reporting in  published trials of MDMA-AP. PubMed, EMBASE, PsycINFO, MEDLINE and Cochrane  Central Register of Controlled Trials (CENTRAL) were systematically searched.  Phase 2 and 3 MDMA-AP studies were included; Phase 1 studies, which assessed MDMA  without psychotherapy, were not. Quality of side effects-reporting was assessed  against the CONSORT Harms 2022 guidelines. We also compared numbers of adverse  events reported in publications to those recorded in ClinicalTrial.gov registers.  Thirteen studies were included, with eight contributing to the meta-analysis. In  Phase 2 studies, MDMA-AP was associated with increased odds of any side effect  during medication sessions (OR = 1.67, 95%CI (1.12, 2.49)) and in the 7 days  following (OR = 1.59, 95%CI (1.12, 2.24)) relative to control conditions. In  Phase 3 studies, MDMA-AP was associated with increased odds of any adverse event  during the treatment period relative to placebo-assisted psychotherapy  (OR = 3.51, 95%CI (2.76, 4.46)). The majority of RCTs were rated as having high  risk of bias. Certainty of the evidence was rated as very low to moderate  according to the GRADE framework. No included RCT had adequate adherence to the  CONSORT Harms 2022 recommendations and reporting rates were also low. Compared to  placebo, MDMA-AP was associated with increased odds of side effects, which were  largely transient and mild or moderate in severity. However, identified  limitations in existing evidence indicate that further investigation is needed to  better characterize the safety profile of MDMA-AP and guide implementation.","container-title":"Neuropsychopharmacology : official publication of the American College of Neuropsychopharmacology","DOI":"10.1038/s41386-024-01865-8","ISSN":"1740-634X 0893-133X","issue":"8","journalAbbreviation":"Neuropsychopharmacology","language":"eng","license":"© 2024. The Author(s).","note":"publisher-place: England","page":"1208-1226","PMID":"38654146","PMCID":"PMC11224236","title":"Side-effects of mdma-assisted psychotherapy: a systematic review and meta-analysis.","volume":"49","author":[{"family":"Colcott","given":"Julia"},{"family":"Guerin","given":"Alexandre A."},{"family":"Carter","given":"Olivia"},{"family":"Meikle","given":"Sally"},{"family":"Bedi","given":"Gillinder"}],"issued":{"date-parts":[["2024",7]]}}},{"id":75,"uris":["http://zotero.org/users/4564126/items/D4ZSN2VH"],"itemData":{"id":75,"type":"article-journal","abstract":"IMPORTANCE: A clear and comprehensive understanding of risks associated with psychedelic-assisted therapy is necessary as investigators extend its application  to new populations and indications. OBJECTIVE: To assess adverse events (AEs)  associated with classic psychedelics, particularly serious AEs (SAEs) and  nonserious AEs (NSAEs) requiring medical or psychiatric evaluation. DATA SOURCES:  The search for potentially eligible studies was conducted in the Scopus, MEDLINE,  PsycINFO, and Web of Science databases from inception through February 8, 2024.  STUDY SELECTION: Two independent reviewers screened articles of classic  psychedelics (lysergic acid diethylamide [LSD], psilocybin, dimethyltryptamine  [DMT], and 5-methoxy-N,N-dimethyltryptamine [5-MeO-DMT]) involving administration  in clinical or research contexts. DATA EXTRACTION AND SYNTHESIS: AE data were  extracted and synthesized by 2 reviewers and were used for random-effects  meta-analysis of AE frequency and heterogeneity. Risk of bias assessment focused  on AE ascertainment (eg, systematic assessment and quality of follow-up). MAIN  OUTCOMES AND MEASURES: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 RESULTS: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  CONCLUSIONS AND RELEVANCE: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psychiatry","DOI":"10.1001/jamapsychiatry.2024.2546","ISSN":"2168-6238 2168-622X","issue":"12","journalAbbreviation":"JAMA Psychiatry","language":"eng","note":"publisher-place: United States","page":"1225-1235","PMID":"39230883","PMCID":"PMC11375525","title":"Adverse Events in Studies of Classic Psychedelics: A Systematic Review and Meta-Analysis.","volume":"81","author":[{"family":"Hinkle","given":"Jared T."},{"family":"Graziosi","given":"Marianna"},{"family":"Nayak","given":"Sandeep M."},{"family":"Yaden","given":"David B."}],"issued":{"date-parts":[["2024",12,1]]}}}],"schema":"https://github.com/citation-style-language/schema/raw/master/csl-citation.json"} </w:instrText>
      </w:r>
      <w:r w:rsidR="00C4252A">
        <w:rPr>
          <w:lang w:val="en-US"/>
        </w:rPr>
        <w:fldChar w:fldCharType="separate"/>
      </w:r>
      <w:r w:rsidR="00C4252A">
        <w:rPr>
          <w:noProof/>
          <w:lang w:val="en-US"/>
        </w:rPr>
        <w:t>(Breeksema et al., 2022; Colcott et al., 2024; Hinkle et al., 2024)</w:t>
      </w:r>
      <w:r w:rsidR="00C4252A">
        <w:rPr>
          <w:lang w:val="en-US"/>
        </w:rPr>
        <w:fldChar w:fldCharType="end"/>
      </w:r>
      <w:r w:rsidR="00C4252A">
        <w:rPr>
          <w:lang w:val="en-US"/>
        </w:rPr>
        <w:t>.</w:t>
      </w:r>
    </w:p>
    <w:p w14:paraId="74655628" w14:textId="7CE07492" w:rsidR="000829E4" w:rsidRPr="007A17FC" w:rsidRDefault="00542108" w:rsidP="00FC19AC">
      <w:pPr>
        <w:spacing w:before="240" w:after="240" w:line="360" w:lineRule="auto"/>
        <w:ind w:right="600"/>
        <w:rPr>
          <w:lang w:val="en-US"/>
        </w:rPr>
      </w:pPr>
      <w:r w:rsidRPr="007A17FC">
        <w:rPr>
          <w:lang w:val="en-US"/>
        </w:rPr>
        <w:t>Existing meta-analyses of psychedelic-assisted therapy</w:t>
      </w:r>
      <w:r w:rsidR="00C4252A">
        <w:rPr>
          <w:lang w:val="en-US"/>
        </w:rPr>
        <w:t xml:space="preserve"> </w:t>
      </w:r>
      <w:r w:rsidRPr="007A17FC">
        <w:rPr>
          <w:lang w:val="en-US"/>
        </w:rPr>
        <w:t xml:space="preserve"> </w:t>
      </w:r>
      <w:r w:rsidR="00C4252A">
        <w:rPr>
          <w:lang w:val="en-US"/>
        </w:rPr>
        <w:fldChar w:fldCharType="begin"/>
      </w:r>
      <w:r w:rsidR="00C4252A">
        <w:rPr>
          <w:lang w:val="en-US"/>
        </w:rPr>
        <w:instrText xml:space="preserve"> ADDIN ZOTERO_ITEM CSL_CITATION {"citationID":"dxXol6hc","properties":{"formattedCitation":"(Breeksema et al., 2022; Colcott et al., 2024; dos\\uc0\\u160{}Santos &amp; Hallak, 2025; Hinkle et al., 2024; H\\uc0\\u248{}jlund et al., 2025; Perez et al., 2023)","plainCitation":"(Breeksema et al., 2022; Colcott et al., 2024; dos Santos &amp; Hallak, 2025; Hinkle et al., 2024; Højlund et al., 2025; Perez et al., 2023)","noteIndex":0},"citationItems":[{"id":379,"uris":["http://zotero.org/users/4564126/items/6273RGTQ"],"itemData":{"id":379,"type":"article-journal","abstract":"INTRODUCTION: Small-scale clinical studies with psychedelic drugs have shown promising results for the treatment of several mental disorders. Before  psychedelics become registered medicines, it is important to know the full range  of adverse events (AEs) for making balanced treatment decisions. OBJECTIVE: To  systematically review the presence of AEs during and after administration of  serotonergic psychedelics and 3,4-methyenedioxymethamphetamine (MDMA) in clinical  studies. METHODS: We systematically searched PubMed, PsycINFO, Embase, and  ClinicalTrials.gov for clinical trials with psychedelics since 2000 describing  the results of quantitative and qualitative studies. RESULTS: We included 44  articles (34 quantitative + 10 qualitative), describing treatments with MDMA and  serotonergic psychedelics (psilocybin, lysergic acid diethylamide, and ayahuasca)  in 598 unique patients. In many studies, AEs were not systematically assessed.  Despite this limitation, treatments seemed to be overall well tolerated. Nausea,  headaches, and anxiety were commonly reported acute AEs across diagnoses and  compounds. Late AEs included headaches (psilocybin, MDMA), fatigue, low mood, and  anxiety (MDMA). One serious AE occurred during MDMA administration (increase in  premature ventricular contractions requiring brief hospitalization); no other AEs  required medical intervention. Qualitative studies suggested that psychologically  challenging experiences may also be therapeutically beneficial. Except for  ayahuasca, a large proportion of patients had prior experience with psychedelic  drugs before entering studies. CONCLUSIONS: AEs are poorly defined in the context  of psychedelic treatments and are probably underreported in the literature due to  study design (lack of systematic assessment of AEs) and sample selection. Acute  challenging experiences may be therapeutically meaningful, but a better  understanding of AEs in the context of psychedelic treatments requires systematic  and detailed reporting.","container-title":"Journal of psychopharmacology (Oxford, England)","DOI":"10.1177/02698811221116926","ISSN":"1461-7285 0269-8811","issue":"10","journalAbbreviation":"J Psychopharmacol","language":"eng","note":"publisher-place: United States","page":"1100-1117","PMID":"36017784","PMCID":"PMC9548934","title":"Adverse events in clinical treatments with serotonergic psychedelics and MDMA: A mixed-methods systematic review.","volume":"36","author":[{"family":"Breeksema","given":"Joost J."},{"family":"Kuin","given":"Bouwe W."},{"family":"Kamphuis","given":"Jeanine"},{"family":"Brink","given":"Wim","non-dropping-particle":"van den"},{"family":"Vermetten","given":"Eric"},{"family":"Schoevers","given":"Robert A."}],"issued":{"date-parts":[["2022",10]]}}},{"id":1419,"uris":["http://zotero.org/users/4564126/items/Q2ACQDPN"],"itemData":{"id":1419,"type":"article-journal","abstract":"Evidence suggests that MDMA-assisted psychotherapy (MDMA-AP) has therapeutic potential for treatment of psychiatric illness. We conducted the first  comprehensive systematic review and meta-analysis of the side effects of MDMA-AP  across indications. We also assessed the quality of side effects-reporting in  published trials of MDMA-AP. PubMed, EMBASE, PsycINFO, MEDLINE and Cochrane  Central Register of Controlled Trials (CENTRAL) were systematically searched.  Phase 2 and 3 MDMA-AP studies were included; Phase 1 studies, which assessed MDMA  without psychotherapy, were not. Quality of side effects-reporting was assessed  against the CONSORT Harms 2022 guidelines. We also compared numbers of adverse  events reported in publications to those recorded in ClinicalTrial.gov registers.  Thirteen studies were included, with eight contributing to the meta-analysis. In  Phase 2 studies, MDMA-AP was associated with increased odds of any side effect  during medication sessions (OR = 1.67, 95%CI (1.12, 2.49)) and in the 7 days  following (OR = 1.59, 95%CI (1.12, 2.24)) relative to control conditions. In  Phase 3 studies, MDMA-AP was associated with increased odds of any adverse event  during the treatment period relative to placebo-assisted psychotherapy  (OR = 3.51, 95%CI (2.76, 4.46)). The majority of RCTs were rated as having high  risk of bias. Certainty of the evidence was rated as very low to moderate  according to the GRADE framework. No included RCT had adequate adherence to the  CONSORT Harms 2022 recommendations and reporting rates were also low. Compared to  placebo, MDMA-AP was associated with increased odds of side effects, which were  largely transient and mild or moderate in severity. However, identified  limitations in existing evidence indicate that further investigation is needed to  better characterize the safety profile of MDMA-AP and guide implementation.","container-title":"Neuropsychopharmacology : official publication of the American College of Neuropsychopharmacology","DOI":"10.1038/s41386-024-01865-8","ISSN":"1740-634X 0893-133X","issue":"8","journalAbbreviation":"Neuropsychopharmacology","language":"eng","license":"© 2024. The Author(s).","note":"publisher-place: England","page":"1208-1226","PMID":"38654146","PMCID":"PMC11224236","title":"Side-effects of mdma-assisted psychotherapy: a systematic review and meta-analysis.","volume":"49","author":[{"family":"Colcott","given":"Julia"},{"family":"Guerin","given":"Alexandre A."},{"family":"Carter","given":"Olivia"},{"family":"Meikle","given":"Sally"},{"family":"Bedi","given":"Gillinder"}],"issued":{"date-parts":[["2024",7]]}}},{"id":3042,"uris":["http://zotero.org/users/4564126/items/FWV3WLP7"],"itemData":{"id":3042,"type":"article-journal","container-title":"CNS Spectrums","DOI":"10.1017/s109285292400213x","title":"Ayahuasca: pharmacology, safety, and therapeutic effects","author":[{"family":"Santos","given":"Rafael Guimarães","non-dropping-particle":"dos"},{"family":"Hallak","given":"Jaime Eduardo Cecilio"}],"issued":{"date-parts":[["2025"]]}}},{"id":75,"uris":["http://zotero.org/users/4564126/items/D4ZSN2VH"],"itemData":{"id":75,"type":"article-journal","abstract":"IMPORTANCE: A clear and comprehensive understanding of risks associated with psychedelic-assisted therapy is necessary as investigators extend its application  to new populations and indications. OBJECTIVE: To assess adverse events (AEs)  associated with classic psychedelics, particularly serious AEs (SAEs) and  nonserious AEs (NSAEs) requiring medical or psychiatric evaluation. DATA SOURCES:  The search for potentially eligible studies was conducted in the Scopus, MEDLINE,  PsycINFO, and Web of Science databases from inception through February 8, 2024.  STUDY SELECTION: Two independent reviewers screened articles of classic  psychedelics (lysergic acid diethylamide [LSD], psilocybin, dimethyltryptamine  [DMT], and 5-methoxy-N,N-dimethyltryptamine [5-MeO-DMT]) involving administration  in clinical or research contexts. DATA EXTRACTION AND SYNTHESIS: AE data were  extracted and synthesized by 2 reviewers and were used for random-effects  meta-analysis of AE frequency and heterogeneity. Risk of bias assessment focused  on AE ascertainment (eg, systematic assessment and quality of follow-up). MAIN  OUTCOMES AND MEASURES: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 RESULTS: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  CONCLUSIONS AND RELEVANCE: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psychiatry","DOI":"10.1001/jamapsychiatry.2024.2546","ISSN":"2168-6238 2168-622X","issue":"12","journalAbbreviation":"JAMA Psychiatry","language":"eng","note":"publisher-place: United States","page":"1225-1235","PMID":"39230883","PMCID":"PMC11375525","title":"Adverse Events in Studies of Classic Psychedelics: A Systematic Review and Meta-Analysis.","volume":"81","author":[{"family":"Hinkle","given":"Jared T."},{"family":"Graziosi","given":"Marianna"},{"family":"Nayak","given":"Sandeep M."},{"family":"Yaden","given":"David B."}],"issued":{"date-parts":[["2024",12,1]]}}},{"id":3114,"uris":["http://zotero.org/users/4564126/items/LVT7ZESL"],"itemData":{"id":3114,"type":"article-journal","container-title":"European Neuropsychopharmacology","DOI":"10.1016/j.euroneuro.2025.09.011","ISSN":"0924-977X","page":"41–55","title":"Efficacy, all-cause discontinuation, and safety of serotonergic psychedelics and MDMA to treat mental disorders: A living systematic review with meta-analysis","volume":"101","author":[{"family":"Højlund","given":"Mikkel"},{"family":"Kafali","given":"Helin Y."},{"family":"Kırmızı","given":"Begüm"},{"family":"Fusar-Poli","given":"Paolo"},{"family":"Correll","given":"Christoph U."},{"family":"Cortese","given":"Samuele"},{"family":"Sabé","given":"Michel"},{"family":"Fiedorowicz","given":"Jess"},{"family":"Saraf","given":"Gayatri"},{"family":"Zein","given":"Josephine"},{"family":"Berk","given":"Michael"},{"family":"Husain","given":"Muhammad I."},{"family":"Rosenblat","given":"Joshua D."},{"family":"Rubaiyat","given":"Ruby"},{"family":"Corace","given":"Kim"},{"family":"Wong","given":"Stanley"},{"family":"Hatcher","given":"Simon"},{"family":"Kaluzienski","given":"Mark"},{"family":"Yatham","given":"Lakshmi N."},{"family":"Cipriani","given":"Andrea"},{"family":"Gosling","given":"Corentin J."},{"family":"Carhart-Harris","given":"Robin"},{"family":"Tanuseputro","given":"Peter"},{"family":"Myran","given":"Daniel T."},{"family":"Fabiano","given":"Nicholas"},{"family":"Moher","given":"David"},{"family":"Mayo","given":"Leah M."},{"family":"Nicholls","given":"Stuart G."},{"family":"White","given":"Tracy"},{"family":"De Prisco","given":"Michele"},{"family":"Radua","given":"Joaquim"},{"family":"Vieta","given":"Eduard"},{"family":"Ladha","given":"Karim S."},{"family":"Katz","given":"Jay"},{"family":"Veroniki","given":"Areti A."},{"family":"Solmi","given":"Marco"}],"issued":{"date-parts":[["2025"]]}}},{"id":607,"uris":["http://zotero.org/users/4564126/items/YWI9MSMP"],"itemData":{"id":607,"type":"article-journal","abstract":"Psilocybin is increasingly studied for its antidepressant effect, but its optimal dosage for depression remains unclear. We conducted a systematic review and a  dose-response meta-analysis to find the optimal dosage of psilocybin to reduce  depression scores. Following our protocol (CRD 42022220190) multiple electronic  databases were searched from their inception until February 2023, to identify  double-blind randomized placebo-controlled (RCTs) fixed-dose trials evaluating  the use of psilocybin for adult patients with primary or secondary depression. A  one-stage dose-response meta-analysis with restricted cubic splines was used.  Cochrane risk of bias was used to assess risk of bias. Our analysis included  seven studies with a total of 489 participants. Among these, four studies focused  on primary depression (N = 366), including one study with patients suffering from  treatment-resistant depression. The remaining three studies examined secondary  depression (N = 123). The determined 95% effective doses per day (ED95) were  8.92, 24.68, and 36.08 mg/70 kg for patients with secondary depression, primary  depression, and both subgroups, respectively. We observed significant  dose-response associations for all curves, each plateauing at different levels,  except for the bell-shaped curve observed in the case of secondary depression.  Additionally, we found significant dose-response associations for various side  effects, including physical discomfort, blood pressure increase, nausea/vomiting,  headache/migraine, and the risk of prolonged psychosis. In conclusion, we  discovered specific ED95 values for different populations, indicating higher ED95  values for treatment-resistant depression, primary depression, and secondary  depression groups. Further RCTs are necessary for each population to determine  the optimal dosage, allowing for maximum efficacy while minimizing side effects.","container-title":"European neuropsychopharmacology : the journal of the European College of Neuropsychopharmacology","DOI":"10.1016/j.euroneuro.2023.07.011","ISSN":"1873-7862 0924-977X","journalAbbreviation":"Eur Neuropsychopharmacol","language":"eng","license":"Copyright © 2023 The Author(s). Published by Elsevier B.V. All rights reserved.","note":"publisher-place: Netherlands","page":"61-76","PMID":"37557019","title":"Psilocybin-assisted therapy for depression: A systematic review and dose-response meta-analysis of human studies.","volume":"76","author":[{"family":"Perez","given":"Natacha"},{"family":"Langlest","given":"Florent"},{"family":"Mallet","given":"Luc"},{"family":"De Pieri","given":"Marco"},{"family":"Sentissi","given":"Othman"},{"family":"Thorens","given":"Gabriel"},{"family":"Seragnoli","given":"Federico"},{"family":"Zullino","given":"Daniele"},{"family":"Kirschner","given":"Matthias"},{"family":"Kaiser","given":"Stefan"},{"family":"Solmi","given":"Marco"},{"family":"Sabé","given":"Michel"}],"issued":{"date-parts":[["2023",11]]}}}],"schema":"https://github.com/citation-style-language/schema/raw/master/csl-citation.json"} </w:instrText>
      </w:r>
      <w:r w:rsidR="00C4252A">
        <w:rPr>
          <w:lang w:val="en-US"/>
        </w:rPr>
        <w:fldChar w:fldCharType="separate"/>
      </w:r>
      <w:r w:rsidR="00C4252A" w:rsidRPr="00C4252A">
        <w:rPr>
          <w:lang w:val="en-US" w:eastAsia="en-US"/>
        </w:rPr>
        <w:t>(Breeksema et al., 2022; Colcott et al., 2024; dos Santos &amp; Hallak, 2025; Hinkle et al., 2024; Højlund et al., 2025; Perez et al., 2023)</w:t>
      </w:r>
      <w:r w:rsidR="00C4252A">
        <w:rPr>
          <w:lang w:val="en-US"/>
        </w:rPr>
        <w:fldChar w:fldCharType="end"/>
      </w:r>
      <w:r w:rsidR="00C4252A">
        <w:rPr>
          <w:lang w:val="en-US"/>
        </w:rPr>
        <w:t xml:space="preserve"> </w:t>
      </w:r>
      <w:r w:rsidRPr="007A17FC">
        <w:rPr>
          <w:lang w:val="en-US"/>
        </w:rPr>
        <w:t xml:space="preserve">have consistently reported that adverse events are predominantly transient and occur during the acute dosing phase, providing pooled incidence or drug-versus-placebo risk estimates across compounds or for specific agents such as psilocybin and MDMA, but without resolving how adverse-event risk scales with dose, differs across </w:t>
      </w:r>
      <w:r w:rsidR="00682EED">
        <w:rPr>
          <w:lang w:val="en-US"/>
        </w:rPr>
        <w:t>substance</w:t>
      </w:r>
      <w:r w:rsidRPr="007A17FC">
        <w:rPr>
          <w:lang w:val="en-US"/>
        </w:rPr>
        <w:t xml:space="preserve">s, or varies between acute and post-acute windows, limitations that are particularly relevant </w:t>
      </w:r>
      <w:r w:rsidRPr="007A17FC">
        <w:rPr>
          <w:lang w:val="en-US"/>
        </w:rPr>
        <w:lastRenderedPageBreak/>
        <w:t>given the medical and psychiatric comorbidity profiles of patients now considered for clinical psychedelic interventions.</w:t>
      </w:r>
    </w:p>
    <w:p w14:paraId="6EA73E3B" w14:textId="24C7E948" w:rsidR="000829E4" w:rsidRPr="00C97945" w:rsidRDefault="00542108" w:rsidP="00FC19AC">
      <w:pPr>
        <w:spacing w:before="240" w:after="240" w:line="360" w:lineRule="auto"/>
      </w:pPr>
      <w:r w:rsidRPr="007A17FC">
        <w:rPr>
          <w:highlight w:val="yellow"/>
          <w:lang w:val="en-US"/>
        </w:rPr>
        <w:br/>
      </w:r>
      <w:r w:rsidRPr="007A17FC">
        <w:rPr>
          <w:lang w:val="en-US"/>
        </w:rPr>
        <w:t xml:space="preserve">Patients eligible for psychedelic-assisted interventions frequently present with comorbidities including cardiovascular disease, metabolic dysregulation, trauma-related autonomic hyperarousal, and complex psychiatric histories that may heighten susceptibility to autonomic, cardiovascular, or transient affective and ideational destabilization </w:t>
      </w:r>
      <w:r w:rsidR="00C4252A">
        <w:rPr>
          <w:lang w:val="en-US"/>
        </w:rPr>
        <w:fldChar w:fldCharType="begin"/>
      </w:r>
      <w:r w:rsidR="00C4252A">
        <w:rPr>
          <w:lang w:val="en-US"/>
        </w:rPr>
        <w:instrText xml:space="preserve"> ADDIN ZOTERO_ITEM CSL_CITATION {"citationID":"SvUaFiYB","properties":{"formattedCitation":"(Sarparast et al., 2022; Scala et al., 2024)","plainCitation":"(Sarparast et al., 2022; Scala et al., 2024)","noteIndex":0},"citationItems":[{"id":3170,"uris":["http://zotero.org/users/4564126/items/5ESQF8CR"],"itemData":{"id":3170,"type":"article-journal","container-title":"Psychopharmacology","DOI":"10.1007/s00213-022-06083-y","ISSN":"0033-3158, 1432-2072","issue":"6","journalAbbreviation":"Psychopharmacology","language":"en","page":"1945-1976","source":"DOI.org (Crossref)","title":"Drug-drug interactions between psychiatric medications and MDMA or psilocybin: a systematic review","title-short":"Drug-drug interactions between psychiatric medications and MDMA or psilocybin","volume":"239","author":[{"family":"Sarparast","given":"Aryan"},{"family":"Thomas","given":"Kelan"},{"family":"Malcolm","given":"Benjamin"},{"family":"Stauffer","given":"Christopher S."}],"issued":{"date-parts":[["2022",6]]}}},{"id":187,"uris":["http://zotero.org/users/4564126/items/7AP97KSK"],"itemData":{"id":187,"type":"article-journal","abstract":"The revival of psilocybin in psychopharmacological research heralds a potential paradigm shift for treating mood and anxiety disorders, and other psychiatric  conditions beyond the psychotic spectrum. This critical review evaluates current  evidence on psilocybin's efficacy, juxtaposing potential benefits with the  practical aspects of psychedelic-assisted psychotherapy (PAP) and the  methodological constraints of existing research.An electronic literature search  was conducted using PubMed/MEDLINE, selecting studies published up to December  2023 that explored the clinical use of psilocybin in mood and anxiety disorders,  obsessive-compulsive disorder, post-traumatic stress disorder, and substance use  disorder. Despite promising preliminary results suggesting psilocybin's efficacy  in alleviating depression and anxiety, as well as obsessions, compulsions, and  addictive behaviors, significant evidence gaps persist. These include evaluating  the efficacy of psilocybin compared to standard antidepressants or anxiolytic  molecules and identifying patient subpopulations that might benefit most from  PAP. Concerns about psilocybin's safety, long-term efficacy, and optimal dosage  remain unclear due to previous trials' limitations. Real-world implementation  faces challenges, including infrastructural requirements, personnel training, and  unresolved legal and ethical issues. This paper argues for further research to  substantiate the evidence base, emphasizing the need for larger studies that  overcome current methodological limitations and explore psilocybin's full  therapeutic potential. While psilocybin holds promise for psychiatry, its  successful translation from research to clinical practice demands more robust  evidence on efficacy, safety, and methodological rigor. In addition, other  factors, such as cultural stigma and legal/ethical issues, need to be  successfully addressed to facilitate psilocybin's implementation in healthcare  systems.","container-title":"CNS spectrums","DOI":"10.1017/S1092852924002268","ISSN":"1092-8529","issue":"6","journalAbbreviation":"CNS Spectr","language":"eng","note":"publisher-place: United States","page":"570-584","PMID":"39655426","title":"The revival of psilocybin between scientific excitement, evidence of efficacy, and real-world challenges.","volume":"29","author":[{"family":"Scala","given":"Mauro"},{"family":"Fabbri","given":"Chiara"},{"family":"Fusar-Poli","given":"Paolo"},{"family":"Di Lorenzo","given":"Giorgio"},{"family":"Ferrara","given":"Maria"},{"family":"Amerio","given":"Andrea"},{"family":"Fusar-Poli","given":"Laura"},{"family":"Pichiecchio","given":"Anna"},{"family":"Asteggiano","given":"Carlo"},{"family":"Menchetti","given":"Marco"},{"family":"De Ronchi","given":"Diana"},{"family":"Fanelli","given":"Giuseppe"},{"family":"Serretti","given":"Alessandro"}],"issued":{"date-parts":[["2024",12]]}}}],"schema":"https://github.com/citation-style-language/schema/raw/master/csl-citation.json"} </w:instrText>
      </w:r>
      <w:r w:rsidR="00C4252A">
        <w:rPr>
          <w:lang w:val="en-US"/>
        </w:rPr>
        <w:fldChar w:fldCharType="separate"/>
      </w:r>
      <w:r w:rsidR="00C4252A">
        <w:rPr>
          <w:noProof/>
          <w:lang w:val="en-US"/>
        </w:rPr>
        <w:t>(Sarparast et al., 2022; Scala et al., 2024)</w:t>
      </w:r>
      <w:r w:rsidR="00C4252A">
        <w:rPr>
          <w:lang w:val="en-US"/>
        </w:rPr>
        <w:fldChar w:fldCharType="end"/>
      </w:r>
      <w:r w:rsidRPr="007A17FC">
        <w:rPr>
          <w:lang w:val="en-US"/>
        </w:rPr>
        <w:t xml:space="preserve">. MDMA’s sympathomimetic profile produces transient hypertension, tachycardia, hyperthermia, and neuromuscular activation under controlled conditions </w:t>
      </w:r>
      <w:r w:rsidR="00C4252A">
        <w:rPr>
          <w:lang w:val="en-US"/>
        </w:rPr>
        <w:fldChar w:fldCharType="begin"/>
      </w:r>
      <w:r w:rsidR="00C4252A">
        <w:rPr>
          <w:lang w:val="en-US"/>
        </w:rPr>
        <w:instrText xml:space="preserve"> ADDIN ZOTERO_ITEM CSL_CITATION {"citationID":"wmZMfFTU","properties":{"formattedCitation":"(Colcott et al., 2024; Mitchell et al., 2021; Mitchell &amp; others, 2023; Mithoefer et al., 2011; Vizeli et al., 2024)","plainCitation":"(Colcott et al., 2024; Mitchell et al., 2021; Mitchell &amp; others, 2023; Mithoefer et al., 2011; Vizeli et al., 2024)","noteIndex":0},"citationItems":[{"id":1419,"uris":["http://zotero.org/users/4564126/items/Q2ACQDPN"],"itemData":{"id":1419,"type":"article-journal","abstract":"Evidence suggests that MDMA-assisted psychotherapy (MDMA-AP) has therapeutic potential for treatment of psychiatric illness. We conducted the first  comprehensive systematic review and meta-analysis of the side effects of MDMA-AP  across indications. We also assessed the quality of side effects-reporting in  published trials of MDMA-AP. PubMed, EMBASE, PsycINFO, MEDLINE and Cochrane  Central Register of Controlled Trials (CENTRAL) were systematically searched.  Phase 2 and 3 MDMA-AP studies were included; Phase 1 studies, which assessed MDMA  without psychotherapy, were not. Quality of side effects-reporting was assessed  against the CONSORT Harms 2022 guidelines. We also compared numbers of adverse  events reported in publications to those recorded in ClinicalTrial.gov registers.  Thirteen studies were included, with eight contributing to the meta-analysis. In  Phase 2 studies, MDMA-AP was associated with increased odds of any side effect  during medication sessions (OR = 1.67, 95%CI (1.12, 2.49)) and in the 7 days  following (OR = 1.59, 95%CI (1.12, 2.24)) relative to control conditions. In  Phase 3 studies, MDMA-AP was associated with increased odds of any adverse event  during the treatment period relative to placebo-assisted psychotherapy  (OR = 3.51, 95%CI (2.76, 4.46)). The majority of RCTs were rated as having high  risk of bias. Certainty of the evidence was rated as very low to moderate  according to the GRADE framework. No included RCT had adequate adherence to the  CONSORT Harms 2022 recommendations and reporting rates were also low. Compared to  placebo, MDMA-AP was associated with increased odds of side effects, which were  largely transient and mild or moderate in severity. However, identified  limitations in existing evidence indicate that further investigation is needed to  better characterize the safety profile of MDMA-AP and guide implementation.","container-title":"Neuropsychopharmacology : official publication of the American College of Neuropsychopharmacology","DOI":"10.1038/s41386-024-01865-8","ISSN":"1740-634X 0893-133X","issue":"8","journalAbbreviation":"Neuropsychopharmacology","language":"eng","license":"© 2024. The Author(s).","note":"publisher-place: England","page":"1208-1226","PMID":"38654146","PMCID":"PMC11224236","title":"Side-effects of mdma-assisted psychotherapy: a systematic review and meta-analysis.","volume":"49","author":[{"family":"Colcott","given":"Julia"},{"family":"Guerin","given":"Alexandre A."},{"family":"Carter","given":"Olivia"},{"family":"Meikle","given":"Sally"},{"family":"Bedi","given":"Gillinder"}],"issued":{"date-parts":[["2024",7]]}}},{"id":1465,"uris":["http://zotero.org/users/4564126/items/5BUVJQ2P"],"itemData":{"id":1465,"type":"article-journal","abstract":"Post-traumatic stress disorder (PTSD) presents a major public health problem for which currently available treatments are modestly effective. We report the  findings of a randomized, double-blind, placebo-controlled, multi-site phase 3  clinical trial (NCT03537014) to test the efficacy and safety of  3,4-methylenedioxymethamphetamine (MDMA)-assisted therapy for the treatment of  patients with severe PTSD, including those with common comorbidities such as  dissociation, depression, a history of alcohol and substance use disorders, and  childhood trauma. After psychiatric medication washout, participants (n = 90)  were randomized 1:1 to receive manualized therapy with MDMA or with placebo,  combined with three preparatory and nine integrative therapy sessions. PTSD  symptoms, measured with the Clinician-Administered PTSD Scale for DSM-5 (CAPS-5,  the primary endpoint), and functional impairment, measured with the Sheehan  Disability Scale (SDS, the secondary endpoint) were assessed at baseline and at  2 months after the last experimental session. Adverse events and suicidality were  tracked throughout the study. MDMA was found to induce significant and robust  attenuation in CAPS-5 score compared with placebo (P &lt; 0.0001, d = 0.91) and to  significantly decrease the SDS total score (P = 0.0116, d = 0.43). The mean  change in CAPS-5 scores in participants completing treatment was -24.4 (s.d.  11.6) in the MDMA group and -13.9 (s.d. 11.5) in the placebo group. MDMA did not  induce adverse events of abuse potential, suicidality or QT prolongation. These  data indicate that, compared with manualized therapy with inactive placebo,  MDMA-assisted therapy is highly efficacious in individuals with severe PTSD, and  treatment is safe and well-tolerated, even in those with comorbidities. We  conclude that MDMA-assisted therapy represents a potential breakthrough treatment  that merits expedited clinical evaluation.","container-title":"Nature medicine","DOI":"10.1038/s41591-021-01336-3","ISSN":"1546-170X 1078-8956","issue":"6","journalAbbreviation":"Nat Med","language":"eng","note":"publisher-place: United States","page":"1025-1033","PMID":"33972795","PMCID":"PMC8205851","title":"MDMA-assisted therapy for severe PTSD: a randomized, double-blind, placebo-controlled phase 3 study.","volume":"27","author":[{"family":"Mitchell","given":"Jennifer M."},{"family":"Bogenschutz","given":"Michael"},{"family":"Lilienstein","given":"Alia"},{"family":"Harrison","given":"Charlotte"},{"family":"Kleiman","given":"Sarah"},{"family":"Parker-Guilbert","given":"Kelly"},{"family":"Ot'alora G","given":"Marcela"},{"family":"Garas","given":"Wael"},{"family":"Paleos","given":"Casey"},{"family":"Gorman","given":"Ingmar"},{"family":"Nicholas","given":"Christopher"},{"family":"Mithoefer","given":"Michael"},{"family":"Carlin","given":"Shannon"},{"family":"Poulter","given":"Bruce"},{"family":"Mithoefer","given":"Ann"},{"family":"Quevedo","given":"Sylvestre"},{"family":"Wells","given":"Gregory"},{"family":"Klaire","given":"Sukhpreet S."},{"family":"Kolk","given":"Bessel","non-dropping-particle":"van der"},{"family":"Tzarfaty","given":"Keren"},{"family":"Amiaz","given":"Revital"},{"family":"Worthy","given":"Ray"},{"family":"Shannon","given":"Scott"},{"family":"Woolley","given":"Joshua D."},{"family":"Marta","given":"Cole"},{"family":"Gelfand","given":"Yevgeniy"},{"family":"Hapke","given":"Emma"},{"family":"Amar","given":"Simon"},{"family":"Wallach","given":"Yair"},{"family":"Brown","given":"Randall"},{"family":"Hamilton","given":"Scott"},{"family":"Wang","given":"Julie B."},{"family":"Coker","given":"Allison"},{"family":"Matthews","given":"Rebecca"},{"family":"Boer","given":"Alberdina","non-dropping-particle":"de"},{"family":"Yazar-Klosinski","given":"Berra"},{"family":"Emerson","given":"Amy"},{"family":"Doblin","given":"Rick"}],"issued":{"date-parts":[["2021",6]]}}},{"id":3066,"uris":["http://zotero.org/users/4564126/items/K76B3IKE"],"itemData":{"id":3066,"type":"article-journal","container-title":"Nature Medicine","DOI":"10.1038/s41591-023-02504-7","issue":"9","page":"2238–2247","title":"MDMA-assisted therapy for moderate to severe PTSD: confirmatory phase 3 trial","volume":"29","author":[{"family":"Mitchell","given":"J. M."},{"literal":"others"}],"issued":{"date-parts":[["2023"]]}}},{"id":3015,"uris":["http://zotero.org/users/4564126/items/49LDNVVF"],"itemData":{"id":3015,"type":"article-journal","abstract":"Case reports indicate that psychiatrists administered 3,4-methylenedioxymethamphetamine (MDMA) as a catalyst to psychotherapy before recreational use of MDMA as ‘Ecstasy’ resulted in its criminalization in 1985. Over two decades later, this study is the first completed clinical trial evaluating MDMA as a therapeutic adjunct. Twenty patients with chronic posttraumatic stress disorder, refractory to both psychotherapy and psychopharmacology, were randomly assigned to psychotherapy with concomitant active drug (n ¼ 12) or inactive placebo (n ¼ 8) administered during two 8-h experimental psychotherapy sessions. Both groups received preparatory and follow-up non-drug psychotherapy. The primary outcome measure was the ClinicianAdministered PTSD Scale, administered at baseline, 4 days after each experimental session, and 2 months after the second session. Neurocognitive testing, blood pressure, and temperature monitoring were performed. After 2-month follow-up, placebo subjects were offered the option to re-enroll in the experimental procedure with open-label MDMA. Decrease in Clinician-Administered PTSD Scale scores from baseline was significantly greater for the group that received MDMA than for the placebo group at all three time points after baseline. The rate of clinical response was 10/12 (83%) in the active treatment group versus 2/8 (25%) in the placebo group. There were no drug-related serious adverse events, adverse neurocognitive effects or clinically significant blood pressure increases. MDMA-assisted psychotherapy can be administered to posttraumatic stress disorder patients without evidence of harm, and it may be useful in patients refractory to other treatments.","container-title":"Journal of Psychopharmacology","DOI":"10.1177/0269881110378371","ISSN":"0269-8811, 1461-7285","issue":"4","journalAbbreviation":"J Psychopharmacol","language":"en","page":"439-452","source":"DOI.org (Crossref)","title":"The safety and efficacy of ±3,4-methylenedioxymethamphetamine-assisted psychotherapy in subjects with chronic, treatment-resistant posttraumatic stress disorder: the first randomized controlled pilot study","title-short":"The safety and efficacy of ±3,4-methylenedioxymethamphetamine-assisted psychotherapy in subjects with chronic, treatment-resistant posttraumatic stress disorder","volume":"25","author":[{"family":"Mithoefer","given":"Michael C"},{"family":"Wagner","given":"Mark T"},{"family":"Mithoefer","given":"Ann T"},{"family":"Jerome","given":"Lisa"},{"family":"Doblin","given":"Rick"}],"issued":{"date-parts":[["2011",4]]}}},{"id":1438,"uris":["http://zotero.org/users/4564126/items/ER47A7UP"],"itemData":{"id":1438,"type":"article-journal","abstract":"The pharmacodynamic effects of lysergic acid diethylamide (LSD) are diverse and different in different individuals. Effects of other psychoactive substances have  been shown to be critically influenced by non-pharmacological factors such as  personality traits and mood states. The aim of this study was to determine  pharmacological and psychological predictors of the LSD effects in healthy human  subjects. This analysis is based on nine double-blind, placebo-controlled,  cross-over studies with a total of 213 healthy subjects receiving between  25-200 µg LSD. The influence of sex, age, dose, body weight, pharmacogenetic,  drug experience, personality, setting, and mood before drug intake on the peak  autonomic and total subjective responses to LSD was investigated using multiple  linear mixed effects models and Least Absolute Shrinkage and Selection Operator  regression. Results were adjusted for LSD dose and corrected for multiple  testing. LSD dose emerged as the most influential predictor, exhibiting a  positive correlation with most response variables. Pre-drug mental states such as  \"Well-Being\", \"Emotional Excitability\", and \"Anxiety\" were also important  predictor for a range of subjective effects but also heart rate and body  temperature. The trait \"Openness to Experiences\" was positively correlated with  elevated ratings in \"Oceanic Boundlessness\" and mystical-type effects. Previous  experiences with hallucinogens have been negatively associated with the overall  altered state of consciousness and particularly with \"Anxious Ego Dissolution\".  Acute anxiety negatively correlated with the genetically determined functionality  of the Cytochrome 2D6 enzyme. In summary, besides the amount of drug consumed,  non-pharmacological factors such as personal traits and current mood also  significantly predicted the subjective drug experience. Sex and body weight were  not significant factors in influencing the drug experience.","container-title":"Translational psychiatry","DOI":"10.1038/s41398-024-03074-9","ISSN":"2158-3188","issue":"1","journalAbbreviation":"Transl Psychiatry","language":"eng","license":"© 2024. The Author(s).","note":"publisher-place: United States","page":"357","PMID":"39231959","PMCID":"PMC11374807","title":"Pharmacological and non-pharmacological predictors of the LSD experience in healthy participants.","volume":"14","author":[{"family":"Vizeli","given":"Patrick"},{"family":"Studerus","given":"Erich"},{"family":"Holze","given":"Friederike"},{"family":"Schmid","given":"Yasmin"},{"family":"Dolder","given":"Patrick C."},{"family":"Ley","given":"Laura"},{"family":"Straumann","given":"Isabelle"},{"family":"Becker","given":"Anna M."},{"family":"Müller","given":"Felix"},{"family":"Arikci","given":"Denis"},{"family":"Liechti","given":"Matthias E."}],"issued":{"date-parts":[["2024",9,4]]}}}],"schema":"https://github.com/citation-style-language/schema/raw/master/csl-citation.json"} </w:instrText>
      </w:r>
      <w:r w:rsidR="00C4252A">
        <w:rPr>
          <w:lang w:val="en-US"/>
        </w:rPr>
        <w:fldChar w:fldCharType="separate"/>
      </w:r>
      <w:r w:rsidR="00C4252A">
        <w:rPr>
          <w:noProof/>
          <w:lang w:val="en-US"/>
        </w:rPr>
        <w:t>(Colcott et al., 2024; Mitchell et al., 2021; Mitchell &amp; others, 2023; Mithoefer et al., 2011; Vizeli et al., 2024)</w:t>
      </w:r>
      <w:r w:rsidR="00C4252A">
        <w:rPr>
          <w:lang w:val="en-US"/>
        </w:rPr>
        <w:fldChar w:fldCharType="end"/>
      </w:r>
      <w:r w:rsidRPr="007A17FC">
        <w:rPr>
          <w:lang w:val="en-US"/>
        </w:rPr>
        <w:t xml:space="preserve">. In contrast, serotonergic psychedelics predominantly elicit dose-dependent affective shifts, anxiety, perceptual alterations, and mild somatic discomfort such as nausea, dizziness, or headache </w:t>
      </w:r>
      <w:r w:rsidR="00C4252A">
        <w:rPr>
          <w:lang w:val="en-US"/>
        </w:rPr>
        <w:fldChar w:fldCharType="begin"/>
      </w:r>
      <w:r w:rsidR="00C4252A">
        <w:rPr>
          <w:lang w:val="en-US"/>
        </w:rPr>
        <w:instrText xml:space="preserve"> ADDIN ZOTERO_ITEM CSL_CITATION {"citationID":"7cbnuGeP","properties":{"formattedCitation":"(Breeksema et al., 2022; Dos Santos et al., 2021; Holze et al., 2023; Palhano-Fontes et al., 2019; Scala et al., 2024)","plainCitation":"(Breeksema et al., 2022; Dos Santos et al., 2021; Holze et al., 2023; Palhano-Fontes et al., 2019; Scala et al., 2024)","noteIndex":0},"citationItems":[{"id":379,"uris":["http://zotero.org/users/4564126/items/6273RGTQ"],"itemData":{"id":379,"type":"article-journal","abstract":"INTRODUCTION: Small-scale clinical studies with psychedelic drugs have shown promising results for the treatment of several mental disorders. Before  psychedelics become registered medicines, it is important to know the full range  of adverse events (AEs) for making balanced treatment decisions. OBJECTIVE: To  systematically review the presence of AEs during and after administration of  serotonergic psychedelics and 3,4-methyenedioxymethamphetamine (MDMA) in clinical  studies. METHODS: We systematically searched PubMed, PsycINFO, Embase, and  ClinicalTrials.gov for clinical trials with psychedelics since 2000 describing  the results of quantitative and qualitative studies. RESULTS: We included 44  articles (34 quantitative + 10 qualitative), describing treatments with MDMA and  serotonergic psychedelics (psilocybin, lysergic acid diethylamide, and ayahuasca)  in 598 unique patients. In many studies, AEs were not systematically assessed.  Despite this limitation, treatments seemed to be overall well tolerated. Nausea,  headaches, and anxiety were commonly reported acute AEs across diagnoses and  compounds. Late AEs included headaches (psilocybin, MDMA), fatigue, low mood, and  anxiety (MDMA). One serious AE occurred during MDMA administration (increase in  premature ventricular contractions requiring brief hospitalization); no other AEs  required medical intervention. Qualitative studies suggested that psychologically  challenging experiences may also be therapeutically beneficial. Except for  ayahuasca, a large proportion of patients had prior experience with psychedelic  drugs before entering studies. CONCLUSIONS: AEs are poorly defined in the context  of psychedelic treatments and are probably underreported in the literature due to  study design (lack of systematic assessment of AEs) and sample selection. Acute  challenging experiences may be therapeutically meaningful, but a better  understanding of AEs in the context of psychedelic treatments requires systematic  and detailed reporting.","container-title":"Journal of psychopharmacology (Oxford, England)","DOI":"10.1177/02698811221116926","ISSN":"1461-7285 0269-8811","issue":"10","journalAbbreviation":"J Psychopharmacol","language":"eng","note":"publisher-place: United States","page":"1100-1117","PMID":"36017784","PMCID":"PMC9548934","title":"Adverse events in clinical treatments with serotonergic psychedelics and MDMA: A mixed-methods systematic review.","volume":"36","author":[{"family":"Breeksema","given":"Joost J."},{"family":"Kuin","given":"Bouwe W."},{"family":"Kamphuis","given":"Jeanine"},{"family":"Brink","given":"Wim","non-dropping-particle":"van den"},{"family":"Vermetten","given":"Eric"},{"family":"Schoevers","given":"Robert A."}],"issued":{"date-parts":[["2022",10]]}}},{"id":619,"uris":["http://zotero.org/users/4564126/items/CRE2D4II"],"itemData":{"id":619,"type":"article-journal","abstract":"BACKGROUND: Ayahuasca is a classic hallucinogen with anxiolytic and antidepressive properties. Anecdotal evidence also suggests that it improves  performance (eg, singing, speech). This controlled trial assessed the effects of  ayahuasca on speech performance and anxiety in individuals with social anxiety  disorder. METHODS: Seventeen volunteers with social anxiety disorder participated  in a pilot, proof-of-concept, randomized, parallel-group trial. Self-perception  of performance during a public-speaking test was assessed with the  Self-statements During Public Speaking Scale primary outcome). Secondary outcomes  included anxiety/subjective effects (Visual Analog Mood Scale; Bodily Symptoms  Scale), recognition of emotions in facial expressions (REFE), tolerability  measures (cardiovascular measures, self-reports), and brain-derived neurotrophic  factor plasma levels. Effects on anxiety and REFE were assessed again 7, 14, and  21 days postdrug. FINDINGS: Compared with placebo, ayahuasca significantly  improved self-perception of speech performance (Self-statements During Public  Speaking Scale) and increased somatic symptoms (Bodily Symptoms Scale). There was  also a significant time × group interaction in the cognitive deterioration Visual  Analog Mood Scale factor and a significant effect of time in the REFE task,  especially in reaction time. Other measures were not significantly modified.  Ayahuasca was well tolerated, producing mainly nausea, gastrointestinal  discomfort, and vomiting. CONCLUSIONS: Ayahuasca improved self-perception of  speech performance in socially anxious individuals. These effects occurred  independent of task-related anxiety and REFE, suggesting that ayahuasca could  specifically improve the cognitive aspect of speech performance. Further studies  should try to unveil the mechanisms involved in the effects of ayahuasca and to  better understand its effects on anxiety.","container-title":"Journal of clinical psychopharmacology","DOI":"10.1097/JCP.0000000000001428","ISSN":"1533-712X 0271-0749","issue":"5","journalAbbreviation":"J Clin Psychopharmacol","language":"eng","license":"Copyright © 2021 Wolters Kluwer Health, Inc. All rights reserved.","note":"publisher-place: United States","page":"540-550","PMID":"34166299","title":"Ayahuasca Improves Self-perception of Speech Performance in Subjects With Social Anxiety Disorder: A Pilot, Proof-of-Concept, Randomized, Placebo-Controlled  Trial.","volume":"41","author":[{"family":"Dos Santos","given":"Rafael G."},{"family":"Osório","given":"Flávia de Lima"},{"family":"Rocha","given":"Juliana Mendes"},{"family":"Rossi","given":"Giordano Novak"},{"family":"Bouso","given":"José Carlos"},{"family":"Rodrigues","given":"Lucas S."},{"family":"Oliveira Silveira","given":"Gabriela","non-dropping-particle":"de"},{"family":"Yonamine","given":"Mauricio"},{"family":"Hallak","given":"Jaime E. Cecílio"}],"issued":{"date-parts":[["2021",10,1]]}}},{"id":73,"uris":["http://zotero.org/users/4564126/items/VRDY3ZHH"],"itemData":{"id":73,"type":"article-journal","abstract":"BACKGROUND: This study aimed to investigate the efficacy and safety of lysergic acid diethylamide (LSD)-assisted therapy in patients who experienced anxiety with  or without association with a life-threatening illness. METHODS: The study is an  investigator-initiated 2-center trial that used a double-blind,  placebo-controlled, 2-period, random-order, crossover design with 2 sessions with  either oral LSD (200 μg) or placebo per period. The primary end point was anxiety  symptoms 16 weeks after the last treatment session, assessed by the Spielberger  State-Trait Anxiety Inventory-Global score in 42 patients. Further outcome  measures included ratings for depression symptoms (Beck Depression Inventory and  Hamilton Depression Rating Scale, 21-item version) and ratings for acute  subjective drug effects. The outcomes for the first period (between-subjects  analysis) are primarily shown due to carryover effects. RESULTS: LSD treatment  resulted in significant reductions of State-Trait Anxiety Inventory-Global scores  up to 16 weeks after treatment (least-square mean [standard error] change from  baseline difference = -16.2 [5.8], 95% CI, -27.8 to -4.5, d = -1.18, p = .007).  Similar effects were observed for ratings of comorbid depression on the Hamilton  Depression Rating Scale, 21-item version (-7.0 [1.9], 95% CI, -10.8 to -3.2,  d = -1.1, p = .0004) and the Beck Depression Inventory (-6.1 [2.6], 95% CI, -11.4  to -0.9, d = -0.72, p = .02). Positive acute subjective drug effects and  mystical-type experiences correlated with the long-term reductions in anxiety  symptoms. Transient, mild, acute untoward effects of LSD treatment were reported  by 8 patients (19%). One treatment-related serious adverse event (acute transient  anxiety) occurred (2%). CONCLUSIONS: LSD produced long-lasting and notable  reductions in anxiety and comorbid depression symptoms up to 16 weeks.","container-title":"Biological psychiatry","DOI":"10.1016/j.biopsych.2022.08.025","ISSN":"1873-2402 0006-3223","issue":"3","journalAbbreviation":"Biol Psychiatry","language":"eng","license":"Copyright © 2022 Society of Biological Psychiatry. Published by Elsevier Inc. All rights reserved.","note":"publisher-place: United States","page":"215-223","PMID":"36266118","title":"Lysergic Acid Diethylamide-Assisted Therapy in Patients With Anxiety With and Without a Life-Threatening Illness: A Randomized, Double-Blind,  Placebo-Controlled Phase II Study.","volume":"93","author":[{"family":"Holze","given":"Friederike"},{"family":"Gasser","given":"Peter"},{"family":"Müller","given":"Felix"},{"family":"Dolder","given":"Patrick C."},{"family":"Liechti","given":"Matthias E."}],"issued":{"date-parts":[["2023",2,1]]}}},{"id":577,"uris":["http://zotero.org/users/4564126/items/DAZYZHDB"],"itemData":{"id":577,"type":"article-journal","abstract":"BACKGROUND: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B."}],"issued":{"date-parts":[["2019",3]]}}},{"id":187,"uris":["http://zotero.org/users/4564126/items/7AP97KSK"],"itemData":{"id":187,"type":"article-journal","abstract":"The revival of psilocybin in psychopharmacological research heralds a potential paradigm shift for treating mood and anxiety disorders, and other psychiatric  conditions beyond the psychotic spectrum. This critical review evaluates current  evidence on psilocybin's efficacy, juxtaposing potential benefits with the  practical aspects of psychedelic-assisted psychotherapy (PAP) and the  methodological constraints of existing research.An electronic literature search  was conducted using PubMed/MEDLINE, selecting studies published up to December  2023 that explored the clinical use of psilocybin in mood and anxiety disorders,  obsessive-compulsive disorder, post-traumatic stress disorder, and substance use  disorder. Despite promising preliminary results suggesting psilocybin's efficacy  in alleviating depression and anxiety, as well as obsessions, compulsions, and  addictive behaviors, significant evidence gaps persist. These include evaluating  the efficacy of psilocybin compared to standard antidepressants or anxiolytic  molecules and identifying patient subpopulations that might benefit most from  PAP. Concerns about psilocybin's safety, long-term efficacy, and optimal dosage  remain unclear due to previous trials' limitations. Real-world implementation  faces challenges, including infrastructural requirements, personnel training, and  unresolved legal and ethical issues. This paper argues for further research to  substantiate the evidence base, emphasizing the need </w:instrText>
      </w:r>
      <w:r w:rsidR="00C4252A" w:rsidRPr="00C97945">
        <w:instrText xml:space="preserve">for larger studies that  overcome current methodological limitations and explore psilocybin's full  therapeutic potential. While psilocybin holds promise for psychiatry, its  successful translation from research to clinical practice demands more robust  evidence on efficacy, safety, and methodological rigor. In addition, other  factors, such as cultural stigma and legal/ethical issues, need to be  successfully addressed to facilitate psilocybin's implementation in healthcare  systems.","container-title":"CNS spectrums","DOI":"10.1017/S1092852924002268","ISSN":"1092-8529","issue":"6","journalAbbreviation":"CNS Spectr","language":"eng","note":"publisher-place: United States","page":"570-584","PMID":"39655426","title":"The revival of psilocybin between scientific excitement, evidence of efficacy, and real-world challenges.","volume":"29","author":[{"family":"Scala","given":"Mauro"},{"family":"Fabbri","given":"Chiara"},{"family":"Fusar-Poli","given":"Paolo"},{"family":"Di Lorenzo","given":"Giorgio"},{"family":"Ferrara","given":"Maria"},{"family":"Amerio","given":"Andrea"},{"family":"Fusar-Poli","given":"Laura"},{"family":"Pichiecchio","given":"Anna"},{"family":"Asteggiano","given":"Carlo"},{"family":"Menchetti","given":"Marco"},{"family":"De Ronchi","given":"Diana"},{"family":"Fanelli","given":"Giuseppe"},{"family":"Serretti","given":"Alessandro"}],"issued":{"date-parts":[["2024",12]]}}}],"schema":"https://github.com/citation-style-language/schema/raw/master/csl-citation.json"} </w:instrText>
      </w:r>
      <w:r w:rsidR="00C4252A">
        <w:rPr>
          <w:lang w:val="en-US"/>
        </w:rPr>
        <w:fldChar w:fldCharType="separate"/>
      </w:r>
      <w:r w:rsidR="00C4252A" w:rsidRPr="00C97945">
        <w:rPr>
          <w:noProof/>
        </w:rPr>
        <w:t>(Breeksema et al., 2022; Dos Santos et al., 2021; Holze et al., 2023; Palhano-Fontes et al., 2019; Scala et al., 2024)</w:t>
      </w:r>
      <w:r w:rsidR="00C4252A">
        <w:rPr>
          <w:lang w:val="en-US"/>
        </w:rPr>
        <w:fldChar w:fldCharType="end"/>
      </w:r>
      <w:r w:rsidRPr="00C97945">
        <w:t>.</w:t>
      </w:r>
    </w:p>
    <w:p w14:paraId="210B4776" w14:textId="61DBA5D4" w:rsidR="000829E4" w:rsidRPr="007A17FC" w:rsidRDefault="00542108" w:rsidP="00FC19AC">
      <w:pPr>
        <w:spacing w:before="240" w:after="240" w:line="360" w:lineRule="auto"/>
        <w:rPr>
          <w:lang w:val="en-US"/>
        </w:rPr>
      </w:pPr>
      <w:r w:rsidRPr="007A17FC">
        <w:rPr>
          <w:lang w:val="en-US"/>
        </w:rPr>
        <w:t xml:space="preserve">Although modern RCTs generally report </w:t>
      </w:r>
      <w:r w:rsidR="00CB1243" w:rsidRPr="007A17FC">
        <w:rPr>
          <w:lang w:val="en-US"/>
        </w:rPr>
        <w:t>favorable</w:t>
      </w:r>
      <w:r w:rsidRPr="007A17FC">
        <w:rPr>
          <w:lang w:val="en-US"/>
        </w:rPr>
        <w:t xml:space="preserve"> tolerability, existing systematic reviews provide only pooled AE incidence </w:t>
      </w:r>
      <w:r w:rsidR="00C4252A">
        <w:rPr>
          <w:lang w:val="en-US"/>
        </w:rPr>
        <w:fldChar w:fldCharType="begin"/>
      </w:r>
      <w:r w:rsidR="00C4252A">
        <w:rPr>
          <w:lang w:val="en-US"/>
        </w:rPr>
        <w:instrText xml:space="preserve"> ADDIN ZOTERO_ITEM CSL_CITATION {"citationID":"THqE9FTm","properties":{"formattedCitation":"(Breeksema et al., 2022; Hinkle et al., 2024)","plainCitation":"(Breeksema et al., 2022; Hinkle et al., 2024)","noteIndex":0},"citationItems":[{"id":379,"uris":["http://zotero.org/users/4564126/items/6273RGTQ"],"itemData":{"id":379,"type":"article-journal","abstract":"INTRODUCTION: Small-scale clinical studies with psychedelic drugs have shown promising results for the treatment of several mental disorders. Before  psychedelics become registered medicines, it is important to know the full range  of adverse events (AEs) for making balanced treatment decisions. OBJECTIVE: To  systematically review the presence of AEs during and after administration of  serotonergic psychedelics and 3,4-methyenedioxymethamphetamine (MDMA) in clinical  studies. METHODS: We systematically searched PubMed, PsycINFO, Embase, and  ClinicalTrials.gov for clinical trials with psychedelics since 2000 describing  the results of quantitative and qualitative studies. RESULTS: We included 44  articles (34 quantitative + 10 qualitative), describing treatments with MDMA and  serotonergic psychedelics (psilocybin, lysergic acid diethylamide, and ayahuasca)  in 598 unique patients. In many studies, AEs were not systematically assessed.  Despite this limitation, treatments seemed to be overall well tolerated. Nausea,  headaches, and anxiety were commonly reported acute AEs across diagnoses and  compounds. Late AEs included headaches (psilocybin, MDMA), fatigue, low mood, and  anxiety (MDMA). One serious AE occurred during MDMA administration (increase in  premature ventricular contractions requiring brief hospitalization); no other AEs  required medical intervention. Qualitative studies suggested that psychologically  challenging experiences may also be therapeutically beneficial. Except for  ayahuasca, a large proportion of patients had prior experience with psychedelic  drugs before entering studies. CONCLUSIONS: AEs are poorly defined in the context  of psychedelic treatments and are probably underreported in the literature due to  study design (lack of systematic assessment of AEs) and sample selection. Acute  challenging experiences may be therapeutically meaningful, but a better  understanding of AEs in the context of psychedelic treatments requires systematic  and detailed reporting.","container-title":"Journal of psychopharmacology (Oxford, England)","DOI":"10.1177/02698811221116926","ISSN":"1461-7285 0269-8811","issue":"10","journalAbbreviation":"J Psychopharmacol","language":"eng","note":"publisher-place: United States","page":"1100-1117","PMID":"36017784","PMCID":"PMC9548934","title":"Adverse events in clinical treatments with serotonergic psychedelics and MDMA: A mixed-methods systematic review.","volume":"36","author":[{"family":"Breeksema","given":"Joost J."},{"family":"Kuin","given":"Bouwe W."},{"family":"Kamphuis","given":"Jeanine"},{"family":"Brink","given":"Wim","non-dropping-particle":"van den"},{"family":"Vermetten","given":"Eric"},{"family":"Schoevers","given":"Robert A."}],"issued":{"date-parts":[["2022",10]]}}},{"id":75,"uris":["http://zotero.org/users/4564126/items/D4ZSN2VH"],"itemData":{"id":75,"type":"article-journal","abstract":"IMPORTANCE: A clear and comprehensive understanding of risks associated with psychedelic-assisted therapy is necessary as investigators extend its application  to new populations and indications. OBJECTIVE: To assess adverse events (AEs)  associated with classic psychedelics, particularly serious AEs (SAEs) and  nonserious AEs (NSAEs) requiring medical or psychiatric evaluation. DATA SOURCES:  The search for potentially eligible studies was conducted in the Scopus, MEDLINE,  PsycINFO, and Web of Science databases from inception through February 8, 2024.  STUDY SELECTION: Two independent reviewers screened articles of classic  psychedelics (lysergic acid diethylamide [LSD], psilocybin, dimethyltryptamine  [DMT], and 5-methoxy-N,N-dimethyltryptamine [5-MeO-DMT]) involving administration  in clinical or research contexts. DATA EXTRACTION AND SYNTHESIS: AE data were  extracted and synthesized by 2 reviewers and were used for random-effects  meta-analysis of AE frequency and heterogeneity. Risk of bias assessment focused  on AE ascertainment (eg, systematic assessment and quality of follow-up). MAIN  OUTCOMES AND MEASURES: A hybrid approach was used for capture of all reported AEs  following high-dose classic psychedelic exposure and confirmatory capture of AEs  of special interest, including suicidality, psychotic disorder, manic symptoms,  cardiovascular events, and hallucinogen persisting perception disorder. AEs were  stratified by timescale and study population type. Forest plots of common AEs  were generated, and the proportions of participants affected by SAEs or NSAEs  requiring medical intervention were summarized descriptively. RESULTS: A total of  214 unique studies were included, of which 114 (53.3%) reported analyzable AE  data for 3504 total participants. SAEs were reported for no healthy participants  and for approximately 4% of participants with preexisting neuropsychiatric  disorders; among these SAEs were worsening depression, suicidal behavior,  psychosis, and convulsive episodes. NSAEs requiring medical intervention (eg,  paranoia, headache) were similarly rare. In contemporary research settings, there  were no reports of deaths by suicide, persistent psychotic disorders, or  hallucinogen persisting perception disorders following administration of  high-dose classic psychedelics. However, there was significant heterogeneity in  the quality of AE monitoring and reporting. Of 68 analyzed studies published  since 2005, only 16 (23.5%) described systematic approaches to AE assessment, and  20 studies (29.4%) reported all AEs, as opposed to only adverse drug reactions.  Meta-analyses of prevalence for common AEs (eg, headache, anxiety, nausea,  fatigue, and dizziness) yielded comparable results for psilocybin and LSD.  CONCLUSIONS AND RELEVANCE: In this systematic review and meta-analysis, classic  psychedelics were generally well tolerated in clinical or research settings  according to the existing literature, although SAEs did occur. These results  provide estimates of common AE frequencies and indicate that certain catastrophic  events reported in recreational or nonclinical contexts have yet to be reported  in contemporary trial participants. Careful, ongoing, and improved  pharmacovigilance is required to understand the risk and benefit profiles of  these substances and to communicate such risks to prospective study participants  and the public.","container-title":"JAMA psychiatry","DOI":"10.1001/jamapsychiatry.2024.2546","ISSN":"2168-6238 2168-622X","issue":"12","journalAbbreviation":"JAMA Psychiatry","language":"eng","note":"publisher-place: United States","page":"1225-1235","PMID":"39230883","PMCID":"PMC11375525","title":"Adverse Events in Studies of Classic Psychedelics: A Systematic Review and Meta-Analysis.","volume":"81","author":[{"family":"Hinkle","given":"Jared T."},{"family":"Graziosi","given":"Marianna"},{"family":"Nayak","given":"Sandeep M."},{"family":"Yaden","given":"David B."}],"issued":{"date-parts":[["2024",12,1]]}}}],"schema":"https://github.com/citation-style-language/schema/raw/master/csl-citation.json"} </w:instrText>
      </w:r>
      <w:r w:rsidR="00C4252A">
        <w:rPr>
          <w:lang w:val="en-US"/>
        </w:rPr>
        <w:fldChar w:fldCharType="separate"/>
      </w:r>
      <w:r w:rsidR="00C4252A">
        <w:rPr>
          <w:noProof/>
          <w:lang w:val="en-US"/>
        </w:rPr>
        <w:t>(Breeksema et al., 2022; Hinkle et al., 2024)</w:t>
      </w:r>
      <w:r w:rsidR="00C4252A">
        <w:rPr>
          <w:lang w:val="en-US"/>
        </w:rPr>
        <w:fldChar w:fldCharType="end"/>
      </w:r>
      <w:r w:rsidRPr="007A17FC">
        <w:rPr>
          <w:lang w:val="en-US"/>
        </w:rPr>
        <w:t xml:space="preserve"> or </w:t>
      </w:r>
      <w:r w:rsidR="00682EED">
        <w:rPr>
          <w:lang w:val="en-US"/>
        </w:rPr>
        <w:t>substance</w:t>
      </w:r>
      <w:r w:rsidRPr="007A17FC">
        <w:rPr>
          <w:lang w:val="en-US"/>
        </w:rPr>
        <w:t xml:space="preserve">-specific summaries such as for MDMA </w:t>
      </w:r>
      <w:r w:rsidR="00C4252A">
        <w:rPr>
          <w:lang w:val="en-US"/>
        </w:rPr>
        <w:fldChar w:fldCharType="begin"/>
      </w:r>
      <w:r w:rsidR="00C4252A">
        <w:rPr>
          <w:lang w:val="en-US"/>
        </w:rPr>
        <w:instrText xml:space="preserve"> ADDIN ZOTERO_ITEM CSL_CITATION {"citationID":"g1F1arNv","properties":{"formattedCitation":"(Colcott et al., 2024)","plainCitation":"(Colcott et al., 2024)","noteIndex":0},"citationItems":[{"id":1419,"uris":["http://zotero.org/users/4564126/items/Q2ACQDPN"],"itemData":{"id":1419,"type":"article-journal","abstract":"Evidence suggests that MDMA-assisted psychotherapy (MDMA-AP) has therapeutic potential for treatment of psychiatric illness. We conducted the first  comprehensive systematic review and meta-analysis of the side effects of MDMA-AP  across indications. We also assessed the quality of side effects-reporting in  published trials of MDMA-AP. PubMed, EMBASE, PsycINFO, MEDLINE and Cochrane  Central Register of Controlled Trials (CENTRAL) were systematically searched.  Phase 2 and 3 MDMA-AP studies were included; Phase 1 studies, which assessed MDMA  without psychotherapy, were not. Quality of side effects-reporting was assessed  against the CONSORT Harms 2022 guidelines. We also compared numbers of adverse  events reported in publications to those recorded in ClinicalTrial.gov registers.  Thirteen studies were included, with eight contributing to the meta-analysis. In  Phase 2 studies, MDMA-AP was associated with increased odds of any side effect  during medication sessions (OR = 1.67, 95%CI (1.12, 2.49)) and in the 7 days  following (OR = 1.59, 95%CI (1.12, 2.24)) relative to control conditions. In  Phase 3 studies, MDMA-AP was associated with increased odds of any adverse event  during the treatment period relative to placebo-assisted psychotherapy  (OR = 3.51, 95%CI (2.76, 4.46)). The majority of RCTs were rated as having high  risk of bias. Certainty of the evidence was rated as very low to moderate  according to the GRADE framework. No included RCT had adequate adherence to the  CONSORT Harms 2022 recommendations and reporting rates were also low. Compared to  placebo, MDMA-AP was associated with increased odds of side effects, which were  largely transient and mild or moderate in severity. However, identified  limitations in existing evidence indicate that further investigation is needed to  better characterize the safety profile of MDMA-AP and guide implementation.","container-title":"Neuropsychopharmacology : official publication of the American College of Neuropsychopharmacology","DOI":"10.1038/s41386-024-01865-8","ISSN":"1740-634X 0893-133X","issue":"8","journalAbbreviation":"Neuropsychopharmacology","language":"eng","license":"© 2024. The Author(s).","note":"publisher-place: England","page":"1208-1226","PMID":"38654146","PMCID":"PMC11224236","title":"Side-effects of mdma-assisted psychotherapy: a systematic review and meta-analysis.","volume":"49","author":[{"family":"Colcott","given":"Julia"},{"family":"Guerin","given":"Alexandre A."},{"family":"Carter","given":"Olivia"},{"family":"Meikle","given":"Sally"},{"family":"Bedi","given":"Gillinder"}],"issued":{"date-parts":[["2024",7]]}}}],"schema":"https://github.com/citation-style-language/schema/raw/master/csl-citation.json"} </w:instrText>
      </w:r>
      <w:r w:rsidR="00C4252A">
        <w:rPr>
          <w:lang w:val="en-US"/>
        </w:rPr>
        <w:fldChar w:fldCharType="separate"/>
      </w:r>
      <w:r w:rsidR="00C4252A">
        <w:rPr>
          <w:noProof/>
          <w:lang w:val="en-US"/>
        </w:rPr>
        <w:t>(Colcott et al., 2024)</w:t>
      </w:r>
      <w:r w:rsidR="00C4252A">
        <w:rPr>
          <w:lang w:val="en-US"/>
        </w:rPr>
        <w:fldChar w:fldCharType="end"/>
      </w:r>
      <w:r w:rsidRPr="007A17FC">
        <w:rPr>
          <w:lang w:val="en-US"/>
        </w:rPr>
        <w:t xml:space="preserve"> without modelling how AE risk scales with dose. No cross-</w:t>
      </w:r>
      <w:r w:rsidR="00682EED">
        <w:rPr>
          <w:lang w:val="en-US"/>
        </w:rPr>
        <w:t>substance</w:t>
      </w:r>
      <w:r w:rsidRPr="007A17FC">
        <w:rPr>
          <w:lang w:val="en-US"/>
        </w:rPr>
        <w:t xml:space="preserve"> dose–response meta-analysis has quantified whether AEs rise linearly, follow nonlinear trajectories, manifest as threshold phenomena, or differ between acute (in-session) and post-acute (follow-up) windows. This gap is critical for risk-stratification, clinical implementation, risk-management and regulatory decision-making.</w:t>
      </w:r>
    </w:p>
    <w:p w14:paraId="48C12E3E" w14:textId="00D46889" w:rsidR="000829E4" w:rsidRPr="007A17FC" w:rsidRDefault="00A30C86" w:rsidP="00FC19AC">
      <w:pPr>
        <w:spacing w:before="240" w:after="240" w:line="360" w:lineRule="auto"/>
        <w:rPr>
          <w:b/>
          <w:bCs/>
          <w:sz w:val="34"/>
          <w:szCs w:val="34"/>
          <w:lang w:val="en-US"/>
        </w:rPr>
      </w:pPr>
      <w:r>
        <w:rPr>
          <w:lang w:val="en-US"/>
        </w:rPr>
        <w:t>Accordingly</w:t>
      </w:r>
      <w:r w:rsidR="00542108" w:rsidRPr="007A17FC">
        <w:rPr>
          <w:lang w:val="en-US"/>
        </w:rPr>
        <w:t>, we conducted the first cross-</w:t>
      </w:r>
      <w:r w:rsidR="00682EED">
        <w:rPr>
          <w:lang w:val="en-US"/>
        </w:rPr>
        <w:t>substance</w:t>
      </w:r>
      <w:r w:rsidR="00542108" w:rsidRPr="007A17FC">
        <w:rPr>
          <w:lang w:val="en-US"/>
        </w:rPr>
        <w:t xml:space="preserve"> dose–response meta-analysis of AEs across RCTs involving LSD, psilocybin, MDMA, and ayahuasca. Using </w:t>
      </w:r>
      <w:proofErr w:type="spellStart"/>
      <w:r w:rsidR="00542108" w:rsidRPr="007A17FC">
        <w:rPr>
          <w:lang w:val="en-US"/>
        </w:rPr>
        <w:t>harmonised</w:t>
      </w:r>
      <w:proofErr w:type="spellEnd"/>
      <w:r w:rsidR="00542108" w:rsidRPr="007A17FC">
        <w:rPr>
          <w:lang w:val="en-US"/>
        </w:rPr>
        <w:t xml:space="preserve"> AE terminology, standardized reference-arm selection, and linear or spline-based meta-regression, we quantified (1) </w:t>
      </w:r>
      <w:r w:rsidR="00682EED">
        <w:rPr>
          <w:lang w:val="en-US"/>
        </w:rPr>
        <w:t>substance</w:t>
      </w:r>
      <w:r w:rsidR="00542108" w:rsidRPr="007A17FC">
        <w:rPr>
          <w:lang w:val="en-US"/>
        </w:rPr>
        <w:t>-specific global dose–response functions, (2) AE-specific dose gradients, and (3) differential acute versus post-acute AE profiles. This analysis provides a comparative, dose-dependent safety framework to inform psychedelic-assisted therapy as it moves toward regulated clinical use.</w:t>
      </w:r>
    </w:p>
    <w:p w14:paraId="3617D917" w14:textId="77777777" w:rsidR="000829E4" w:rsidRPr="007A17FC" w:rsidRDefault="00542108">
      <w:pPr>
        <w:pStyle w:val="Titre2"/>
        <w:rPr>
          <w:lang w:val="en-US"/>
        </w:rPr>
      </w:pPr>
      <w:bookmarkStart w:id="4" w:name="_khc7fk2njxk9" w:colFirst="0" w:colLast="0"/>
      <w:bookmarkEnd w:id="4"/>
      <w:r w:rsidRPr="007A17FC">
        <w:rPr>
          <w:lang w:val="en-US"/>
        </w:rPr>
        <w:lastRenderedPageBreak/>
        <w:t>2. Methods</w:t>
      </w:r>
    </w:p>
    <w:p w14:paraId="4BF015A8" w14:textId="77777777" w:rsidR="000829E4" w:rsidRPr="007A17FC" w:rsidRDefault="00542108">
      <w:pPr>
        <w:pStyle w:val="Titre3"/>
        <w:keepNext w:val="0"/>
        <w:keepLines w:val="0"/>
        <w:rPr>
          <w:lang w:val="en-US"/>
        </w:rPr>
      </w:pPr>
      <w:bookmarkStart w:id="5" w:name="_tiebrw7imgch" w:colFirst="0" w:colLast="0"/>
      <w:bookmarkEnd w:id="5"/>
      <w:r w:rsidRPr="007A17FC">
        <w:rPr>
          <w:lang w:val="en-US"/>
        </w:rPr>
        <w:t>2.1 Study design and registration</w:t>
      </w:r>
    </w:p>
    <w:p w14:paraId="547BA0C0" w14:textId="2D603B2C" w:rsidR="000829E4" w:rsidRPr="007A17FC" w:rsidRDefault="00542108" w:rsidP="00FC19AC">
      <w:pPr>
        <w:spacing w:before="240" w:after="240" w:line="360" w:lineRule="auto"/>
        <w:rPr>
          <w:lang w:val="en-US"/>
        </w:rPr>
      </w:pPr>
      <w:r w:rsidRPr="007A17FC">
        <w:rPr>
          <w:lang w:val="en-US"/>
        </w:rPr>
        <w:t>This systematic review and dose–response meta-analysis was conducted in accordance with the PRISMA 2020 guidelines (Supplementary Information 1). The protocol was prospectively registered on PROSPERO in March 2025 (CRD42023399591). The present work builds on the dataset generated in the living systematic review by Højlund et al. (2025)</w:t>
      </w:r>
      <w:r w:rsidR="0090474B">
        <w:rPr>
          <w:lang w:val="en-US"/>
        </w:rPr>
        <w:t xml:space="preserve"> </w:t>
      </w:r>
      <w:commentRangeStart w:id="6"/>
      <w:r w:rsidRPr="007A17FC">
        <w:rPr>
          <w:lang w:val="en-US"/>
        </w:rPr>
        <w:t>and</w:t>
      </w:r>
      <w:commentRangeEnd w:id="6"/>
      <w:r w:rsidR="003E444A" w:rsidRPr="007A17FC">
        <w:rPr>
          <w:rStyle w:val="Marquedecommentaire"/>
          <w:sz w:val="24"/>
          <w:szCs w:val="24"/>
          <w:lang w:val="en-US"/>
        </w:rPr>
        <w:commentReference w:id="6"/>
      </w:r>
      <w:r w:rsidRPr="007A17FC">
        <w:rPr>
          <w:lang w:val="en-US"/>
        </w:rPr>
        <w:t xml:space="preserve"> incorporates an updated search performed by our team in November 2025. The complete PRISMA flow diagram for the initial study identification and selection process is available in the original publication </w:t>
      </w:r>
      <w:r w:rsidR="0090474B">
        <w:rPr>
          <w:lang w:val="en-US"/>
        </w:rPr>
        <w:fldChar w:fldCharType="begin"/>
      </w:r>
      <w:r w:rsidR="0090474B">
        <w:rPr>
          <w:lang w:val="en-US"/>
        </w:rPr>
        <w:instrText xml:space="preserve"> ADDIN ZOTERO_ITEM CSL_CITATION {"citationID":"KeQvKQaZ","properties":{"formattedCitation":"(H\\uc0\\u248{}jlund et al., 2025)","plainCitation":"(Højlund et al., 2025)","noteIndex":0},"citationItems":[{"id":3114,"uris":["http://zotero.org/users/4564126/items/LVT7ZESL"],"itemData":{"id":3114,"type":"article-journal","container-title":"European Neuropsychopharmacology","DOI":"10.1016/j.euroneuro.2025.09.011","ISSN":"0924-977X","page":"41–55","title":"Efficacy, all-cause discontinuation, and safety of serotonergic psychedelics and MDMA to treat mental disorders: A living systematic review with meta-analysis","volume":"101","author":[{"family":"Højlund","given":"Mikkel"},{"family":"Kafali","given":"Helin Y."},{"family":"Kırmızı","given":"Begüm"},{"family":"Fusar-Poli","given":"Paolo"},{"family":"Correll","given":"Christoph U."},{"family":"Cortese","given":"Samuele"},{"family":"Sabé","given":"Michel"},{"family":"Fiedorowicz","given":"Jess"},{"family":"Saraf","given":"Gayatri"},{"family":"Zein","given":"Josephine"},{"family":"Berk","given":"Michael"},{"family":"Husain","given":"Muhammad I."},{"family":"Rosenblat","given":"Joshua D."},{"family":"Rubaiyat","given":"Ruby"},{"family":"Corace","given":"Kim"},{"family":"Wong","given":"Stanley"},{"family":"Hatcher","given":"Simon"},{"family":"Kaluzienski","given":"Mark"},{"family":"Yatham","given":"Lakshmi N."},{"family":"Cipriani","given":"Andrea"},{"family":"Gosling","given":"Corentin J."},{"family":"Carhart-Harris","given":"Robin"},{"family":"Tanuseputro","given":"Peter"},{"family":"Myran","given":"Daniel T."},{"family":"Fabiano","given":"Nicholas"},{"family":"Moher","given":"David"},{"family":"Mayo","given":"Leah M."},{"family":"Nicholls","given":"Stuart G."},{"family":"White","given":"Tracy"},{"family":"De Prisco","given":"Michele"},{"family":"Radua","given":"Joaquim"},{"family":"Vieta","given":"Eduard"},{"family":"Ladha","given":"Karim S."},{"family":"Katz","given":"Jay"},{"family":"Veroniki","given":"Areti A."},{"family":"Solmi","given":"Marco"}],"issued":{"date-parts":[["2025"]]}}}],"schema":"https://github.com/citation-style-language/schema/raw/master/csl-citation.json"} </w:instrText>
      </w:r>
      <w:r w:rsidR="0090474B">
        <w:rPr>
          <w:lang w:val="en-US"/>
        </w:rPr>
        <w:fldChar w:fldCharType="separate"/>
      </w:r>
      <w:r w:rsidR="0090474B" w:rsidRPr="0090474B">
        <w:rPr>
          <w:lang w:val="fr-FR" w:eastAsia="en-US"/>
        </w:rPr>
        <w:t>(Højlund et al., 2025)</w:t>
      </w:r>
      <w:r w:rsidR="0090474B">
        <w:rPr>
          <w:lang w:val="en-US"/>
        </w:rPr>
        <w:fldChar w:fldCharType="end"/>
      </w:r>
      <w:r w:rsidRPr="007A17FC">
        <w:rPr>
          <w:lang w:val="en-US"/>
        </w:rPr>
        <w:t xml:space="preserve">. </w:t>
      </w:r>
    </w:p>
    <w:p w14:paraId="25D2D3F9" w14:textId="77777777" w:rsidR="000829E4" w:rsidRPr="007A17FC" w:rsidRDefault="00542108">
      <w:pPr>
        <w:pStyle w:val="Titre3"/>
        <w:keepNext w:val="0"/>
        <w:keepLines w:val="0"/>
        <w:rPr>
          <w:lang w:val="en-US"/>
        </w:rPr>
      </w:pPr>
      <w:bookmarkStart w:id="7" w:name="_u2kn0cqsyrb1" w:colFirst="0" w:colLast="0"/>
      <w:bookmarkEnd w:id="7"/>
      <w:r w:rsidRPr="007A17FC">
        <w:rPr>
          <w:lang w:val="en-US"/>
        </w:rPr>
        <w:t>2.2 Literature search strategy</w:t>
      </w:r>
    </w:p>
    <w:p w14:paraId="241AB25A" w14:textId="53AC3098" w:rsidR="000829E4" w:rsidRPr="007A17FC" w:rsidRDefault="00542108" w:rsidP="00FC19AC">
      <w:pPr>
        <w:spacing w:before="240" w:after="240" w:line="360" w:lineRule="auto"/>
        <w:rPr>
          <w:lang w:val="en-US"/>
        </w:rPr>
      </w:pPr>
      <w:r w:rsidRPr="007A17FC">
        <w:rPr>
          <w:lang w:val="en-US"/>
        </w:rPr>
        <w:t>The primary literature search was originally conducted by Højlund et al. (2025), who systematically screened Medline, Scopus, and the Cochrane Central Register of Controlled Trials from inception to July 8, 2025</w:t>
      </w:r>
      <w:r w:rsidR="00CB1243">
        <w:rPr>
          <w:lang w:val="en-US"/>
        </w:rPr>
        <w:t>. The full list of search terms is available in supplementary materials (</w:t>
      </w:r>
      <w:r w:rsidR="00FC19AC" w:rsidRPr="00ED51BD">
        <w:rPr>
          <w:rFonts w:ascii="Arial" w:hAnsi="Arial" w:cs="Arial"/>
          <w:color w:val="000000"/>
          <w:sz w:val="22"/>
          <w:szCs w:val="22"/>
          <w:lang w:val="en-US"/>
        </w:rPr>
        <w:t>Supplementary Methods S1</w:t>
      </w:r>
      <w:r w:rsidR="00CB1243">
        <w:rPr>
          <w:lang w:val="en-US"/>
        </w:rPr>
        <w:t xml:space="preserve">) </w:t>
      </w:r>
    </w:p>
    <w:p w14:paraId="2F38F7B2" w14:textId="77B0CC29" w:rsidR="000829E4" w:rsidRPr="007A17FC" w:rsidRDefault="00FC19AC" w:rsidP="00FC19AC">
      <w:pPr>
        <w:spacing w:before="240" w:after="240" w:line="360" w:lineRule="auto"/>
        <w:rPr>
          <w:lang w:val="en-US"/>
        </w:rPr>
      </w:pPr>
      <w:r>
        <w:rPr>
          <w:lang w:val="en-US"/>
        </w:rPr>
        <w:t>T</w:t>
      </w:r>
      <w:r w:rsidR="00542108" w:rsidRPr="007A17FC">
        <w:rPr>
          <w:lang w:val="en-US"/>
        </w:rPr>
        <w:t>he present meta-analysis, all studies identified in the original search were imported, and the search was updated in November 2025 to ensure that no additional RCTs reporting adverse events were missed. Two reviewers (ME, MS) independently re-screened all previously identified trials to determine whether they contained extractable adverse-event data suitable for dose–response modelling. Reference lists of eligible trials and relevant systematic reviews were also examined to identify any additional studies.</w:t>
      </w:r>
    </w:p>
    <w:p w14:paraId="378328B4" w14:textId="77777777" w:rsidR="000829E4" w:rsidRPr="007A17FC" w:rsidRDefault="00542108" w:rsidP="00FC19AC">
      <w:pPr>
        <w:pStyle w:val="Titre3"/>
        <w:keepNext w:val="0"/>
        <w:keepLines w:val="0"/>
        <w:rPr>
          <w:lang w:val="en-US"/>
        </w:rPr>
      </w:pPr>
      <w:bookmarkStart w:id="8" w:name="_ico7fhpoeyag" w:colFirst="0" w:colLast="0"/>
      <w:bookmarkEnd w:id="8"/>
      <w:r w:rsidRPr="007A17FC">
        <w:rPr>
          <w:lang w:val="en-US"/>
        </w:rPr>
        <w:t>2.3 Eligibility criteria and study selection</w:t>
      </w:r>
    </w:p>
    <w:p w14:paraId="3DBD4E58" w14:textId="366FF0AD" w:rsidR="000829E4" w:rsidRPr="007A17FC" w:rsidRDefault="00542108" w:rsidP="00FC19AC">
      <w:pPr>
        <w:spacing w:before="240" w:after="240" w:line="360" w:lineRule="auto"/>
        <w:rPr>
          <w:lang w:val="en-US"/>
        </w:rPr>
      </w:pPr>
      <w:r w:rsidRPr="007A17FC">
        <w:rPr>
          <w:lang w:val="en-US"/>
        </w:rPr>
        <w:t>The initial eligibility assessment including title/abstract screening, full-text review, and extraction of efficacy and safety endpoints was performed as part of the original PRISMA systematic review by Højlund et al. (2025)</w:t>
      </w:r>
      <w:r w:rsidR="000830F2">
        <w:rPr>
          <w:lang w:val="en-US"/>
        </w:rPr>
        <w:t xml:space="preserve"> (Supplementary Figure 1)</w:t>
      </w:r>
      <w:r w:rsidRPr="007A17FC">
        <w:rPr>
          <w:lang w:val="en-US"/>
        </w:rPr>
        <w:t>, in which at least two reviewers independently evaluated each record and resolved discrepancies through consensus.</w:t>
      </w:r>
    </w:p>
    <w:p w14:paraId="22734E5A" w14:textId="1810FBF8" w:rsidR="000829E4" w:rsidRPr="007A17FC" w:rsidRDefault="00542108" w:rsidP="00FC19AC">
      <w:pPr>
        <w:spacing w:before="240" w:after="240" w:line="360" w:lineRule="auto"/>
        <w:rPr>
          <w:lang w:val="en-US"/>
        </w:rPr>
      </w:pPr>
      <w:r w:rsidRPr="007A17FC">
        <w:rPr>
          <w:lang w:val="en-US"/>
        </w:rPr>
        <w:lastRenderedPageBreak/>
        <w:t xml:space="preserve">For the present dose–response analysis, we re-applied eligibility criteria specifically focused on </w:t>
      </w:r>
      <w:r w:rsidR="00CB1243">
        <w:rPr>
          <w:lang w:val="en-US"/>
        </w:rPr>
        <w:t xml:space="preserve">AE </w:t>
      </w:r>
      <w:r w:rsidRPr="007A17FC">
        <w:rPr>
          <w:lang w:val="en-US"/>
        </w:rPr>
        <w:t>extractability. Two reviewers (ME, MS) independently screened all previously included RCTs to identify those reporting arm-level AE frequencies that could be used for meta-analytic modelling. Trials that did not report AEs, or did so in non-extractable formats, were excluded.</w:t>
      </w:r>
    </w:p>
    <w:p w14:paraId="3C919801" w14:textId="77777777" w:rsidR="000829E4" w:rsidRPr="007A17FC" w:rsidRDefault="00542108" w:rsidP="00FC19AC">
      <w:pPr>
        <w:spacing w:before="240" w:after="240" w:line="360" w:lineRule="auto"/>
        <w:rPr>
          <w:lang w:val="en-US"/>
        </w:rPr>
      </w:pPr>
      <w:r w:rsidRPr="007A17FC">
        <w:rPr>
          <w:lang w:val="en-US"/>
        </w:rPr>
        <w:t xml:space="preserve">From the subset of eligible RCTs, arm-level AE counts, intervention doses, and time-window classifications (session vs. follow-up) were verified directly from the original publications. Additional variables required for the present analysis including reference-arm designation and harmonized AE terminology were newly curated by the current authors. Disagreements in AE coding or extraction were resolved through consensus (ME, MS, </w:t>
      </w:r>
      <w:proofErr w:type="spellStart"/>
      <w:r w:rsidRPr="007A17FC">
        <w:rPr>
          <w:lang w:val="en-US"/>
        </w:rPr>
        <w:t>MSo</w:t>
      </w:r>
      <w:proofErr w:type="spellEnd"/>
      <w:r w:rsidRPr="007A17FC">
        <w:rPr>
          <w:lang w:val="en-US"/>
        </w:rPr>
        <w:t>). All data were processed using a reproducible R workflow described below.</w:t>
      </w:r>
    </w:p>
    <w:p w14:paraId="4CD640CB" w14:textId="74CD3CEE" w:rsidR="00CD0DB3" w:rsidRPr="00CD0DB3" w:rsidRDefault="00542108" w:rsidP="00CD0DB3">
      <w:pPr>
        <w:spacing w:after="240"/>
        <w:rPr>
          <w:lang w:val="en-US"/>
        </w:rPr>
      </w:pPr>
      <w:bookmarkStart w:id="9" w:name="_9hu8k61be85y" w:colFirst="0" w:colLast="0"/>
      <w:bookmarkEnd w:id="9"/>
      <w:r w:rsidRPr="00CD0DB3">
        <w:rPr>
          <w:b/>
          <w:bCs/>
          <w:lang w:val="en-US"/>
        </w:rPr>
        <w:t>2.4 Statistical analysis</w:t>
      </w:r>
    </w:p>
    <w:p w14:paraId="4DB34816" w14:textId="77777777" w:rsidR="00CD0DB3" w:rsidRPr="00CD0DB3" w:rsidRDefault="00CD0DB3" w:rsidP="00FC19AC">
      <w:pPr>
        <w:spacing w:after="240" w:line="360" w:lineRule="auto"/>
        <w:rPr>
          <w:lang w:val="en-US"/>
        </w:rPr>
      </w:pPr>
      <w:bookmarkStart w:id="10" w:name="_qkbr113iamdc" w:colFirst="0" w:colLast="0"/>
      <w:bookmarkEnd w:id="10"/>
      <w:r w:rsidRPr="00CD0DB3">
        <w:rPr>
          <w:lang w:val="en-US"/>
        </w:rPr>
        <w:t xml:space="preserve">Raw datasets were imported into R through a fully reproducible analysis </w:t>
      </w:r>
      <w:commentRangeStart w:id="11"/>
      <w:commentRangeStart w:id="12"/>
      <w:r w:rsidRPr="00CD0DB3">
        <w:rPr>
          <w:lang w:val="en-US"/>
        </w:rPr>
        <w:t>pipeline</w:t>
      </w:r>
      <w:commentRangeEnd w:id="11"/>
      <w:r w:rsidR="00155F16" w:rsidRPr="00CD0DB3">
        <w:rPr>
          <w:rStyle w:val="Marquedecommentaire"/>
          <w:sz w:val="24"/>
          <w:szCs w:val="24"/>
          <w:lang w:val="en-US"/>
        </w:rPr>
        <w:commentReference w:id="11"/>
      </w:r>
      <w:commentRangeEnd w:id="12"/>
      <w:r w:rsidR="00C97945">
        <w:rPr>
          <w:rStyle w:val="Marquedecommentaire"/>
          <w:lang w:val="fr" w:eastAsia="en-US"/>
        </w:rPr>
        <w:commentReference w:id="12"/>
      </w:r>
      <w:r w:rsidRPr="00CD0DB3">
        <w:rPr>
          <w:lang w:val="en-US"/>
        </w:rPr>
        <w:t xml:space="preserve">. Comparator arms were </w:t>
      </w:r>
      <w:proofErr w:type="spellStart"/>
      <w:r w:rsidRPr="00CD0DB3">
        <w:rPr>
          <w:lang w:val="en-US"/>
        </w:rPr>
        <w:t>harmonised</w:t>
      </w:r>
      <w:proofErr w:type="spellEnd"/>
      <w:r w:rsidRPr="00CD0DB3">
        <w:rPr>
          <w:lang w:val="en-US"/>
        </w:rPr>
        <w:t xml:space="preserve"> into inactive placebo, active placebo, or active non-psychedelic control. When arm type was not explicitly reported, zero-dose arms labelled as “placebo” were classified as inactive placebo; all remaining arms were treated as active. Within each substance-by-study subset, reference arms were selected using a predefined hierarchy </w:t>
      </w:r>
      <w:proofErr w:type="spellStart"/>
      <w:r w:rsidRPr="00CD0DB3">
        <w:rPr>
          <w:lang w:val="en-US"/>
        </w:rPr>
        <w:t>prioritising</w:t>
      </w:r>
      <w:proofErr w:type="spellEnd"/>
      <w:r w:rsidRPr="00CD0DB3">
        <w:rPr>
          <w:lang w:val="en-US"/>
        </w:rPr>
        <w:t xml:space="preserve"> inactive placebo, followed by active placebo, and then the lowest active psychedelic </w:t>
      </w:r>
      <w:commentRangeStart w:id="13"/>
      <w:commentRangeStart w:id="14"/>
      <w:r w:rsidRPr="00CD0DB3">
        <w:rPr>
          <w:lang w:val="en-US"/>
        </w:rPr>
        <w:t>dose</w:t>
      </w:r>
      <w:commentRangeEnd w:id="13"/>
      <w:r w:rsidR="00704E0E" w:rsidRPr="00CD0DB3">
        <w:rPr>
          <w:rStyle w:val="Marquedecommentaire"/>
          <w:sz w:val="24"/>
          <w:szCs w:val="24"/>
          <w:lang w:val="en-US"/>
        </w:rPr>
        <w:commentReference w:id="13"/>
      </w:r>
      <w:commentRangeEnd w:id="14"/>
      <w:r w:rsidR="00C97945">
        <w:rPr>
          <w:rStyle w:val="Marquedecommentaire"/>
          <w:lang w:val="fr" w:eastAsia="en-US"/>
        </w:rPr>
        <w:commentReference w:id="14"/>
      </w:r>
      <w:r w:rsidRPr="00CD0DB3">
        <w:rPr>
          <w:lang w:val="en-US"/>
        </w:rPr>
        <w:t>.</w:t>
      </w:r>
    </w:p>
    <w:p w14:paraId="6E05F86F" w14:textId="2A0BC63A" w:rsidR="00CD0DB3" w:rsidRPr="00CD0DB3" w:rsidRDefault="00CD0DB3" w:rsidP="00FC19AC">
      <w:pPr>
        <w:spacing w:after="240" w:line="360" w:lineRule="auto"/>
      </w:pPr>
      <w:r w:rsidRPr="00CD0DB3">
        <w:rPr>
          <w:lang w:val="en-US"/>
        </w:rPr>
        <w:t xml:space="preserve">Arm-level adverse-event (AE) data were </w:t>
      </w:r>
      <w:proofErr w:type="spellStart"/>
      <w:r w:rsidRPr="00CD0DB3">
        <w:rPr>
          <w:lang w:val="en-US"/>
        </w:rPr>
        <w:t>harmonised</w:t>
      </w:r>
      <w:proofErr w:type="spellEnd"/>
      <w:r w:rsidRPr="00CD0DB3">
        <w:rPr>
          <w:lang w:val="en-US"/>
        </w:rPr>
        <w:t xml:space="preserve"> and transformed into 2×2 contingency tables contrasting each active dose with its designated reference arm. Odds ratios were computed using the </w:t>
      </w:r>
      <w:proofErr w:type="spellStart"/>
      <w:r w:rsidRPr="00C97945">
        <w:rPr>
          <w:i/>
          <w:iCs/>
          <w:lang w:val="en-US"/>
        </w:rPr>
        <w:t>escalc</w:t>
      </w:r>
      <w:proofErr w:type="spellEnd"/>
      <w:r w:rsidRPr="00CD0DB3">
        <w:rPr>
          <w:lang w:val="en-US"/>
        </w:rPr>
        <w:t xml:space="preserve"> function from the </w:t>
      </w:r>
      <w:proofErr w:type="spellStart"/>
      <w:r w:rsidRPr="00C97945">
        <w:rPr>
          <w:i/>
          <w:iCs/>
          <w:lang w:val="en-US"/>
        </w:rPr>
        <w:t>metafor</w:t>
      </w:r>
      <w:proofErr w:type="spellEnd"/>
      <w:r w:rsidRPr="00CD0DB3">
        <w:rPr>
          <w:lang w:val="en-US"/>
        </w:rPr>
        <w:t xml:space="preserve"> package </w:t>
      </w:r>
      <w:r w:rsidR="0090474B">
        <w:rPr>
          <w:lang w:val="en-US"/>
        </w:rPr>
        <w:fldChar w:fldCharType="begin"/>
      </w:r>
      <w:r w:rsidR="0090474B">
        <w:rPr>
          <w:lang w:val="en-US"/>
        </w:rPr>
        <w:instrText xml:space="preserve"> ADDIN ZOTERO_ITEM CSL_CITATION {"citationID":"1Bb2uQDj","properties":{"formattedCitation":"(Viechtbauer, 2010)","plainCitation":"(Viechtbauer, 2010)","noteIndex":0},"citationItems":[{"id":3148,"uris":["http://zotero.org/users/4564126/items/SR32N5Z3"],"itemData":{"id":3148,"type":"article-journal","container-title":"Journal of Statistical Software","DOI":"10.18637/jss.v036.i03","issue":"3","page":"1–48","title":"Conducting Meta-Analyses in R with the metafor Package","volume":"36","author":[{"family":"Viechtbauer","given":"Wolfgang"}],"issued":{"date-parts":[["2010"]]}}}],"schema":"https://github.com/citation-style-language/schema/raw/master/csl-citation.json"} </w:instrText>
      </w:r>
      <w:r w:rsidR="0090474B">
        <w:rPr>
          <w:lang w:val="en-US"/>
        </w:rPr>
        <w:fldChar w:fldCharType="separate"/>
      </w:r>
      <w:r w:rsidR="0090474B">
        <w:rPr>
          <w:noProof/>
          <w:lang w:val="en-US"/>
        </w:rPr>
        <w:t>(Viechtbauer, 2010)</w:t>
      </w:r>
      <w:r w:rsidR="0090474B">
        <w:rPr>
          <w:lang w:val="en-US"/>
        </w:rPr>
        <w:fldChar w:fldCharType="end"/>
      </w:r>
      <w:r w:rsidR="0090474B">
        <w:rPr>
          <w:lang w:val="en-US"/>
        </w:rPr>
        <w:t xml:space="preserve"> </w:t>
      </w:r>
      <w:r w:rsidRPr="00CD0DB3">
        <w:rPr>
          <w:lang w:val="en-US"/>
        </w:rPr>
        <w:t xml:space="preserve">applying a Haldane–Anscombe correction (0.5) only in the presence of zero-cell counts </w:t>
      </w:r>
      <w:r w:rsidR="0090474B">
        <w:rPr>
          <w:lang w:val="en-US"/>
        </w:rPr>
        <w:fldChar w:fldCharType="begin"/>
      </w:r>
      <w:r w:rsidR="0090474B">
        <w:rPr>
          <w:lang w:val="en-US"/>
        </w:rPr>
        <w:instrText xml:space="preserve"> ADDIN ZOTERO_ITEM CSL_CITATION {"citationID":"R5mkNbu4","properties":{"formattedCitation":"(Fleiss, 1994)","plainCitation":"(Fleiss, 1994)","noteIndex":0},"citationItems":[{"id":3149,"uris":["http://zotero.org/users/4564126/items/77DQ7KQX"],"itemData":{"id":3149,"type":"book","edition":"2","event-place":"New York","publisher":"Wiley","publisher-place":"New York","title":"Statistical Methods for Rates and Proportions","author":[{"family":"Fleiss","given":"Joseph L."}],"issued":{"date-parts":[["1994"]]}}}],"schema":"https://github.com/citation-style-language/schema/raw/master/csl-citation.json"} </w:instrText>
      </w:r>
      <w:r w:rsidR="0090474B">
        <w:rPr>
          <w:lang w:val="en-US"/>
        </w:rPr>
        <w:fldChar w:fldCharType="separate"/>
      </w:r>
      <w:r w:rsidR="0090474B">
        <w:rPr>
          <w:noProof/>
          <w:lang w:val="en-US"/>
        </w:rPr>
        <w:t>(Fleiss, 1994)</w:t>
      </w:r>
      <w:r w:rsidR="0090474B">
        <w:rPr>
          <w:lang w:val="en-US"/>
        </w:rPr>
        <w:fldChar w:fldCharType="end"/>
      </w:r>
      <w:r w:rsidRPr="00CD0DB3">
        <w:rPr>
          <w:lang w:val="en-US"/>
        </w:rPr>
        <w:t xml:space="preserve">. </w:t>
      </w:r>
      <w:proofErr w:type="spellStart"/>
      <w:r w:rsidRPr="00CD0DB3">
        <w:t>Resulting</w:t>
      </w:r>
      <w:proofErr w:type="spellEnd"/>
      <w:r w:rsidRPr="00CD0DB3">
        <w:t xml:space="preserve"> log-</w:t>
      </w:r>
      <w:proofErr w:type="spellStart"/>
      <w:r w:rsidRPr="00CD0DB3">
        <w:t>odds</w:t>
      </w:r>
      <w:proofErr w:type="spellEnd"/>
      <w:r w:rsidRPr="00CD0DB3">
        <w:t xml:space="preserve"> ratios (yi) and sampling variances (vi) </w:t>
      </w:r>
      <w:proofErr w:type="spellStart"/>
      <w:r w:rsidRPr="00CD0DB3">
        <w:t>retained</w:t>
      </w:r>
      <w:proofErr w:type="spellEnd"/>
      <w:r w:rsidRPr="00CD0DB3">
        <w:t xml:space="preserve"> information on active dose, </w:t>
      </w:r>
      <w:proofErr w:type="spellStart"/>
      <w:r w:rsidRPr="00CD0DB3">
        <w:t>reference</w:t>
      </w:r>
      <w:proofErr w:type="spellEnd"/>
      <w:r w:rsidRPr="00CD0DB3">
        <w:t xml:space="preserve"> dose, dose </w:t>
      </w:r>
      <w:proofErr w:type="spellStart"/>
      <w:r w:rsidRPr="00CD0DB3">
        <w:t>difference</w:t>
      </w:r>
      <w:proofErr w:type="spellEnd"/>
      <w:r w:rsidRPr="00CD0DB3">
        <w:t xml:space="preserve">, substance, AE </w:t>
      </w:r>
      <w:proofErr w:type="spellStart"/>
      <w:r w:rsidRPr="00CD0DB3">
        <w:t>term</w:t>
      </w:r>
      <w:proofErr w:type="spellEnd"/>
      <w:r w:rsidRPr="00CD0DB3">
        <w:t xml:space="preserve">, </w:t>
      </w:r>
      <w:proofErr w:type="spellStart"/>
      <w:r w:rsidRPr="00CD0DB3">
        <w:t>study</w:t>
      </w:r>
      <w:proofErr w:type="spellEnd"/>
      <w:r w:rsidRPr="00CD0DB3">
        <w:t xml:space="preserve"> identifier, and time </w:t>
      </w:r>
      <w:proofErr w:type="spellStart"/>
      <w:r w:rsidRPr="00CD0DB3">
        <w:t>window</w:t>
      </w:r>
      <w:proofErr w:type="spellEnd"/>
      <w:r w:rsidRPr="00CD0DB3">
        <w:t xml:space="preserve"> (session vs follow-up).</w:t>
      </w:r>
    </w:p>
    <w:p w14:paraId="2A37C724" w14:textId="517F2CEC" w:rsidR="00CD0DB3" w:rsidRPr="00CD0DB3" w:rsidRDefault="00CD0DB3" w:rsidP="00FC19AC">
      <w:pPr>
        <w:spacing w:after="240" w:line="360" w:lineRule="auto"/>
      </w:pPr>
      <w:proofErr w:type="spellStart"/>
      <w:r w:rsidRPr="00CD0DB3">
        <w:t>Random-effects</w:t>
      </w:r>
      <w:proofErr w:type="spellEnd"/>
      <w:r w:rsidRPr="00CD0DB3">
        <w:t xml:space="preserve"> </w:t>
      </w:r>
      <w:proofErr w:type="spellStart"/>
      <w:r w:rsidRPr="00CD0DB3">
        <w:t>meta</w:t>
      </w:r>
      <w:proofErr w:type="spellEnd"/>
      <w:r w:rsidRPr="00CD0DB3">
        <w:t xml:space="preserve">-analyses </w:t>
      </w:r>
      <w:proofErr w:type="spellStart"/>
      <w:r w:rsidRPr="00CD0DB3">
        <w:t>using</w:t>
      </w:r>
      <w:proofErr w:type="spellEnd"/>
      <w:r w:rsidRPr="00CD0DB3">
        <w:t xml:space="preserve"> </w:t>
      </w:r>
      <w:proofErr w:type="spellStart"/>
      <w:r w:rsidRPr="00CD0DB3">
        <w:t>restricted</w:t>
      </w:r>
      <w:proofErr w:type="spellEnd"/>
      <w:r w:rsidRPr="00CD0DB3">
        <w:t xml:space="preserve"> maximum </w:t>
      </w:r>
      <w:proofErr w:type="spellStart"/>
      <w:r w:rsidRPr="00CD0DB3">
        <w:t>likelihood</w:t>
      </w:r>
      <w:proofErr w:type="spellEnd"/>
      <w:r w:rsidRPr="00CD0DB3">
        <w:t xml:space="preserve"> (REML) </w:t>
      </w:r>
      <w:proofErr w:type="spellStart"/>
      <w:r w:rsidRPr="00CD0DB3">
        <w:t>were</w:t>
      </w:r>
      <w:proofErr w:type="spellEnd"/>
      <w:r w:rsidRPr="00CD0DB3">
        <w:t xml:space="preserve"> </w:t>
      </w:r>
      <w:proofErr w:type="spellStart"/>
      <w:r w:rsidRPr="00CD0DB3">
        <w:t>conducted</w:t>
      </w:r>
      <w:proofErr w:type="spellEnd"/>
      <w:r w:rsidRPr="00CD0DB3">
        <w:t xml:space="preserve"> to </w:t>
      </w:r>
      <w:proofErr w:type="spellStart"/>
      <w:r w:rsidRPr="00CD0DB3">
        <w:t>estimate</w:t>
      </w:r>
      <w:proofErr w:type="spellEnd"/>
      <w:r w:rsidRPr="00CD0DB3">
        <w:t xml:space="preserve"> </w:t>
      </w:r>
      <w:proofErr w:type="spellStart"/>
      <w:r w:rsidRPr="00CD0DB3">
        <w:t>pooled</w:t>
      </w:r>
      <w:proofErr w:type="spellEnd"/>
      <w:r w:rsidRPr="00CD0DB3">
        <w:t xml:space="preserve"> AE </w:t>
      </w:r>
      <w:proofErr w:type="spellStart"/>
      <w:r w:rsidRPr="00CD0DB3">
        <w:t>effects</w:t>
      </w:r>
      <w:proofErr w:type="spellEnd"/>
      <w:r w:rsidRPr="00CD0DB3">
        <w:t xml:space="preserve"> at </w:t>
      </w:r>
      <w:proofErr w:type="spellStart"/>
      <w:r w:rsidRPr="00CD0DB3">
        <w:t>both</w:t>
      </w:r>
      <w:proofErr w:type="spellEnd"/>
      <w:r w:rsidRPr="00CD0DB3">
        <w:t xml:space="preserve"> the global and AE-</w:t>
      </w:r>
      <w:proofErr w:type="spellStart"/>
      <w:r w:rsidRPr="00CD0DB3">
        <w:t>specific</w:t>
      </w:r>
      <w:proofErr w:type="spellEnd"/>
      <w:r w:rsidRPr="00CD0DB3">
        <w:t xml:space="preserve"> </w:t>
      </w:r>
      <w:proofErr w:type="spellStart"/>
      <w:r w:rsidRPr="00CD0DB3">
        <w:t>levels</w:t>
      </w:r>
      <w:proofErr w:type="spellEnd"/>
      <w:r w:rsidRPr="00CD0DB3">
        <w:t xml:space="preserve">. </w:t>
      </w:r>
      <w:proofErr w:type="spellStart"/>
      <w:r w:rsidRPr="00CD0DB3">
        <w:t>Between-study</w:t>
      </w:r>
      <w:proofErr w:type="spellEnd"/>
      <w:r w:rsidRPr="00CD0DB3">
        <w:t xml:space="preserve"> </w:t>
      </w:r>
      <w:proofErr w:type="spellStart"/>
      <w:r w:rsidRPr="00CD0DB3">
        <w:t>heterogeneity</w:t>
      </w:r>
      <w:proofErr w:type="spellEnd"/>
      <w:r w:rsidRPr="00CD0DB3">
        <w:t xml:space="preserve"> </w:t>
      </w:r>
      <w:proofErr w:type="spellStart"/>
      <w:r w:rsidRPr="00CD0DB3">
        <w:t>was</w:t>
      </w:r>
      <w:proofErr w:type="spellEnd"/>
      <w:r w:rsidRPr="00CD0DB3">
        <w:t xml:space="preserve"> </w:t>
      </w:r>
      <w:proofErr w:type="spellStart"/>
      <w:r w:rsidRPr="00CD0DB3">
        <w:t>quantified</w:t>
      </w:r>
      <w:proofErr w:type="spellEnd"/>
      <w:r w:rsidRPr="00CD0DB3">
        <w:t xml:space="preserve"> </w:t>
      </w:r>
      <w:proofErr w:type="spellStart"/>
      <w:r w:rsidRPr="00CD0DB3">
        <w:t>using</w:t>
      </w:r>
      <w:proofErr w:type="spellEnd"/>
      <w:r w:rsidRPr="00CD0DB3">
        <w:t xml:space="preserve"> τ² and I² </w:t>
      </w:r>
      <w:proofErr w:type="spellStart"/>
      <w:r w:rsidRPr="00CD0DB3">
        <w:t>statistics</w:t>
      </w:r>
      <w:proofErr w:type="spellEnd"/>
      <w:r w:rsidRPr="00CD0DB3">
        <w:t xml:space="preserve">. </w:t>
      </w:r>
      <w:proofErr w:type="spellStart"/>
      <w:r w:rsidRPr="00CD0DB3">
        <w:t>Given</w:t>
      </w:r>
      <w:proofErr w:type="spellEnd"/>
      <w:r w:rsidRPr="00CD0DB3">
        <w:t xml:space="preserve"> the </w:t>
      </w:r>
      <w:proofErr w:type="spellStart"/>
      <w:r w:rsidRPr="00CD0DB3">
        <w:t>limited</w:t>
      </w:r>
      <w:proofErr w:type="spellEnd"/>
      <w:r w:rsidRPr="00CD0DB3">
        <w:t xml:space="preserve"> </w:t>
      </w:r>
      <w:proofErr w:type="spellStart"/>
      <w:r w:rsidRPr="00CD0DB3">
        <w:t>number</w:t>
      </w:r>
      <w:proofErr w:type="spellEnd"/>
      <w:r w:rsidRPr="00CD0DB3">
        <w:t xml:space="preserve"> of </w:t>
      </w:r>
      <w:proofErr w:type="spellStart"/>
      <w:r w:rsidRPr="00CD0DB3">
        <w:t>contrasts</w:t>
      </w:r>
      <w:proofErr w:type="spellEnd"/>
      <w:r w:rsidRPr="00CD0DB3">
        <w:t xml:space="preserve"> for </w:t>
      </w:r>
      <w:proofErr w:type="spellStart"/>
      <w:r w:rsidRPr="00CD0DB3">
        <w:t>most</w:t>
      </w:r>
      <w:proofErr w:type="spellEnd"/>
      <w:r w:rsidRPr="00CD0DB3">
        <w:t xml:space="preserve"> AE-</w:t>
      </w:r>
      <w:proofErr w:type="spellStart"/>
      <w:r w:rsidRPr="00CD0DB3">
        <w:t>specific</w:t>
      </w:r>
      <w:proofErr w:type="spellEnd"/>
      <w:r w:rsidRPr="00CD0DB3">
        <w:t xml:space="preserve"> </w:t>
      </w:r>
      <w:proofErr w:type="spellStart"/>
      <w:r w:rsidRPr="00CD0DB3">
        <w:t>outcomes</w:t>
      </w:r>
      <w:proofErr w:type="spellEnd"/>
      <w:r w:rsidRPr="00CD0DB3">
        <w:t xml:space="preserve"> (</w:t>
      </w:r>
      <w:proofErr w:type="spellStart"/>
      <w:r w:rsidR="00791DDC">
        <w:t>mean</w:t>
      </w:r>
      <w:proofErr w:type="spellEnd"/>
      <w:r w:rsidR="00791DDC">
        <w:t xml:space="preserve"> k= </w:t>
      </w:r>
      <w:r w:rsidR="000D2B6D">
        <w:t>3.6</w:t>
      </w:r>
      <w:r w:rsidRPr="00CD0DB3">
        <w:t xml:space="preserve">), </w:t>
      </w:r>
      <w:proofErr w:type="spellStart"/>
      <w:r w:rsidRPr="00CD0DB3">
        <w:t>formal</w:t>
      </w:r>
      <w:proofErr w:type="spellEnd"/>
      <w:r w:rsidRPr="00CD0DB3">
        <w:t xml:space="preserve"> </w:t>
      </w:r>
      <w:proofErr w:type="spellStart"/>
      <w:r w:rsidRPr="00CD0DB3">
        <w:t>assessments</w:t>
      </w:r>
      <w:proofErr w:type="spellEnd"/>
      <w:r w:rsidRPr="00CD0DB3">
        <w:t xml:space="preserve"> of </w:t>
      </w:r>
      <w:proofErr w:type="spellStart"/>
      <w:r w:rsidRPr="00CD0DB3">
        <w:t>small-study</w:t>
      </w:r>
      <w:proofErr w:type="spellEnd"/>
      <w:r w:rsidRPr="00CD0DB3">
        <w:t xml:space="preserve"> </w:t>
      </w:r>
      <w:proofErr w:type="spellStart"/>
      <w:r w:rsidRPr="00CD0DB3">
        <w:t>effects</w:t>
      </w:r>
      <w:proofErr w:type="spellEnd"/>
      <w:r w:rsidRPr="00CD0DB3">
        <w:t xml:space="preserve"> </w:t>
      </w:r>
      <w:proofErr w:type="spellStart"/>
      <w:r w:rsidRPr="00CD0DB3">
        <w:t>were</w:t>
      </w:r>
      <w:proofErr w:type="spellEnd"/>
      <w:r w:rsidRPr="00CD0DB3">
        <w:t xml:space="preserve"> not </w:t>
      </w:r>
      <w:proofErr w:type="spellStart"/>
      <w:r w:rsidRPr="00CD0DB3">
        <w:t>performed</w:t>
      </w:r>
      <w:proofErr w:type="spellEnd"/>
      <w:r w:rsidRPr="00CD0DB3">
        <w:t>.</w:t>
      </w:r>
    </w:p>
    <w:p w14:paraId="177D26E2" w14:textId="15DF9505" w:rsidR="00CD0DB3" w:rsidRPr="00CD0DB3" w:rsidRDefault="00CD0DB3" w:rsidP="00FC19AC">
      <w:pPr>
        <w:spacing w:after="240" w:line="360" w:lineRule="auto"/>
      </w:pPr>
      <w:r w:rsidRPr="00CD0DB3">
        <w:lastRenderedPageBreak/>
        <w:t>Dose–</w:t>
      </w:r>
      <w:proofErr w:type="spellStart"/>
      <w:r w:rsidRPr="00CD0DB3">
        <w:t>response</w:t>
      </w:r>
      <w:proofErr w:type="spellEnd"/>
      <w:r w:rsidRPr="00CD0DB3">
        <w:t xml:space="preserve"> </w:t>
      </w:r>
      <w:proofErr w:type="spellStart"/>
      <w:r w:rsidRPr="00CD0DB3">
        <w:t>relationships</w:t>
      </w:r>
      <w:proofErr w:type="spellEnd"/>
      <w:r w:rsidRPr="00CD0DB3">
        <w:t xml:space="preserve"> </w:t>
      </w:r>
      <w:proofErr w:type="spellStart"/>
      <w:r w:rsidRPr="00CD0DB3">
        <w:t>were</w:t>
      </w:r>
      <w:proofErr w:type="spellEnd"/>
      <w:r w:rsidRPr="00CD0DB3">
        <w:t xml:space="preserve"> </w:t>
      </w:r>
      <w:proofErr w:type="spellStart"/>
      <w:r w:rsidRPr="00CD0DB3">
        <w:t>examined</w:t>
      </w:r>
      <w:proofErr w:type="spellEnd"/>
      <w:r w:rsidRPr="00CD0DB3">
        <w:t xml:space="preserve"> </w:t>
      </w:r>
      <w:proofErr w:type="spellStart"/>
      <w:r w:rsidRPr="00CD0DB3">
        <w:t>using</w:t>
      </w:r>
      <w:proofErr w:type="spellEnd"/>
      <w:r w:rsidRPr="00CD0DB3">
        <w:t xml:space="preserve"> </w:t>
      </w:r>
      <w:proofErr w:type="spellStart"/>
      <w:r w:rsidRPr="00CD0DB3">
        <w:t>random-effects</w:t>
      </w:r>
      <w:proofErr w:type="spellEnd"/>
      <w:r w:rsidRPr="00CD0DB3">
        <w:t xml:space="preserve"> </w:t>
      </w:r>
      <w:proofErr w:type="spellStart"/>
      <w:r w:rsidRPr="00CD0DB3">
        <w:t>meta-regression</w:t>
      </w:r>
      <w:proofErr w:type="spellEnd"/>
      <w:r w:rsidRPr="00CD0DB3">
        <w:t xml:space="preserve"> of arm-</w:t>
      </w:r>
      <w:proofErr w:type="spellStart"/>
      <w:r w:rsidRPr="00CD0DB3">
        <w:t>level</w:t>
      </w:r>
      <w:proofErr w:type="spellEnd"/>
      <w:r w:rsidRPr="00CD0DB3">
        <w:t xml:space="preserve"> log-</w:t>
      </w:r>
      <w:proofErr w:type="spellStart"/>
      <w:r w:rsidRPr="00CD0DB3">
        <w:t>odds</w:t>
      </w:r>
      <w:proofErr w:type="spellEnd"/>
      <w:r w:rsidRPr="00CD0DB3">
        <w:t xml:space="preserve"> ratios. </w:t>
      </w:r>
      <w:proofErr w:type="spellStart"/>
      <w:r w:rsidRPr="00CD0DB3">
        <w:t>Linear</w:t>
      </w:r>
      <w:proofErr w:type="spellEnd"/>
      <w:r w:rsidRPr="00CD0DB3">
        <w:t xml:space="preserve"> dose </w:t>
      </w:r>
      <w:proofErr w:type="spellStart"/>
      <w:r w:rsidRPr="00CD0DB3">
        <w:t>models</w:t>
      </w:r>
      <w:proofErr w:type="spellEnd"/>
      <w:r w:rsidRPr="00CD0DB3">
        <w:t xml:space="preserve"> </w:t>
      </w:r>
      <w:proofErr w:type="spellStart"/>
      <w:r w:rsidRPr="00CD0DB3">
        <w:t>were</w:t>
      </w:r>
      <w:proofErr w:type="spellEnd"/>
      <w:r w:rsidRPr="00CD0DB3">
        <w:t xml:space="preserve"> </w:t>
      </w:r>
      <w:proofErr w:type="spellStart"/>
      <w:r w:rsidRPr="00CD0DB3">
        <w:t>used</w:t>
      </w:r>
      <w:proofErr w:type="spellEnd"/>
      <w:r w:rsidRPr="00CD0DB3">
        <w:t xml:space="preserve"> as the </w:t>
      </w:r>
      <w:proofErr w:type="spellStart"/>
      <w:r w:rsidRPr="00CD0DB3">
        <w:t>primary</w:t>
      </w:r>
      <w:proofErr w:type="spellEnd"/>
      <w:r w:rsidRPr="00CD0DB3">
        <w:t xml:space="preserve"> </w:t>
      </w:r>
      <w:proofErr w:type="spellStart"/>
      <w:r w:rsidRPr="00CD0DB3">
        <w:t>framework</w:t>
      </w:r>
      <w:proofErr w:type="spellEnd"/>
      <w:r w:rsidRPr="00CD0DB3">
        <w:t xml:space="preserve"> for AE-</w:t>
      </w:r>
      <w:proofErr w:type="spellStart"/>
      <w:r w:rsidRPr="00CD0DB3">
        <w:t>specific</w:t>
      </w:r>
      <w:proofErr w:type="spellEnd"/>
      <w:r w:rsidRPr="00CD0DB3">
        <w:t xml:space="preserve"> analyses and for </w:t>
      </w:r>
      <w:proofErr w:type="spellStart"/>
      <w:r w:rsidRPr="00CD0DB3">
        <w:t>hypothesis</w:t>
      </w:r>
      <w:proofErr w:type="spellEnd"/>
      <w:r w:rsidRPr="00CD0DB3">
        <w:t xml:space="preserve"> </w:t>
      </w:r>
      <w:proofErr w:type="spellStart"/>
      <w:r w:rsidRPr="00CD0DB3">
        <w:t>testing</w:t>
      </w:r>
      <w:proofErr w:type="spellEnd"/>
      <w:r w:rsidRPr="00CD0DB3">
        <w:t xml:space="preserve">. </w:t>
      </w:r>
      <w:commentRangeStart w:id="15"/>
      <w:commentRangeStart w:id="16"/>
      <w:r w:rsidRPr="00CD0DB3">
        <w:t xml:space="preserve">Acute (session) and </w:t>
      </w:r>
      <w:proofErr w:type="spellStart"/>
      <w:r w:rsidRPr="00CD0DB3">
        <w:t>delayed</w:t>
      </w:r>
      <w:proofErr w:type="spellEnd"/>
      <w:r w:rsidRPr="00CD0DB3">
        <w:t xml:space="preserve"> (follow-up) </w:t>
      </w:r>
      <w:commentRangeEnd w:id="15"/>
      <w:r w:rsidR="00B776B0" w:rsidRPr="00CD0DB3">
        <w:rPr>
          <w:rStyle w:val="Marquedecommentaire"/>
          <w:sz w:val="24"/>
          <w:szCs w:val="24"/>
        </w:rPr>
        <w:commentReference w:id="15"/>
      </w:r>
      <w:commentRangeEnd w:id="16"/>
      <w:r w:rsidR="00C97945">
        <w:rPr>
          <w:rStyle w:val="Marquedecommentaire"/>
          <w:lang w:val="fr" w:eastAsia="en-US"/>
        </w:rPr>
        <w:commentReference w:id="16"/>
      </w:r>
      <w:proofErr w:type="spellStart"/>
      <w:r w:rsidRPr="00CD0DB3">
        <w:t>windows</w:t>
      </w:r>
      <w:proofErr w:type="spellEnd"/>
      <w:r w:rsidRPr="00CD0DB3">
        <w:t xml:space="preserve"> </w:t>
      </w:r>
      <w:proofErr w:type="spellStart"/>
      <w:r w:rsidRPr="00CD0DB3">
        <w:t>were</w:t>
      </w:r>
      <w:proofErr w:type="spellEnd"/>
      <w:r w:rsidRPr="00CD0DB3">
        <w:t xml:space="preserve"> </w:t>
      </w:r>
      <w:proofErr w:type="spellStart"/>
      <w:r w:rsidRPr="00CD0DB3">
        <w:t>analysed</w:t>
      </w:r>
      <w:proofErr w:type="spellEnd"/>
      <w:r w:rsidRPr="00CD0DB3">
        <w:t xml:space="preserve"> </w:t>
      </w:r>
      <w:proofErr w:type="spellStart"/>
      <w:r w:rsidRPr="00CD0DB3">
        <w:t>using</w:t>
      </w:r>
      <w:proofErr w:type="spellEnd"/>
      <w:r w:rsidRPr="00CD0DB3">
        <w:t xml:space="preserve"> </w:t>
      </w:r>
      <w:proofErr w:type="spellStart"/>
      <w:r w:rsidRPr="00CD0DB3">
        <w:t>stratified</w:t>
      </w:r>
      <w:proofErr w:type="spellEnd"/>
      <w:r w:rsidRPr="00CD0DB3">
        <w:t xml:space="preserve"> </w:t>
      </w:r>
      <w:proofErr w:type="spellStart"/>
      <w:r w:rsidRPr="00CD0DB3">
        <w:t>models</w:t>
      </w:r>
      <w:proofErr w:type="spellEnd"/>
      <w:r w:rsidRPr="00CD0DB3">
        <w:t xml:space="preserve"> or joint visualisation </w:t>
      </w:r>
      <w:proofErr w:type="spellStart"/>
      <w:r w:rsidRPr="00CD0DB3">
        <w:t>while</w:t>
      </w:r>
      <w:proofErr w:type="spellEnd"/>
      <w:r w:rsidRPr="00CD0DB3">
        <w:t xml:space="preserve"> </w:t>
      </w:r>
      <w:proofErr w:type="spellStart"/>
      <w:r w:rsidRPr="00CD0DB3">
        <w:t>preserving</w:t>
      </w:r>
      <w:proofErr w:type="spellEnd"/>
      <w:r w:rsidRPr="00CD0DB3">
        <w:t xml:space="preserve"> </w:t>
      </w:r>
      <w:proofErr w:type="spellStart"/>
      <w:r w:rsidRPr="00CD0DB3">
        <w:t>identical</w:t>
      </w:r>
      <w:proofErr w:type="spellEnd"/>
      <w:r w:rsidRPr="00CD0DB3">
        <w:t xml:space="preserve"> </w:t>
      </w:r>
      <w:proofErr w:type="spellStart"/>
      <w:r w:rsidRPr="00CD0DB3">
        <w:t>reference</w:t>
      </w:r>
      <w:proofErr w:type="spellEnd"/>
      <w:r w:rsidRPr="00CD0DB3">
        <w:t xml:space="preserve">-arm </w:t>
      </w:r>
      <w:proofErr w:type="spellStart"/>
      <w:r w:rsidRPr="00CD0DB3">
        <w:t>alignment</w:t>
      </w:r>
      <w:proofErr w:type="spellEnd"/>
      <w:r w:rsidRPr="00CD0DB3">
        <w:t>.</w:t>
      </w:r>
    </w:p>
    <w:p w14:paraId="15ADB963" w14:textId="58EF32AC" w:rsidR="00CD0DB3" w:rsidRPr="00CD0DB3" w:rsidRDefault="00CD0DB3" w:rsidP="00FC19AC">
      <w:pPr>
        <w:spacing w:after="240" w:line="360" w:lineRule="auto"/>
      </w:pPr>
      <w:proofErr w:type="spellStart"/>
      <w:r w:rsidRPr="00CD0DB3">
        <w:t>Restricted</w:t>
      </w:r>
      <w:proofErr w:type="spellEnd"/>
      <w:r w:rsidRPr="00CD0DB3">
        <w:t xml:space="preserve"> </w:t>
      </w:r>
      <w:proofErr w:type="spellStart"/>
      <w:r w:rsidRPr="00CD0DB3">
        <w:t>cubic</w:t>
      </w:r>
      <w:proofErr w:type="spellEnd"/>
      <w:r w:rsidRPr="00CD0DB3">
        <w:t xml:space="preserve"> </w:t>
      </w:r>
      <w:proofErr w:type="spellStart"/>
      <w:r w:rsidRPr="00CD0DB3">
        <w:t>spline</w:t>
      </w:r>
      <w:proofErr w:type="spellEnd"/>
      <w:r w:rsidRPr="00CD0DB3">
        <w:t xml:space="preserve"> </w:t>
      </w:r>
      <w:proofErr w:type="spellStart"/>
      <w:r w:rsidRPr="00CD0DB3">
        <w:t>models</w:t>
      </w:r>
      <w:proofErr w:type="spellEnd"/>
      <w:r w:rsidRPr="00CD0DB3">
        <w:t xml:space="preserve"> </w:t>
      </w:r>
      <w:proofErr w:type="spellStart"/>
      <w:r w:rsidRPr="00CD0DB3">
        <w:t>were</w:t>
      </w:r>
      <w:proofErr w:type="spellEnd"/>
      <w:r w:rsidRPr="00CD0DB3">
        <w:t xml:space="preserve"> </w:t>
      </w:r>
      <w:proofErr w:type="spellStart"/>
      <w:r w:rsidRPr="00CD0DB3">
        <w:t>additionally</w:t>
      </w:r>
      <w:proofErr w:type="spellEnd"/>
      <w:r w:rsidRPr="00CD0DB3">
        <w:t xml:space="preserve"> </w:t>
      </w:r>
      <w:proofErr w:type="spellStart"/>
      <w:r w:rsidRPr="00CD0DB3">
        <w:t>fitted</w:t>
      </w:r>
      <w:proofErr w:type="spellEnd"/>
      <w:r w:rsidRPr="00CD0DB3">
        <w:t xml:space="preserve"> for global AE </w:t>
      </w:r>
      <w:proofErr w:type="spellStart"/>
      <w:r w:rsidRPr="00CD0DB3">
        <w:t>outcomes</w:t>
      </w:r>
      <w:proofErr w:type="spellEnd"/>
      <w:r w:rsidRPr="00CD0DB3">
        <w:t xml:space="preserve"> </w:t>
      </w:r>
      <w:proofErr w:type="spellStart"/>
      <w:r w:rsidRPr="00CD0DB3">
        <w:t>when</w:t>
      </w:r>
      <w:proofErr w:type="spellEnd"/>
      <w:r w:rsidRPr="00CD0DB3">
        <w:t xml:space="preserve"> at least </w:t>
      </w:r>
      <w:proofErr w:type="spellStart"/>
      <w:r w:rsidRPr="00CD0DB3">
        <w:t>three</w:t>
      </w:r>
      <w:proofErr w:type="spellEnd"/>
      <w:r w:rsidRPr="00CD0DB3">
        <w:t xml:space="preserve"> non-</w:t>
      </w:r>
      <w:proofErr w:type="spellStart"/>
      <w:r w:rsidRPr="00CD0DB3">
        <w:t>reference</w:t>
      </w:r>
      <w:proofErr w:type="spellEnd"/>
      <w:r w:rsidRPr="00CD0DB3">
        <w:t xml:space="preserve"> dose </w:t>
      </w:r>
      <w:proofErr w:type="spellStart"/>
      <w:r w:rsidRPr="00CD0DB3">
        <w:t>levels</w:t>
      </w:r>
      <w:proofErr w:type="spellEnd"/>
      <w:r w:rsidRPr="00CD0DB3">
        <w:t xml:space="preserve"> </w:t>
      </w:r>
      <w:proofErr w:type="spellStart"/>
      <w:r w:rsidRPr="00CD0DB3">
        <w:t>were</w:t>
      </w:r>
      <w:proofErr w:type="spellEnd"/>
      <w:r w:rsidRPr="00CD0DB3">
        <w:t xml:space="preserve"> </w:t>
      </w:r>
      <w:proofErr w:type="spellStart"/>
      <w:r w:rsidRPr="00CD0DB3">
        <w:t>available</w:t>
      </w:r>
      <w:proofErr w:type="spellEnd"/>
      <w:r w:rsidRPr="00CD0DB3">
        <w:t xml:space="preserve">, to </w:t>
      </w:r>
      <w:proofErr w:type="spellStart"/>
      <w:r w:rsidRPr="00CD0DB3">
        <w:t>assess</w:t>
      </w:r>
      <w:proofErr w:type="spellEnd"/>
      <w:r w:rsidRPr="00CD0DB3">
        <w:t xml:space="preserve"> </w:t>
      </w:r>
      <w:proofErr w:type="spellStart"/>
      <w:r w:rsidRPr="00CD0DB3">
        <w:t>potential</w:t>
      </w:r>
      <w:proofErr w:type="spellEnd"/>
      <w:r w:rsidRPr="00CD0DB3">
        <w:t xml:space="preserve"> </w:t>
      </w:r>
      <w:proofErr w:type="spellStart"/>
      <w:r w:rsidRPr="00CD0DB3">
        <w:t>departures</w:t>
      </w:r>
      <w:proofErr w:type="spellEnd"/>
      <w:r w:rsidRPr="00CD0DB3">
        <w:t xml:space="preserve"> </w:t>
      </w:r>
      <w:proofErr w:type="spellStart"/>
      <w:r w:rsidRPr="00CD0DB3">
        <w:t>from</w:t>
      </w:r>
      <w:proofErr w:type="spellEnd"/>
      <w:r w:rsidRPr="00CD0DB3">
        <w:t xml:space="preserve"> </w:t>
      </w:r>
      <w:proofErr w:type="spellStart"/>
      <w:r w:rsidRPr="00CD0DB3">
        <w:t>linearity</w:t>
      </w:r>
      <w:proofErr w:type="spellEnd"/>
      <w:r w:rsidRPr="00CD0DB3">
        <w:t>. Non-</w:t>
      </w:r>
      <w:proofErr w:type="spellStart"/>
      <w:r w:rsidRPr="00CD0DB3">
        <w:t>linear</w:t>
      </w:r>
      <w:proofErr w:type="spellEnd"/>
      <w:r w:rsidRPr="00CD0DB3">
        <w:t xml:space="preserve"> dose </w:t>
      </w:r>
      <w:proofErr w:type="spellStart"/>
      <w:r w:rsidRPr="00CD0DB3">
        <w:t>effects</w:t>
      </w:r>
      <w:proofErr w:type="spellEnd"/>
      <w:r w:rsidRPr="00CD0DB3">
        <w:t xml:space="preserve"> </w:t>
      </w:r>
      <w:proofErr w:type="spellStart"/>
      <w:r w:rsidRPr="00CD0DB3">
        <w:t>were</w:t>
      </w:r>
      <w:proofErr w:type="spellEnd"/>
      <w:r w:rsidRPr="00CD0DB3">
        <w:t xml:space="preserve"> </w:t>
      </w:r>
      <w:proofErr w:type="spellStart"/>
      <w:r w:rsidRPr="00CD0DB3">
        <w:t>evaluated</w:t>
      </w:r>
      <w:proofErr w:type="spellEnd"/>
      <w:r w:rsidRPr="00CD0DB3">
        <w:t xml:space="preserve"> </w:t>
      </w:r>
      <w:proofErr w:type="spellStart"/>
      <w:r w:rsidRPr="00CD0DB3">
        <w:t>using</w:t>
      </w:r>
      <w:proofErr w:type="spellEnd"/>
      <w:r w:rsidRPr="00CD0DB3">
        <w:t xml:space="preserve"> omnibus </w:t>
      </w:r>
      <w:proofErr w:type="spellStart"/>
      <w:r w:rsidRPr="00CD0DB3">
        <w:t>spline</w:t>
      </w:r>
      <w:proofErr w:type="spellEnd"/>
      <w:r w:rsidRPr="00CD0DB3">
        <w:t xml:space="preserve"> tests (QM/</w:t>
      </w:r>
      <w:proofErr w:type="spellStart"/>
      <w:r w:rsidRPr="00CD0DB3">
        <w:t>QMp</w:t>
      </w:r>
      <w:proofErr w:type="spellEnd"/>
      <w:r w:rsidRPr="00CD0DB3">
        <w:t xml:space="preserve">). Due to </w:t>
      </w:r>
      <w:proofErr w:type="spellStart"/>
      <w:r w:rsidRPr="00CD0DB3">
        <w:t>limited</w:t>
      </w:r>
      <w:proofErr w:type="spellEnd"/>
      <w:r w:rsidRPr="00CD0DB3">
        <w:t xml:space="preserve"> dose </w:t>
      </w:r>
      <w:proofErr w:type="spellStart"/>
      <w:r w:rsidRPr="00CD0DB3">
        <w:t>variability</w:t>
      </w:r>
      <w:proofErr w:type="spellEnd"/>
      <w:r w:rsidRPr="00CD0DB3">
        <w:t xml:space="preserve"> and </w:t>
      </w:r>
      <w:proofErr w:type="spellStart"/>
      <w:r w:rsidRPr="00CD0DB3">
        <w:t>statistical</w:t>
      </w:r>
      <w:proofErr w:type="spellEnd"/>
      <w:r w:rsidRPr="00CD0DB3">
        <w:t xml:space="preserve"> power at the AE-</w:t>
      </w:r>
      <w:proofErr w:type="spellStart"/>
      <w:r w:rsidRPr="00CD0DB3">
        <w:t>specific</w:t>
      </w:r>
      <w:proofErr w:type="spellEnd"/>
      <w:r w:rsidRPr="00CD0DB3">
        <w:t xml:space="preserve"> </w:t>
      </w:r>
      <w:proofErr w:type="spellStart"/>
      <w:r w:rsidRPr="00CD0DB3">
        <w:t>level</w:t>
      </w:r>
      <w:proofErr w:type="spellEnd"/>
      <w:r w:rsidRPr="00CD0DB3">
        <w:t xml:space="preserve">, </w:t>
      </w:r>
      <w:proofErr w:type="spellStart"/>
      <w:r w:rsidRPr="00CD0DB3">
        <w:t>spline</w:t>
      </w:r>
      <w:proofErr w:type="spellEnd"/>
      <w:r w:rsidRPr="00CD0DB3">
        <w:t xml:space="preserve"> </w:t>
      </w:r>
      <w:proofErr w:type="spellStart"/>
      <w:r w:rsidRPr="00CD0DB3">
        <w:t>models</w:t>
      </w:r>
      <w:proofErr w:type="spellEnd"/>
      <w:r w:rsidRPr="00CD0DB3">
        <w:t xml:space="preserve"> </w:t>
      </w:r>
      <w:proofErr w:type="spellStart"/>
      <w:r w:rsidRPr="00CD0DB3">
        <w:t>were</w:t>
      </w:r>
      <w:proofErr w:type="spellEnd"/>
      <w:r w:rsidRPr="00CD0DB3">
        <w:t xml:space="preserve"> not </w:t>
      </w:r>
      <w:proofErr w:type="spellStart"/>
      <w:r w:rsidRPr="00CD0DB3">
        <w:t>retained</w:t>
      </w:r>
      <w:proofErr w:type="spellEnd"/>
      <w:r w:rsidRPr="00CD0DB3">
        <w:t xml:space="preserve"> for </w:t>
      </w:r>
      <w:proofErr w:type="spellStart"/>
      <w:r w:rsidRPr="00CD0DB3">
        <w:t>primary</w:t>
      </w:r>
      <w:proofErr w:type="spellEnd"/>
      <w:r w:rsidRPr="00CD0DB3">
        <w:t xml:space="preserve"> AE-</w:t>
      </w:r>
      <w:proofErr w:type="spellStart"/>
      <w:r w:rsidRPr="00CD0DB3">
        <w:t>level</w:t>
      </w:r>
      <w:proofErr w:type="spellEnd"/>
      <w:r w:rsidRPr="00CD0DB3">
        <w:t xml:space="preserve"> </w:t>
      </w:r>
      <w:proofErr w:type="spellStart"/>
      <w:r w:rsidRPr="00CD0DB3">
        <w:t>inference</w:t>
      </w:r>
      <w:proofErr w:type="spellEnd"/>
      <w:r w:rsidRPr="00CD0DB3">
        <w:t xml:space="preserve"> but </w:t>
      </w:r>
      <w:proofErr w:type="spellStart"/>
      <w:r w:rsidRPr="00CD0DB3">
        <w:t>were</w:t>
      </w:r>
      <w:proofErr w:type="spellEnd"/>
      <w:r w:rsidRPr="00CD0DB3">
        <w:t xml:space="preserve"> </w:t>
      </w:r>
      <w:proofErr w:type="spellStart"/>
      <w:r w:rsidRPr="00CD0DB3">
        <w:t>used</w:t>
      </w:r>
      <w:proofErr w:type="spellEnd"/>
      <w:r w:rsidRPr="00CD0DB3">
        <w:t xml:space="preserve"> to </w:t>
      </w:r>
      <w:proofErr w:type="spellStart"/>
      <w:r w:rsidRPr="00CD0DB3">
        <w:t>assess</w:t>
      </w:r>
      <w:proofErr w:type="spellEnd"/>
      <w:r w:rsidRPr="00CD0DB3">
        <w:t xml:space="preserve"> </w:t>
      </w:r>
      <w:proofErr w:type="spellStart"/>
      <w:r w:rsidRPr="00CD0DB3">
        <w:t>robustness</w:t>
      </w:r>
      <w:proofErr w:type="spellEnd"/>
      <w:r w:rsidRPr="00CD0DB3">
        <w:t xml:space="preserve"> and </w:t>
      </w:r>
      <w:proofErr w:type="spellStart"/>
      <w:r w:rsidRPr="00CD0DB3">
        <w:t>directional</w:t>
      </w:r>
      <w:proofErr w:type="spellEnd"/>
      <w:r w:rsidRPr="00CD0DB3">
        <w:t xml:space="preserve"> </w:t>
      </w:r>
      <w:proofErr w:type="spellStart"/>
      <w:r w:rsidRPr="00CD0DB3">
        <w:t>consistency</w:t>
      </w:r>
      <w:proofErr w:type="spellEnd"/>
      <w:r w:rsidRPr="00CD0DB3">
        <w:t xml:space="preserve"> of global dose–</w:t>
      </w:r>
      <w:proofErr w:type="spellStart"/>
      <w:r w:rsidRPr="00CD0DB3">
        <w:t>response</w:t>
      </w:r>
      <w:proofErr w:type="spellEnd"/>
      <w:r w:rsidRPr="00CD0DB3">
        <w:t xml:space="preserve"> patterns.</w:t>
      </w:r>
    </w:p>
    <w:p w14:paraId="44ADD06C" w14:textId="7D25CB4B" w:rsidR="00CD0DB3" w:rsidRPr="00CD0DB3" w:rsidRDefault="00CD0DB3" w:rsidP="00FC19AC">
      <w:pPr>
        <w:spacing w:after="240" w:line="360" w:lineRule="auto"/>
      </w:pPr>
      <w:r w:rsidRPr="00CD0DB3">
        <w:t xml:space="preserve">All analyses </w:t>
      </w:r>
      <w:proofErr w:type="spellStart"/>
      <w:r w:rsidRPr="00CD0DB3">
        <w:t>were</w:t>
      </w:r>
      <w:proofErr w:type="spellEnd"/>
      <w:r w:rsidRPr="00CD0DB3">
        <w:t xml:space="preserve"> </w:t>
      </w:r>
      <w:proofErr w:type="spellStart"/>
      <w:r w:rsidRPr="00CD0DB3">
        <w:t>conducted</w:t>
      </w:r>
      <w:proofErr w:type="spellEnd"/>
      <w:r w:rsidRPr="00CD0DB3">
        <w:t xml:space="preserve"> in R version 4.3 </w:t>
      </w:r>
      <w:r w:rsidR="0090474B">
        <w:fldChar w:fldCharType="begin"/>
      </w:r>
      <w:r w:rsidR="0090474B">
        <w:instrText xml:space="preserve"> ADDIN ZOTERO_ITEM CSL_CITATION {"citationID":"s4FlsBh3","properties":{"formattedCitation":"(R Core Team, 2023)","plainCitation":"(R Core Team, 2023)","noteIndex":0},"citationItems":[{"id":3150,"uris":["http://zotero.org/users/4564126/items/V7FRNIYK"],"itemData":{"id":3150,"type":"book","event-place":"Vienna, Austria","publisher":"R Foundation for Statistical Computing","publisher-place":"Vienna, Austria","title":"R: A Language and Environment for Statistical Computing","URL":"https://www.R-project.org/","author":[{"literal":"R Core Team"}],"issued":{"date-parts":[["2023"]]}}}],"schema":"https://github.com/citation-style-language/schema/raw/master/csl-citation.json"} </w:instrText>
      </w:r>
      <w:r w:rsidR="0090474B">
        <w:fldChar w:fldCharType="separate"/>
      </w:r>
      <w:r w:rsidR="0090474B">
        <w:rPr>
          <w:noProof/>
        </w:rPr>
        <w:t>(R Core Team, 2023)</w:t>
      </w:r>
      <w:r w:rsidR="0090474B">
        <w:fldChar w:fldCharType="end"/>
      </w:r>
      <w:r w:rsidRPr="00CD0DB3">
        <w:t xml:space="preserve">, </w:t>
      </w:r>
      <w:proofErr w:type="spellStart"/>
      <w:r w:rsidRPr="00CD0DB3">
        <w:t>using</w:t>
      </w:r>
      <w:proofErr w:type="spellEnd"/>
      <w:r w:rsidRPr="00CD0DB3">
        <w:t xml:space="preserve"> </w:t>
      </w:r>
      <w:proofErr w:type="spellStart"/>
      <w:r w:rsidRPr="00C97945">
        <w:rPr>
          <w:i/>
          <w:iCs/>
        </w:rPr>
        <w:t>metafor</w:t>
      </w:r>
      <w:proofErr w:type="spellEnd"/>
      <w:r w:rsidRPr="00CD0DB3">
        <w:t xml:space="preserve"> for </w:t>
      </w:r>
      <w:proofErr w:type="spellStart"/>
      <w:r w:rsidRPr="00CD0DB3">
        <w:t>random-effects</w:t>
      </w:r>
      <w:proofErr w:type="spellEnd"/>
      <w:r w:rsidRPr="00CD0DB3">
        <w:t xml:space="preserve"> </w:t>
      </w:r>
      <w:proofErr w:type="spellStart"/>
      <w:r w:rsidRPr="00CD0DB3">
        <w:t>modelling</w:t>
      </w:r>
      <w:proofErr w:type="spellEnd"/>
      <w:r w:rsidRPr="00CD0DB3">
        <w:t xml:space="preserve"> </w:t>
      </w:r>
      <w:r w:rsidR="0090474B">
        <w:fldChar w:fldCharType="begin"/>
      </w:r>
      <w:r w:rsidR="0090474B">
        <w:instrText xml:space="preserve"> ADDIN ZOTERO_ITEM CSL_CITATION {"citationID":"qoRFMHtt","properties":{"formattedCitation":"(Viechtbauer, 2010)","plainCitation":"(Viechtbauer, 2010)","noteIndex":0},"citationItems":[{"id":3148,"uris":["http://zotero.org/users/4564126/items/SR32N5Z3"],"itemData":{"id":3148,"type":"article-journal","container-title":"Journal of Statistical Software","DOI":"10.18637/jss.v036.i03","issue":"3","page":"1–48","title":"Conducting Meta-Analyses in R with the metafor Package","volume":"36","author":[{"family":"Viechtbauer","given":"Wolfgang"}],"issued":{"date-parts":[["2010"]]}}}],"schema":"https://github.com/citation-style-language/schema/raw/master/csl-citation.json"} </w:instrText>
      </w:r>
      <w:r w:rsidR="0090474B">
        <w:fldChar w:fldCharType="separate"/>
      </w:r>
      <w:r w:rsidR="0090474B">
        <w:rPr>
          <w:noProof/>
        </w:rPr>
        <w:t>(Viechtbauer, 2010)</w:t>
      </w:r>
      <w:r w:rsidR="0090474B">
        <w:fldChar w:fldCharType="end"/>
      </w:r>
      <w:r w:rsidRPr="00CD0DB3">
        <w:t xml:space="preserve">, </w:t>
      </w:r>
      <w:proofErr w:type="spellStart"/>
      <w:r w:rsidRPr="00C97945">
        <w:rPr>
          <w:i/>
          <w:iCs/>
        </w:rPr>
        <w:t>dplyr</w:t>
      </w:r>
      <w:proofErr w:type="spellEnd"/>
      <w:r w:rsidRPr="00CD0DB3">
        <w:t xml:space="preserve"> and </w:t>
      </w:r>
      <w:proofErr w:type="spellStart"/>
      <w:r w:rsidRPr="00C97945">
        <w:rPr>
          <w:i/>
          <w:iCs/>
        </w:rPr>
        <w:t>tidyr</w:t>
      </w:r>
      <w:proofErr w:type="spellEnd"/>
      <w:r w:rsidRPr="00CD0DB3">
        <w:t xml:space="preserve"> for data </w:t>
      </w:r>
      <w:proofErr w:type="spellStart"/>
      <w:r w:rsidRPr="00CD0DB3">
        <w:t>preprocessing</w:t>
      </w:r>
      <w:proofErr w:type="spellEnd"/>
      <w:r w:rsidRPr="00CD0DB3">
        <w:t xml:space="preserve"> </w:t>
      </w:r>
      <w:r w:rsidR="0090474B">
        <w:fldChar w:fldCharType="begin"/>
      </w:r>
      <w:r w:rsidR="0090474B">
        <w:instrText xml:space="preserve"> ADDIN ZOTERO_ITEM CSL_CITATION {"citationID":"U5mgjLjE","properties":{"formattedCitation":"(Wickham et al., 2025)","plainCitation":"(Wickham et al., 2025)","noteIndex":0},"citationItems":[{"id":3156,"uris":["http://zotero.org/users/4564126/items/FHTHIK9H"],"itemData":{"id":3156,"type":"book","title":"dplyr: A Grammar of Data Manipulation","URL":"https://dplyr.tidyverse.org","author":[{"family":"Wickham","given":"Hadley"},{"family":"François","given":"Romain"},{"family":"Henry","given":"Lionel"},{"family":"Müller","given":"Kirill"},{"family":"Vaughan","given":"Davis"}],"issued":{"date-parts":[["2025"]]}}}],"schema":"https://github.com/citation-style-language/schema/raw/master/csl-citation.json"} </w:instrText>
      </w:r>
      <w:r w:rsidR="0090474B">
        <w:fldChar w:fldCharType="separate"/>
      </w:r>
      <w:r w:rsidR="0090474B">
        <w:rPr>
          <w:noProof/>
        </w:rPr>
        <w:t>(Wickham et al., 2025)</w:t>
      </w:r>
      <w:r w:rsidR="0090474B">
        <w:fldChar w:fldCharType="end"/>
      </w:r>
      <w:r w:rsidR="0090474B">
        <w:t xml:space="preserve"> </w:t>
      </w:r>
      <w:r w:rsidRPr="00CD0DB3">
        <w:t xml:space="preserve">, </w:t>
      </w:r>
      <w:proofErr w:type="spellStart"/>
      <w:r w:rsidRPr="00C97945">
        <w:rPr>
          <w:i/>
          <w:iCs/>
        </w:rPr>
        <w:t>splines</w:t>
      </w:r>
      <w:proofErr w:type="spellEnd"/>
      <w:r w:rsidRPr="00CD0DB3">
        <w:t xml:space="preserve"> and </w:t>
      </w:r>
      <w:proofErr w:type="spellStart"/>
      <w:r w:rsidRPr="00C97945">
        <w:rPr>
          <w:i/>
          <w:iCs/>
        </w:rPr>
        <w:t>dosresmeta</w:t>
      </w:r>
      <w:proofErr w:type="spellEnd"/>
      <w:r w:rsidRPr="00CD0DB3">
        <w:t xml:space="preserve"> for dose–</w:t>
      </w:r>
      <w:proofErr w:type="spellStart"/>
      <w:r w:rsidRPr="00CD0DB3">
        <w:t>response</w:t>
      </w:r>
      <w:proofErr w:type="spellEnd"/>
      <w:r w:rsidRPr="00CD0DB3">
        <w:t xml:space="preserve"> </w:t>
      </w:r>
      <w:proofErr w:type="spellStart"/>
      <w:r w:rsidRPr="00CD0DB3">
        <w:t>sensitivity</w:t>
      </w:r>
      <w:proofErr w:type="spellEnd"/>
      <w:r w:rsidRPr="00CD0DB3">
        <w:t xml:space="preserve"> analyses </w:t>
      </w:r>
      <w:r w:rsidR="0090474B">
        <w:fldChar w:fldCharType="begin"/>
      </w:r>
      <w:r w:rsidR="0090474B">
        <w:instrText xml:space="preserve"> ADDIN ZOTERO_ITEM CSL_CITATION {"citationID":"5nOwzpH3","properties":{"formattedCitation":"(Crippa &amp; Orsini, 2016; Gasparrini et al., 2012)","plainCitation":"(Crippa &amp; Orsini, 2016; Gasparrini et al., 2012)","noteIndex":0},"citationItems":[{"id":3152,"uris":["http://zotero.org/users/4564126/items/BYUX2GE5"],"itemData":{"id":3152,"type":"article-journal","container-title":"BMC Medical Research Methodology","DOI":"10.1186/s12874-016-0183-8","page":"91","title":"Dose-response meta-analysis of differences in means","volume":"16","author":[{"family":"Crippa","given":"Alessio"},{"family":"Orsini","given":"Nicola"}],"issued":{"date-parts":[["2016"]]}}},{"id":3151,"uris":["http://zotero.org/users/4564126/items/EVPXT6JR"],"itemData":{"id":3151,"type":"article-journal","container-title":"Statistics in Medicine","DOI":"10.1002/sim.5471","issue":"29","page":"3821–3839","title":"Multivariate meta-analysis for non-linear and other multi-parameter associations","volume":"31","author":[{"family":"Gasparrini","given":"Antonio"},{"family":"Armstrong","given":"Ben"},{"family":"Kenward","given":"Michael G."}],"issued":{"date-parts":[["2012"]]}}}],"schema":"https://github.com/citation-style-language/schema/raw/master/csl-citation.json"} </w:instrText>
      </w:r>
      <w:r w:rsidR="0090474B">
        <w:fldChar w:fldCharType="separate"/>
      </w:r>
      <w:r w:rsidR="0090474B">
        <w:rPr>
          <w:noProof/>
        </w:rPr>
        <w:t>(Crippa &amp; Orsini, 2016; Gasparrini et al., 2012)</w:t>
      </w:r>
      <w:r w:rsidR="0090474B">
        <w:fldChar w:fldCharType="end"/>
      </w:r>
      <w:r w:rsidRPr="00CD0DB3">
        <w:t xml:space="preserve">, and </w:t>
      </w:r>
      <w:r w:rsidRPr="00C97945">
        <w:rPr>
          <w:i/>
          <w:iCs/>
        </w:rPr>
        <w:t>ggplot2</w:t>
      </w:r>
      <w:r w:rsidRPr="00CD0DB3">
        <w:t xml:space="preserve"> for visualisation </w:t>
      </w:r>
      <w:r w:rsidR="0090474B">
        <w:fldChar w:fldCharType="begin"/>
      </w:r>
      <w:r w:rsidR="0090474B">
        <w:instrText xml:space="preserve"> ADDIN ZOTERO_ITEM CSL_CITATION {"citationID":"1XsMZmp7","properties":{"formattedCitation":"(Wickham, 2016)","plainCitation":"(Wickham, 2016)","noteIndex":0},"citationItems":[{"id":3153,"uris":["http://zotero.org/users/4564126/items/E8487K9R"],"itemData":{"id":3153,"type":"article-journal","container-title":"Springer","event-place":"New York","publisher-place":"New York","title":"ggplot2: Elegant Graphics for Data Analysis","author":[{"family":"Wickham","given":"Hadley"}],"issued":{"date-parts":[["2016"]]}}}],"schema":"https://github.com/citation-style-language/schema/raw/master/csl-citation.json"} </w:instrText>
      </w:r>
      <w:r w:rsidR="0090474B">
        <w:fldChar w:fldCharType="separate"/>
      </w:r>
      <w:r w:rsidR="0090474B">
        <w:rPr>
          <w:noProof/>
        </w:rPr>
        <w:t>(Wickham, 2016)</w:t>
      </w:r>
      <w:r w:rsidR="0090474B">
        <w:fldChar w:fldCharType="end"/>
      </w:r>
      <w:r w:rsidR="0090474B">
        <w:t xml:space="preserve">. </w:t>
      </w:r>
      <w:r w:rsidRPr="00CD0DB3">
        <w:t xml:space="preserve">Full code and </w:t>
      </w:r>
      <w:proofErr w:type="spellStart"/>
      <w:r w:rsidRPr="00CD0DB3">
        <w:t>harmonised</w:t>
      </w:r>
      <w:proofErr w:type="spellEnd"/>
      <w:r w:rsidRPr="00CD0DB3">
        <w:t xml:space="preserve"> </w:t>
      </w:r>
      <w:proofErr w:type="spellStart"/>
      <w:r w:rsidRPr="00CD0DB3">
        <w:t>datasets</w:t>
      </w:r>
      <w:proofErr w:type="spellEnd"/>
      <w:r w:rsidRPr="00CD0DB3">
        <w:t xml:space="preserve"> are </w:t>
      </w:r>
      <w:proofErr w:type="spellStart"/>
      <w:r w:rsidRPr="00CD0DB3">
        <w:t>available</w:t>
      </w:r>
      <w:proofErr w:type="spellEnd"/>
      <w:r w:rsidRPr="00CD0DB3">
        <w:t xml:space="preserve"> in the </w:t>
      </w:r>
      <w:proofErr w:type="spellStart"/>
      <w:r w:rsidRPr="00CD0DB3">
        <w:t>project</w:t>
      </w:r>
      <w:proofErr w:type="spellEnd"/>
      <w:r w:rsidRPr="00CD0DB3">
        <w:t xml:space="preserve"> </w:t>
      </w:r>
      <w:commentRangeStart w:id="17"/>
      <w:commentRangeStart w:id="18"/>
      <w:r w:rsidRPr="00CD0DB3">
        <w:t>repository</w:t>
      </w:r>
      <w:commentRangeEnd w:id="17"/>
      <w:r w:rsidR="00AE0DFD" w:rsidRPr="00CD0DB3">
        <w:rPr>
          <w:rStyle w:val="Marquedecommentaire"/>
          <w:sz w:val="24"/>
          <w:szCs w:val="24"/>
        </w:rPr>
        <w:commentReference w:id="17"/>
      </w:r>
      <w:commentRangeEnd w:id="18"/>
      <w:r w:rsidR="00B91CE2">
        <w:rPr>
          <w:rStyle w:val="Marquedecommentaire"/>
          <w:lang w:val="fr" w:eastAsia="en-US"/>
        </w:rPr>
        <w:commentReference w:id="18"/>
      </w:r>
      <w:r w:rsidR="00C97945">
        <w:t xml:space="preserve"> </w:t>
      </w:r>
      <w:r w:rsidR="00C97945" w:rsidRPr="007A17FC">
        <w:rPr>
          <w:lang w:val="en-US"/>
        </w:rPr>
        <w:t>https://github.com/mickaeleskinazi/metaanalysis-psychedelics</w:t>
      </w:r>
      <w:r w:rsidR="00C97945">
        <w:t xml:space="preserve">. </w:t>
      </w:r>
    </w:p>
    <w:p w14:paraId="40D1A586" w14:textId="77777777" w:rsidR="009647C4" w:rsidRDefault="009647C4" w:rsidP="00682EED">
      <w:pPr>
        <w:spacing w:before="240" w:after="240"/>
        <w:rPr>
          <w:lang w:val="en-US"/>
        </w:rPr>
      </w:pPr>
    </w:p>
    <w:p w14:paraId="3623E7FC" w14:textId="3C0A0CBA" w:rsidR="009647C4" w:rsidRPr="00CD0DB3" w:rsidRDefault="009647C4" w:rsidP="00682EED">
      <w:pPr>
        <w:spacing w:before="240" w:after="240"/>
        <w:rPr>
          <w:b/>
          <w:bCs/>
          <w:lang w:val="en-US"/>
        </w:rPr>
      </w:pPr>
      <w:r>
        <w:rPr>
          <w:b/>
          <w:bCs/>
          <w:lang w:val="en-US"/>
        </w:rPr>
        <w:t xml:space="preserve">3. </w:t>
      </w:r>
      <w:r w:rsidRPr="00CD0DB3">
        <w:rPr>
          <w:b/>
          <w:bCs/>
          <w:lang w:val="en-US"/>
        </w:rPr>
        <w:t>Results</w:t>
      </w:r>
    </w:p>
    <w:p w14:paraId="36B3E8AE" w14:textId="77777777" w:rsidR="000829E4" w:rsidRPr="007A17FC" w:rsidRDefault="00542108">
      <w:pPr>
        <w:pStyle w:val="Titre3"/>
        <w:spacing w:before="240" w:after="240"/>
        <w:rPr>
          <w:lang w:val="en-US"/>
        </w:rPr>
      </w:pPr>
      <w:bookmarkStart w:id="19" w:name="_g4u4e882gkpq" w:colFirst="0" w:colLast="0"/>
      <w:bookmarkStart w:id="20" w:name="OLE_LINK2"/>
      <w:bookmarkEnd w:id="19"/>
      <w:r w:rsidRPr="007A17FC">
        <w:rPr>
          <w:lang w:val="en-US"/>
        </w:rPr>
        <w:t>3.1 Study and dosing characteristics</w:t>
      </w:r>
    </w:p>
    <w:p w14:paraId="2EF21954" w14:textId="3FBF353A" w:rsidR="000829E4" w:rsidRPr="007A17FC" w:rsidRDefault="00542108" w:rsidP="00FC19AC">
      <w:pPr>
        <w:spacing w:before="240" w:after="240" w:line="360" w:lineRule="auto"/>
        <w:rPr>
          <w:lang w:val="en-US"/>
        </w:rPr>
      </w:pPr>
      <w:r w:rsidRPr="007A17FC">
        <w:rPr>
          <w:lang w:val="en-US"/>
        </w:rPr>
        <w:t xml:space="preserve">Twenty-eight randomized controlled trials (RCTs) comprising 1,480 participants (45.8% female) met inclusion criteria. MDMA was administered in </w:t>
      </w:r>
      <w:r w:rsidR="00CB1243">
        <w:rPr>
          <w:lang w:val="en-US"/>
        </w:rPr>
        <w:t>1</w:t>
      </w:r>
      <w:r w:rsidR="0090474B">
        <w:rPr>
          <w:lang w:val="en-US"/>
        </w:rPr>
        <w:t>0</w:t>
      </w:r>
      <w:r w:rsidR="00FC19AC">
        <w:rPr>
          <w:lang w:val="en-US"/>
        </w:rPr>
        <w:t xml:space="preserve"> </w:t>
      </w:r>
      <w:r w:rsidRPr="007A17FC">
        <w:rPr>
          <w:lang w:val="en-US"/>
        </w:rPr>
        <w:t xml:space="preserve">trials (n = 197), </w:t>
      </w:r>
      <w:r w:rsidR="0090474B">
        <w:rPr>
          <w:lang w:val="en-US"/>
        </w:rPr>
        <w:fldChar w:fldCharType="begin"/>
      </w:r>
      <w:r w:rsidR="0090474B">
        <w:rPr>
          <w:lang w:val="en-US"/>
        </w:rPr>
        <w:instrText xml:space="preserve"> ADDIN ZOTERO_ITEM CSL_CITATION {"citationID":"kTWbXkRM","properties":{"formattedCitation":"(Bouso et al., 2008; Mitchell et al., 2021; Mitchell &amp; others, 2023; Mithoefer et al., 2011, 2018, 2019; Oehen et al., 2013; Ot\\uc0\\u8217{}alora G et al., 2018; Pacey, s.\\uc0\\u160{}d.; Wolfson et al., 2020)","plainCitation":"(Bouso et al., 2008; Mitchell et al., 2021; Mitchell &amp; others, 2023; Mithoefer et al., 2011, 2018, 2019; Oehen et al., 2013; Ot’alora G et al., 2018; Pacey, s. d.; Wolfson et al., 2020)","noteIndex":0},"citationItems":[{"id":3008,"uris":["http://zotero.org/users/4564126/items/UHRMJJI8"],"itemData":{"id":3008,"type":"article-journal","abstract":"The purpose of this study was to investigate the safety of different doses ofMDMA-assisted psychotherapy administered in a psychotherapeutic setting to women with chronic PTSD secondary to a sexual assault, and also to obtain preliminary data regarding efficacy. Although this study was originally planned to include 29 subjects, political pressures led to the closing of the study before it could be finished, at which time only six subjects had been treated. Preliminary results from those six subjects are presented here. We found that low doses of MDMA (between 50 and 75 mg) were both psychologically and physiologically safe for all the subjects. Future studies in larger samples and using larger doses are needed in order to further clarify the safety and efficacy of MDMA in the clinical setting in subjects with PTSD.","container-title":"Journal of Psychoactive Drugs","DOI":"10.1080/02791072.2008.10400637","ISSN":"0279-1072, 2159-9777","issue":"3","journalAbbreviation":"Journal of Psychoactive Drugs","language":"en","page":"225-236","source":"DOI.org (Crossref)","title":"MDMA-Assisted Psychotherapy Using Low Doses in a Small Sample of Women with Chronic Posttraumatic Stress Disorder","volume":"40","author":[{"family":"Bouso","given":"José Carlos"},{"family":"Doblin","given":"Rick"},{"family":"Farré","given":"Magí"},{"family":"Alcázar","given":"Miguel Ángel"},{"family":"Gómez-Jarabo","given":"Gregorio"}],"issued":{"date-parts":[["2008",9]]}}},{"id":1465,"uris":["http://zotero.org/users/4564126/items/5BUVJQ2P"],"itemData":{"id":1465,"type":"article-journal","abstract":"Post-traumatic stress disorder (PTSD) presents a major public health problem for which currently available treatments are modestly effective. We report the  findings of a randomized, double-blind, placebo-controlled, multi-site phase 3  clinical trial (NCT03537014) to test the efficacy and safety of  3,4-methylenedioxymethamphetamine (MDMA)-assisted therapy for the treatment of  patients with severe PTSD, including those with common comorbidities such as  dissociation, depression, a history of alcohol and substance use disorders, and  childhood trauma. After psychiatric medication washout, participants (n = 90)  were randomized 1:1 to receive manualized therapy with MDMA or with placebo,  combined with three preparatory and nine integrative therapy sessions. PTSD  symptoms, measured with the Clinician-Administered PTSD Scale for DSM-5 (CAPS-5,  the primary endpoint), and functional impairment, measured with the Sheehan  Disability Scale (SDS, the secondary endpoint) were assessed at baseline and at  2 months after the last experimental session. Adverse events and suicidality were  tracked throughout the study. MDMA was found to induce significant and robust  attenuation in CAPS-5 score compared with placebo (P &lt; 0.0001, d = 0.91) and to  significantly decrease the SDS total score (P = 0.0116, d = 0.43). The mean  change in CAPS-5 scores in participants completing treatment was -24.4 (s.d.  11.6) in the MDMA group and -13.9 (s.d. 11.5) in the placebo group. MDMA did not  induce adverse events of abuse potential, suicidality or QT prolongation. These  data indicate that, compared with manualized therapy with inactive placebo,  MDMA-assisted therapy is highly efficacious in individuals with severe PTSD, and  treatment is safe and well-tolerated, even in those with comorbidities. We  conclude that MDMA-assisted therapy represents a potential breakthrough treatment  that merits expedited clinical evaluation.","container-title":"Nature medicine","DOI":"10.1038/s41591-021-01336-3","ISSN":"1546-170X 1078-8956","issue":"6","journalAbbreviation":"Nat Med","language":"eng","note":"publisher-place: United States","page":"1025-1033","PMID":"33972795","PMCID":"PMC8205851","title":"MDMA-assisted therapy for severe PTSD: a randomized, double-blind, placebo-controlled phase 3 study.","volume":"27","author":[{"family":"Mitchell","given":"Jennifer M."},{"family":"Bogenschutz","given":"Michael"},{"family":"Lilienstein","given":"Alia"},{"family":"Harrison","given":"Charlotte"},{"family":"Kleiman","given":"Sarah"},{"family":"Parker-Guilbert","given":"Kelly"},{"family":"Ot'alora G","given":"Marcela"},{"family":"Garas","given":"Wael"},{"family":"Paleos","given":"Casey"},{"family":"Gorman","given":"Ingmar"},{"family":"Nicholas","given":"Christopher"},{"family":"Mithoefer","given":"Michael"},{"family":"Carlin","given":"Shannon"},{"family":"Poulter","given":"Bruce"},{"family":"Mithoefer","given":"Ann"},{"family":"Quevedo","given":"Sylvestre"},{"family":"Wells","given":"Gregory"},{"family":"Klaire","given":"Sukhpreet S."},{"family":"Kolk","given":"Bessel","non-dropping-particle":"van der"},{"family":"Tzarfaty","given":"Keren"},{"family":"Amiaz","given":"Revital"},{"family":"Worthy","given":"Ray"},{"family":"Shannon","given":"Scott"},{"family":"Woolley","given":"Joshua D."},{"family":"Marta","given":"Cole"},{"family":"Gelfand","given":"Yevgeniy"},{"family":"Hapke","given":"Emma"},{"family":"Amar","given":"Simon"},{"family":"Wallach","given":"Yair"},{"family":"Brown","given":"Randall"},{"family":"Hamilton","given":"Scott"},{"family":"Wang","given":"Julie B."},{"family":"Coker","given":"Allison"},{"family":"Matthews","given":"Rebecca"},{"family":"Boer","given":"Alberdina","non-dropping-particle":"de"},{"family":"Yazar-Klosinski","given":"Berra"},{"family":"Emerson","given":"Amy"},{"family":"Doblin","given":"Rick"}],"issued":{"date-parts":[["2021",6]]}}},{"id":3066,"uris":["http://zotero.org/users/4564126/items/K76B3IKE"],"itemData":{"id":3066,"type":"article-journal","container-title":"Nature Medicine","DOI":"10.1038/s41591-023-02504-7","issue":"9","page":"2238–2247","title":"MDMA-assisted therapy for moderate to severe PTSD: confirmatory phase 3 trial","volume":"29","author":[{"family":"Mitchell","given":"J. M."},{"literal":"others"}],"issued":{"date-parts":[["2023"]]}}},{"id":3015,"uris":["http://zotero.org/users/4564126/items/49LDNVVF"],"itemData":{"id":3015,"type":"article-journal","abstract":"Case reports indicate that psychiatrists administered 3,4-methylenedioxymethamphetamine (MDMA) as a catalyst to psychotherapy before recreational use of MDMA as ‘Ecstasy’ resulted in its criminalization in 1985. Over two decades later, this study is the first completed clinical trial evaluating MDMA as a therapeutic adjunct. Twenty patients with chronic posttraumatic stress disorder, refractory to both psychotherapy and psychopharmacology, were randomly assigned to psychotherapy with concomitant active drug (n ¼ 12) or inactive placebo (n ¼ 8) administered during two 8-h experimental psychotherapy sessions. Both groups received preparatory and follow-up non-drug psychotherapy. The primary outcome measure was the ClinicianAdministered PTSD Scale, administered at baseline, 4 days after each experimental session, and 2 months after the second session. Neurocognitive testing, blood pressure, and temperature monitoring were performed. After 2-month follow-up, placebo subjects were offered the option to re-enroll in the experimental procedure with open-label MDMA. Decrease in Clinician-Administered PTSD Scale scores from baseline was significantly greater for the group that received MDMA than for the placebo group at all three time points after baseline. The rate of clinical response was 10/12 (83%) in the active treatment group versus 2/8 (25%) in the placebo group. There were no drug-related serious adverse events, adverse neurocognitive effects or clinically significant blood pressure increases. MDMA-assisted psychotherapy can be administered to posttraumatic stress disorder patients without evidence of harm, and it may be useful in patients refractory to other treatments.","container-title":"Journal of Psychopharmacology","DOI":"10.1177/0269881110378371","ISSN":"0269-8811, 1461-7285","issue":"4","journalAbbreviation":"J Psychopharmacol","language":"en","page":"439-452","source":"DOI.org (Crossref)","title":"The safety and efficacy of ±3,4-methylenedioxymethamphetamine-assisted psychotherapy in subjects with chronic, treatment-resistant posttraumatic stress disorder: the first randomized controlled pilot study","title-short":"The safety and efficacy of ±3,4-methylenedioxymethamphetamine-assisted psychotherapy in subjects with chronic, treatment-resistant posttraumatic stress disorder","volume":"25","author":[{"family":"Mithoefer","given":"Michael C"},{"family":"Wagner","given":"Mark T"},{"family":"Mithoefer","given":"Ann T"},{"family":"Jerome","given":"Lisa"},{"family":"Doblin","given":"Rick"}],"issued":{"date-parts":[["2011",4]]}}},{"id":3016,"uris":["http://zotero.org/users/4564126/items/7UW5469Z"],"itemData":{"id":3016,"type":"article-journal","container-title":"The Lancet Psychiatry","DOI":"10.1016/S2215-0366(18)30135-4","ISSN":"22150366","issue":"6","journalAbbreviation":"The Lancet Psychiatry","language":"en","page":"486-497","source":"DOI.org (Crossref)","title":"3,4-methylenedioxymethamphetamine (MDMA)-assisted psychotherapy for post-traumatic stress disorder in military veterans, firefighters, and police officers: a randomised, double-blind, dose-response, phase 2 clinical trial","title-short":"3,4-methylenedioxymethamphetamine (MDMA)-assisted psychotherapy for post-traumatic stress disorder in military veterans, firefighters, and police officers","volume":"5","author":[{"family":"Mithoefer","given":"Michael C"},{"family":"Mithoefer","given":"Ann T"},{"family":"Feduccia","given":"Allison A"},{"family":"Jerome","given":"Lisa"},{"family":"Wagner","given":"Mark"},{"family":"Wymer","given":"Joy"},{"family":"Holland","given":"Julie"},{"family":"Hamilton","given":"Scott"},{"family":"Yazar-Klosinski","given":"Berra"},{"family":"Emerson","given":"Amy"},{"family":"Doblin","given":"Rick"}],"issued":{"date-parts":[["2018",6]]}}},{"id":526,"uris":["http://zotero.org/users/4564126/items/AF9Y8M4M"],"itemData":{"id":526,"type":"article-journal","abstract":"BACKGROUND: Posttraumatic stress disorder is a prevalent mental health condition with substantial impact on daily functioning that lacks sufficient treatment  options. Here we evaluate six phase 2 trials in a pooled analysis to determine  the study design for phase 3 trials of MDMA-assisted psychotherapy for PTSD.  METHODS: Six randomized, double-blind, controlled clinical trials at five study  sites were conducted from April 2004 to February 2017. Active doses of MDMA  (75-125 mg, n = 72) or placebo/control doses (0-40 mg, n = 31) were administered  to individuals with PTSD during manualized psychotherapy sessions in two or three  8-h sessions spaced a month apart. Three non-drug 90-min therapy sessions  preceded the first MDMA exposure, and three to four followed each experimental  session. RESULTS: After two blinded experimental sessions, the active group had  significantly greater reductions in CAPS-IV total scores from baseline than the  control group [MMRM estimated mean difference (SE) between groups - 22.0 (5.17),  P &lt; 0.001]. The between-group Cohen's d effect size was 0.8, indicating a large  treatment effect. After two experimental sessions, more participants in the  active group (54.2%) did not meet CAPS-IV PTSD diagnostic criteria than the  control group (22.6%). Depression symptom improvement on the BDI-II was greatest  for the active group compared to the control group, although only trended towards  significant group differences [MMRM, estimated mean difference (SE) between  groups - 6.0 (3.03), P = 0.053]. All doses of MDMA were well tolerated, with some  expected reactions occurring at greater frequency for the active MDMA group  during experimental sessions and the 7 days following. CONCLUSIONS: MDMA-assisted  psychotherapy was efficacious and well tolerated in a large sample of adults with  PTSD. These studies supported expansion into phase 3 trials and led to FDA  granting Breakthrough Therapy designation for this promising treatment. TRIAL  REGISTRATION: ClinicalTrials.gov Identifier: NCT00090064, NCT00353938,  NCT01958593, NCT01211405, NCT01689740, NCT01793610.","container-title":"Psychopharmacology","DOI":"10.1007/s00213-019-05249-5","ISSN":"1432-2072 0033-3158","issue":"9","journalAbbreviation":"Psychopharmacology (Berl)","language":"eng","note":"publisher-place: Germany","page":"2735-2745","PMID":"31065731","PMCID":"PMC6695343","title":"MDMA-assisted psychotherapy for treatment of PTSD: study design and rationale for phase 3 trials based on pooled analysis of six phase 2 randomized controlled  trials.","volume":"236","author":[{"family":"Mithoefer","given":"Michael C."},{"family":"Feduccia","given":"Allison A."},{"family":"Jerome","given":"Lisa"},{"family":"Mithoefer","given":"Anne"},{"family":"Wagner","given":"Mark"},{"family":"Walsh","given":"Zach"},{"family":"Hamilton","given":"Scott"},{"family":"Yazar-Klosinski","given":"Berra"},{"family":"Emerson","given":"Amy"},{"family":"Doblin","given":"Rick"}],"issued":{"date-parts":[["2019",9]]}}},{"id":3018,"uris":["http://zotero.org/users/4564126/items/FD5LP5XV"],"itemData":{"id":3018,"type":"article-journal","abstract":"Psychiatrists and psychotherapists in the US (1970s to 1985) and Switzerland (1988–1993) used MDMA legally as a prescription drug, to enhance the effectiveness of psychotherapy. Early reports suggest that it is useful in treating trauma-related disorders. Recently, the first completed pilot study of MDMA-assisted psychotherapy for PTSD yielded encouraging results. Designed to test the safety and efficacy of MDMA-assisted psychotherapy in patients with treatment-resistant PTSD; our randomized, double-blind, active-placebo controlled trial enrolled 12 patients for treatment with either low-dose (25 mg, plus 12.5 mg supplemental dose) or full-dose MDMA (125 mg, plus 62.5 mg supplemental dose). MDMA was administered during three experimental sessions, interspersed with weekly non-drug-based psychotherapy sessions. Outcome measures used were the Clinician-Administered PTSD Scale (CAPS) and the Posttraumatic Diagnostic Scale (PDS). Patients were assessed at baseline, three weeks after the second and third MDMA session (end of treatment), and at the 2-month and 1-year follow-ups.","container-title":"Journal of Psychopharmacology","DOI":"10.1177/0269881112464827","ISSN":"0269-8811, 1461-7285","issue":"1","journalAbbreviation":"J Psychopharmacol","language":"en","page":"40-52","source":"DOI.org (Crossref)","title":"A randomized, controlled pilot study of MDMA (±3,4-Methylenedioxymethamphetamine)-assisted psychotherapy for treatment of resistant, chronic Post-Traumatic Stress Disorder (PTSD)","volume":"27","author":[{"family":"Oehen","given":"Peter"},{"family":"Traber","given":"Rafael"},{"family":"Widmer","given":"Verena"},{"family":"Schnyder","given":"Ulrich"}],"issued":{"date-parts":[["2013",1]]}}},{"id":1291,"uris":["http://zotero.org/users/4564126/items/IZH4ERRD"],"itemData":{"id":1291,"type":"article-journal","abstract":"BACKGROUND: Posttraumatic stress disorder often does not resolve after conventional psychotherapies or pharmacotherapies. Pilot studies have reported  that 3,4-methylenedioxymethamphetamine (MDMA) combined with psychotherapy reduces  posttraumatic stress disorder symptoms. AIMS: This pilot dose response trial  assessed efficacy and safety of MDMA-assisted psychotherapy across multiple  therapy teams. METHODS: Twenty-eight people with chronic posttraumatic stress  disorder were randomized in a double-blind dose response comparison of two active  doses (100 and 125 mg) with a low dose (40 mg) of MDMA administered during  eight-hour psychotherapy sessions. Change in the Clinician-Administered PTSD  Scale total scores one month after two sessions of MDMA served as the primary  outcome. Active dose groups had one additional open-label session; the low dose  group crossed over for three open-label active dose sessions. A 12-month  follow-up assessment occurred after the final MDMA session. RESULTS: In the  intent-to-treat set, the active groups had the largest reduction in  Clinician-Administered PTSD Scale total scores at the primary endpoint, with mean  (standard deviation) changes of -26.3 (29.5) for 125 mg, -24.4 (24.2) for 100 mg,  and -11.5 (21.2) for 40 mg, though statistical significance was reached only in  the per protocol set ( p=0.03). Posttraumatic stress disorder symptoms remained  lower than baseline at 12-month follow-up ( p&lt;0.001) with 76% ( n=25) not meeting  posttraumatic stress disorder criteria. There were no drug-related serious  adverse events, and the treatment was well-tolerated. CONCLUSIONS: Our findings  support previous investigations of MDMA-assisted psychotherapy as an innovative,  efficacious treatment for posttraumatic stress disorder.","container-title":"Journal of psychopharmacology (Oxford, England)","DOI":"10.1177/0269881118806297","ISSN":"1461-7285 0269-8811","issue":"12","journalAbbreviation":"J Psychopharmacol","language":"eng","note":"publisher-place: United States","page":"1295-1307","PMID":"30371148","PMCID":"PMC6247454","title":"3,4-Methylenedioxymethamphetamine-assisted psychotherapy for treatment of chronic posttraumatic stress disorder: A randomized phase 2 controlled trial.","volume":"32","author":[{"family":"Ot'alora G","given":"Marcela"},{"family":"Grigsby","given":"Jim"},{"family":"Poulter","given":"Bruce"},{"family":"Van Derveer","given":"Joseph W. 3rd"},{"family":"Giron","given":"Sara Gael"},{"family":"Jerome","given":"Lisa"},{"family":"Feduccia","given":"Allison A."},{"family":"Hamilton","given":"Scott"},{"family":"Yazar-Klosinski","given":"Berra"},{"family":"Emerson","given":"Amy"},{"family":"Mithoefer","given":"Michael C."},{"family":"Doblin","given":"Rick"}],"issued":{"date-parts":[["2018",12]]}}},{"id":3025,"uris":["http://zotero.org/users/4564126/items/TZ5GZULV"],"itemData":{"id":3025,"type":"report","number":"NCT01958593","title":"Randomized, double-blind, controlled of MDMA-assisted psychotherapy in 12 subjects with PTSD [WWW Document]","URL":"https://clinicaltrials.gov/study/NCT01958593","author":[{"family":"Pacey","given":"Ingrid"}]}},{"id":424,"uris":["http://zotero.org/users/4564126/items/ZQ6DNZGW"],"itemData":{"id":424,"type":"article-journal","abstract":"The success of modern medicine creates a growing population of those suffering from life-threatening illnesses (LTI) who often experience anxiety, depression,  and existential distress. We present a novel approach; investigating  MDMA-assisted psychotherapy for the treatment of anxiety in people with an LTI.  Participants with anxiety from an LTI were randomized in a double-blind study to  receive MDMA (125 mg, n = 13) or placebo (n = 5) in combination with two 8-h  psychotherapy sessions. The primary outcome was change in State-Trait Anxiety  Inventory (STAI) Trait scores from baseline to one month post the second  experimental session. After unblinding, participants in the MDMA group had one  open-label MDMA session and placebo participants crossed over to receive three  open-label MDMA sessions. Additional follow-up assessments occurred six and  twelve months after a participant's last experimental session. At the primary  endpoint, the MDMA group had a greater mean (SD) reduction in STAI-Trait scores,  - 23.5 (13.2), indicating less anxiety, compared to placebo group, - 8.8 (14.7);  results did not reach a significant group difference (p = .056). Hedges' g  between-group effect size was 1.03 (95% CI: - 5.25, 7.31). Overall, MDMA was  well-tolerated in this sample. These preliminary findings can inform development  of larger clinical trials to further examine MDMA-assisted psychotherapy as a  novel approach to treat individuals with LTI-related anxiety.Trial Registration:  clinicaltrials.gov Identifier: NCT02427568, first registered April 28, 2015.","container-title":"Scientific reports","DOI":"10.1038/s41598-020-75706-1","ISSN":"2045-2322","issue":"1","journalAbbreviation":"Sci Rep","language":"eng","note":"publisher-place: England","page":"20442","PMID":"33235285","PMCID":"PMC7686344","title":"MDMA-assisted psychotherapy for treatment of anxiety and other psychological distress related to life-threatening illnesses: a randomized pilot study.","volume":"10","author":[{"family":"Wolfson","given":"Philip E."},{"family":"Andries","given":"Julane"},{"family":"Feduccia","given":"Allison A."},{"family":"Jerome","given":"Lisa"},{"family":"Wang","given":"Julie B."},{"family":"Williams","given":"Emily"},{"family":"Carlin","given":"Shannon C."},{"family":"Sola","given":"Evan"},{"family":"Hamilton","given":"Scott"},{"family":"Yazar-Klosinski","given":"Berra"},{"family":"Emerson","given":"Amy"},{"family":"Mithoefer","given":"Michael C."},{"family":"Doblin","given":"Rick"}],"issued":{"date-parts":[["2020",11,24]]}}}],"schema":"https://github.com/citation-style-language/schema/raw/master/csl-citation.json"} </w:instrText>
      </w:r>
      <w:r w:rsidR="0090474B">
        <w:rPr>
          <w:lang w:val="en-US"/>
        </w:rPr>
        <w:fldChar w:fldCharType="separate"/>
      </w:r>
      <w:r w:rsidR="0090474B" w:rsidRPr="0090474B">
        <w:rPr>
          <w:lang w:val="en-US" w:eastAsia="en-US"/>
        </w:rPr>
        <w:t>(Bouso et al., 2008; Mitchell et al., 2021; Mitchell &amp; others, 2023; Mithoefer et al., 2011, 2018, 2019; Oehen et al., 2013; Ot’alora G et al., 2018; Pacey, s. d.; Wolfson et al., 2020)</w:t>
      </w:r>
      <w:r w:rsidR="0090474B">
        <w:rPr>
          <w:lang w:val="en-US"/>
        </w:rPr>
        <w:fldChar w:fldCharType="end"/>
      </w:r>
      <w:r w:rsidR="0090474B">
        <w:rPr>
          <w:lang w:val="en-US"/>
        </w:rPr>
        <w:t xml:space="preserve">, </w:t>
      </w:r>
      <w:r w:rsidRPr="007A17FC">
        <w:rPr>
          <w:lang w:val="en-US"/>
        </w:rPr>
        <w:t xml:space="preserve">LSD in </w:t>
      </w:r>
      <w:r w:rsidR="00CB1243">
        <w:rPr>
          <w:lang w:val="en-US"/>
        </w:rPr>
        <w:t>6</w:t>
      </w:r>
      <w:r w:rsidRPr="007A17FC">
        <w:rPr>
          <w:lang w:val="en-US"/>
        </w:rPr>
        <w:t xml:space="preserve"> (n = 187)</w:t>
      </w:r>
      <w:r w:rsidR="0090474B">
        <w:rPr>
          <w:lang w:val="en-US"/>
        </w:rPr>
        <w:t xml:space="preserve"> </w:t>
      </w:r>
      <w:r w:rsidR="0090474B">
        <w:rPr>
          <w:lang w:val="en-US"/>
        </w:rPr>
        <w:fldChar w:fldCharType="begin"/>
      </w:r>
      <w:r w:rsidR="003D39F1">
        <w:rPr>
          <w:lang w:val="en-US"/>
        </w:rPr>
        <w:instrText xml:space="preserve"> ADDIN ZOTERO_ITEM CSL_CITATION {"citationID":"ShgYCZVH","properties":{"formattedCitation":"(Gasser et al., 2014; Hollister et al., 1969; Holze et al., 2023; M\\uc0\\u252{}ller et al., 2025; Robison et al., 2025; Tomsovic &amp; Edwards, 1970)","plainCitation":"(Gasser et al., 2014; Hollister et al., 1969; Holze et al., 2023; Müller et al., 2025; Robison et al., 2025; Tomsovic &amp; Edwards, 1970)","noteIndex":0},"citationItems":[{"id":831,"uris":["http://zotero.org/users/4564126/items/6BTJMUZL"],"itemData":{"id":831,"type":"article-journal","abstract":"A double-blind, randomized, active placebo-controlled pilot study was conducted to examine safety and efficacy of lysergic acid diethylamide (LSD)-assisted  psychotherapy in 12 patients with anxiety associated with life-threatening  diseases. Treatment included drug-free psychotherapy sessions supplemented by two  LSD-assisted psychotherapy sessions 2 to 3 weeks apart. The participants received  either 200 μg of LSD (n = 8) or 20 μg of LSD with an open-label crossover to 200  μg of LSD after the initial blinded treatment was unmasked (n = 4). At the  2-month follow-up, positive trends were found via the State-Trait Anxiety  Inventory (STAI) in reductions in trait anxiety (p = 0.033) with an effect size  of 1.1, and state anxiety was significantly reduced (p = 0.021) with an effect  size of 1.2, with no acute or chronic adverse effects persisting beyond 1 day  after treatment or treatment-related serious adverse events. STAI reductions were  sustained for 12 months. These results indicate that when administered safely in  a methodologically rigorous medically supervised psychotherapeutic setting, LSD  can reduce anxiety, suggesting that larger controlled studies are warranted.","container-title":"The Journal of nervous and mental disease","DOI":"10.1097/NMD.0000000000000113","ISSN":"1539-736X 0022-3018","issue":"7","journalAbbreviation":"J Nerv Ment Dis","language":"eng","note":"publisher-place: United States","page":"513-520","PMID":"24594678","PMCID":"PMC4086777","title":"Safety and efficacy of lysergic acid diethylamide-assisted psychotherapy for anxiety associated with life-threatening diseases.","volume":"202","author":[{"family":"Gasser","given":"Peter"},{"family":"Holstein","given":"Dominique"},{"family":"Michel","given":"Yvonne"},{"family":"Doblin","given":"Rick"},{"family":"Yazar-Klosinski","given":"Berra"},{"family":"Passie","given":"Torsten"},{"family":"Brenneisen","given":"Rudolf"}],"issued":{"date-parts":[["2014",7]]}}},{"id":2965,"uris":["http://zotero.org/users/4564126/items/QWXGANKD"],"itemData":{"id":2965,"type":"article-journal","container-title":"American Journal of Psychiatry","DOI":"10.1176/ajp.125.10.1352","ISSN":"0002-953X, 1535-7228","issue":"10","journalAbbreviation":"AJP","language":"en","page":"1352-1357","source":"DOI.org (Crossref)","title":"A Controlled Comparison of Lysergic Acid Diethylamide (LSD) and Dextroamphetamine in Alcoholics","volume":"125","author":[{"family":"Hollister","given":"Leo E."},{"family":"Shelton","given":"Jack"},{"family":"Krieger","given":"George"}],"issued":{"date-parts":[["1969",4]]}}},{"id":73,"uris":["http://zotero.org/users/4564126/items/VRDY3ZHH"],"itemData":{"id":73,"type":"article-journal","abstract":"BACKGROUND: This study aimed to investigate the efficacy and safety of lysergic acid diethylamide (LSD)-assisted therapy in patients who experienced anxiety with  or without association with a life-threatening illness. METHODS: The study is an  investigator-initiated 2-center trial that used a double-blind,  placebo-controlled, 2-period, random-order, crossover design with 2 sessions with  either oral LSD (200 μg) or placebo per period. The primary end point was anxiety  symptoms 16 weeks after the last treatment session, assessed by the Spielberger  State-Trait Anxiety Inventory-Global score in 42 patients. Further outcome  measures included ratings for depression symptoms (Beck Depression Inventory and  Hamilton Depression Rating Scale, 21-item version) and ratings for acute  subjective drug effects. The outcomes for the first period (between-subjects  analysis) are primarily shown due to carryover effects. RESULTS: LSD treatment  resulted in significant reductions of State-Trait Anxiety Inventory-Global scores  up to 16 weeks after treatment (least-square mean [standard error] change from  baseline difference = -16.2 [5.8], 95% CI, -27.8 to -4.5, d = -1.18, p = .007).  Similar effects were observed for ratings of comorbid depression on the Hamilton  Depression Rating Scale, 21-item version (-7.0 [1.9], 95% CI, -10.8 to -3.2,  d = -1.1, p = .0004) and the Beck Depression Inventory (-6.1 [2.6], 95% CI, -11.4  to -0.9, d = -0.72, p = .02). Positive acute subjective drug effects and  mystical-type experiences correlated with the long-term reductions in anxiety  symptoms. Transient, mild, acute untoward effects of LSD treatment were reported  by 8 patients (19%). One treatment-related serious adverse event (acute transient  anxiety) occurred (2%). CONCLUSIONS: LSD produced long-lasting and notable  reductions in anxiety and comorbid depression symptoms up to 16 weeks.","container-title":"Biological psychiatry","DOI":"10.1016/j.biopsych.2022.08.025","ISSN":"1873-2402 0006-3223","issue":"3","journalAbbreviation":"Biol Psychiatry","language":"eng","license":"Copyright © 2022 Society of Biological Psychiatry. Published by Elsevier Inc. All rights reserved.","note":"publisher-place: United States","page":"215-223","PMID":"36266118","title":"Lysergic Acid Diethylamide-Assisted Therapy in Patients With Anxiety With and Without a Life-Threatening Illness: A Randomized, Double-Blind,  Placebo-Controlled Phase II Study.","volume":"93","author":[{"family":"Holze","given":"Friederike"},{"family":"Gasser","given":"Peter"},{"family":"Müller","given":"Felix"},{"family":"Dolder","given":"Patrick C."},{"family":"Liechti","given":"Matthias E."}],"issued":{"date-parts":[["2023",2,1]]}}},{"id":2943,"uris":["http://zotero.org/users/4564126/items/VCR8J7DW"],"itemData":{"id":2943,"type":"article-journal","abstract":"Summary Background This trial aimed to assess the efficacy of lysergic acid diethylamide (LSD)-assisted therapy in patients with moderate-to-severe major depressive disorder. Methods This was a randomized, parallel, double-blind, low-dose controlled trial (Clinicaltrials.gov: NCT03866252). Patients were randomly assigned in a 1:1 ratio to receive supportive psychotherapy and either 100 μg + 200 μg LSD or 25 μg + 25 μg LSD in two dosing sessions. The primary endpoints were the changes in scores on the Inventory of Depressive Symptomatology, in the Clinician-Rated (IDS-C) version (assessed by the treating therapist) and the Self-Rated (IDS-SR) version, from baseline to 2 weeks after the second administration. The IDS scores were also assessed 6 and 12 weeks after the second administration. Findings Thirty-one patients were randomized to the low-dose group, and 30 were randomized to the high-dose group. At the primary endpoint, least-squares mean change (LSM) in IDS-SR scores was −3.9 in the low-dose and −11.8 in the high-dose group (difference: −7.9; 95% CI, −16.0 to 0.3; effect size: −0.5; p = 0.059). LSM in IDS-C scores was −3.6 in the low-dose and −12.9 in the high-dose group (difference: −9.2; CI, −17.1 to −1.3; effect size: −0.6; p = 0.023; corrected &lt;0.05). However, significance was not reached after adjusting for baseline depression scores (p = 0.086). Both outcomes remained numerically consistent up to the final follow-up at 12 weeks. Adverse events were comparable between groups. Conclusions The findings of this exploratory study support further investigation of LSD-assisted therapy in depression in a larger phase 3 trial. Funding Gertrud Thalmann Fund for depression research.","container-title":"Med","DOI":"https://doi.org/10.1016/j.medj.2025.100725","ISSN":"2666-6340","issue":"9","page":"100725","title":"Efficacy and safety of low- versus high-dose-LSD-assisted therapy in patients with major depression: A randomized trial","volume":"6","author":[{"family":"Müller","given":"Felix"},{"family":"Zaczek","given":"Hannes"},{"family":"Becker","given":"Anna M."},{"family":"Ley","given":"Laura"},{"family":"Borgwardt","given":"Stefan"},{"family":"Jesus","given":"Joyce Santos","dropping-particle":"de"},{"family":"Loh","given":"Nico"},{"family":"Kohut","given":"Jan"},{"family":"Auernig","given":"Mathias"},{"family":"Boehlke","given":"Christopher"},{"family":"Liechti","given":"Matthias E."}],"issued":{"date-parts":[["2025"]]}}},{"id":2967,"uris":["http://zotero.org/users/4564126/items/X2UKA4ZM"],"itemData":{"id":2967,"type":"article-journal","abstract":"OBJECTIVE To determine the dose-response relationship of MM120 (lysergide D-tartrate) in adults with moderate to severe GAD. DESIGN, SETTINGS, AND PARTICIPANTS This phase 2b, multicenter, randomized, double-blind, placebo-controlled study enrolled 198 adults aged 18 to 74 years with a primary GAD diagnosis who presented with moderate to severe symptoms (defined by a Hamilton Anxiety Rating Scale [HAM-A] score 20) and was conducted at 22 outpatient psychiatric research sites in the US from August 2022 to August 2023. The anxiety and depression end point assessments were conducted by independent central raters who were blinded to the trial protocol, treatment allocation, and study visit date. The last date of follow-up was November 27, 2023. INTERVENTIONS Participants were randomized to receive a single (freebase equivalent) treatment dose with 25 μg (n = 39), 50 μg (n = 40), 100 μg (n = 40), or 200 μg (n = 40) of MM120 or placebo (n = 39). MAIN OUTCOME AND MEASURES The primary outcome was a dose-response relationship assessed using the multiple comparison procedure modeling (MCP-Mod) method for change in HAM-A score at 4 weeks (score range, 0-56; higher scores indicate greater severity; 7 indicates no or minimal anxiety; 8-14, mild; 15-23, moderate; and 24, severe). The minimal clinically important difference was 2.5 points.\nRESULTS Of the 198 participants randomized, 194 were included in the full analysis set (mean age, 41.3 [SD, 13.6] years; 56.7% were female; and 3.6% were Asian, 7.7% were Black or African American, and 83.0% were White). The dose-response relationship assessed using the MCP-Mod method for change in HAM-A score at week 4 was statistically significant for the 100-μg and the 200-μg dose groups vs placebo (least-squares mean difference, −5.0 points [95% CI, −9.6 to −0.4 points] with 100 μg of MM120 and −6.0 points [95% CI, −9.8 to −2.0 points] with 200 μg of MM120) but the 25-μg and 50-μg dose groups did not reach significance vs placebo (least-squares mean difference, −1.2 points [95% CI, −6.0 to 3.5 points] with 25 μg of MM120 and −1.8 points [95% CI, −7.6 to 4.0 points] with 50 μg of MM120). The adverse events were consistent with the expected effects of MM120. The most common adverse events were visual perceptual changes (illusion, pseudo-hallucination, and visual hallucination), which occurred in 46.2% of participants who received 25 μg of MM120, in 75.0% who received 50 μg, in 92.5% who received 100 μg, in 100% who received 200 μg, and in 10.3% who received placebo; nausea occurred in 7.7%, 27.5%, 40.0%, 60.0%, and 7.7%, respectively; and headache occurred in 12.8%, 22.5%, 35.0%, 27.5%, and 23.1%.\nCONCLUSIONS AND RELEVANCE In participants with moderate to severe GAD, a single dose of MM120 produced a dose-dependent reduction in anxiety. These results support the dose-dependent efficacy of MM120 and inform the dose selection for phase 3 pivotal trials.","container-title":"JAMA","DOI":"10.1001/jama.2025.13481","ISSN":"0098-7484","issue":"15","journalAbbreviation":"JAMA","language":"en","page":"1358","source":"DOI.org (Crossref)","title":"Single Treatment With MM120 (Lysergide) in Generalized Anxiety Disorder: A Randomized Clinical Trial","title-short":"Single Treatment With MM120 (Lysergide) in Generalized Anxiety Disorder","volume":"334","author":[{"family":"Robison","given":"Reid"},{"family":"Barrow","given":"Robert"},{"family":"Conant","given":"Craig"},{"family":"Foster","given":"Eric"},{"family":"Freedman","given":"Jamie M."},{"family":"Jacobsen","given":"Paula L."},{"family":"Jemison","given":"Jamileh"},{"family":"Karas","given":"Sarah M."},{"family":"Karlin","given":"Daniel R."},{"family":"Solomon","given":"Todd M."},{"family":"Halperin Wernli","given":"Miri"},{"family":"Fava","given":"Maurizio"}],"issued":{"date-parts":[["2025",10,21]]}}},{"id":2971,"uris":["http://zotero.org/users/4564126/items/UE7EYGNL"],"itemData":{"id":2971,"type":"article-journal","abstract":"Of 75 alcoholics treated with lysergide, 23 were diagnosed as schizophrenics. The nonschizophrenics had better reactions to the drug and more of them were abstinent at a 1-year follow-up than the schizophrenics and than alcoholics treated by other methods.","container-title":"Quarterly Journal of Studies on Alcohol","DOI":"10.15288/qjsa.1970.31.932","ISSN":"0033-5649, 1946-7214","issue":"4","journalAbbreviation":"Q. J. Stud. Alcohol","language":"en","page":"932-949","source":"DOI.org (Crossref)","title":"Lysergide Treatment of Schizophrenic and Nonschizophrenic Alcoholics; A Controlled Evaluation","volume":"31","author":[{"family":"Tomsovic","given":"Milan"},{"family":"Edwards","given":"Robert V."}],"issued":{"date-parts":[["1970",12,1]]}}}],"schema":"https://github.com/citation-style-language/schema/raw/master/csl-citation.json"} </w:instrText>
      </w:r>
      <w:r w:rsidR="0090474B">
        <w:rPr>
          <w:lang w:val="en-US"/>
        </w:rPr>
        <w:fldChar w:fldCharType="separate"/>
      </w:r>
      <w:r w:rsidR="003D39F1" w:rsidRPr="003D39F1">
        <w:rPr>
          <w:lang w:val="en-US" w:eastAsia="en-US"/>
        </w:rPr>
        <w:t>(Gasser et al., 2014; Hollister et al., 1969; Holze et al., 2023; Müller et al., 2025; Robison et al., 2025; Tomsovic &amp; Edwards, 1970)</w:t>
      </w:r>
      <w:r w:rsidR="0090474B">
        <w:rPr>
          <w:lang w:val="en-US"/>
        </w:rPr>
        <w:fldChar w:fldCharType="end"/>
      </w:r>
      <w:r w:rsidRPr="007A17FC">
        <w:rPr>
          <w:lang w:val="en-US"/>
        </w:rPr>
        <w:t xml:space="preserve">, psilocybin in </w:t>
      </w:r>
      <w:r w:rsidR="00AE0DFD">
        <w:rPr>
          <w:lang w:val="en-US"/>
        </w:rPr>
        <w:t>nine</w:t>
      </w:r>
      <w:r w:rsidRPr="007A17FC">
        <w:rPr>
          <w:lang w:val="en-US"/>
        </w:rPr>
        <w:t xml:space="preserve"> (n = 409)</w:t>
      </w:r>
      <w:r w:rsidR="003D39F1">
        <w:rPr>
          <w:lang w:val="en-US"/>
        </w:rPr>
        <w:t xml:space="preserve"> </w:t>
      </w:r>
      <w:r w:rsidR="003D39F1">
        <w:rPr>
          <w:lang w:val="en-US"/>
        </w:rPr>
        <w:fldChar w:fldCharType="begin"/>
      </w:r>
      <w:r w:rsidR="003D39F1">
        <w:rPr>
          <w:lang w:val="en-US"/>
        </w:rPr>
        <w:instrText xml:space="preserve"> ADDIN ZOTERO_ITEM CSL_CITATION {"citationID":"jZAoETB1","properties":{"formattedCitation":"(Back et al., 2024; Bogenschutz et al., 2022; R. Carhart-Harris et al., 2021; R. L. Carhart-Harris et al., 2016; Goodwin et al., 2022; Raison et al., 2023; Rieser et al., 2025; Ross et al., 2016; Von Rotz et al., 2023)","plainCitation":"(Back et al., 2024; Bogenschutz et al., 2022; R. Carhart-Harris et al., 2021; R. L. Carhart-Harris et al., 2016; Goodwin et al., 2022; Raison et al., 2023; Rieser et al., 2025; Ross et al., 2016; Von Rotz et al., 2023)","noteIndex":0},"citationItems":[{"id":530,"uris":["http://zotero.org/users/4564126/items/3X45KU2G"],"itemData":{"id":530,"type":"article-journal","abstract":"IMPORTANCE: The psychological morbidity experienced by physicians, advanced practice practitioners (APPs), and nurses from working during the COVID-19  pandemic includes burnout, depression, and posttraumatic stress disorder (PTSD).  OBJECTIVE: To investigate whether psilocybin therapy could improve symptoms of  depression, burnout, and PTSD in US clinicians who developed these symptoms from  frontline clinical work during the pandemic. DESIGN, SETTING, AND PARTICIPANTS:  This double-blind randomized clinical trial enrolled participants from February  to December 2022. Participants included physicians, APPs, and nurses who provided  frontline care for more than 1 month during the pandemic and had no prepandemic  mental health diagnoses but had moderate or severe symptoms of depression at  enrollment. Participants were randomly assigned to either the psilocybin or  niacin arm. Data analysis was conducted between December 2023 and May 2024 and  was based on the intention-to-treat principle. INTERVENTION: One intervention  episode consisted of 2 preparation visits, 1 medication session, and 3  integration visits. At the medication session, participants received psilocybin,  25 mg, or niacin, 100 mg, orally. MAIN OUTCOME AND MEASURES: The primary outcome  was a change from baseline (preparation 1 session) to day 28 (after medication  administration) in symptoms of depression as measured by the  clinician-administered Montgomery-Asberg Depression Rating Scale (MADRS) used by  blinded raters. The secondary outcomes were a change in symptoms of burnout  (measured with the Stanford Professional Fulfillment Index [SPFI]) and symptoms  of PTSD (measured with the Posttraumatic Stress Disorder Checklist for Diagnostic  and Statistical Manual of Mental Disorders, Fifth Edition [PCL-5]). RESULTS: A  total of 30 clinicians (15 females [50%]; mean [range] age, 38 [29-60] years)  participated, of whom 15 were randomly assigned to receive psilocybin and 15 to  receive niacin. The mean change in symptoms of depression (MADRS scores) from  preparation 1 session to day 28 was -21.33 (7.84) in the psilocybin arm compared  with -9.33 (7.32) in the niacin arm, with a mean difference between arms of  -12.00 (95% CI, -17.67 to -6.33; P &lt; .001), a decrease in MADRS scores indicating  improvement. The mean change in SPFI scores from preparation 1 session to day 28  showed a numerically larger improvement in symptoms of burnout in the psilocybin  compared with the niacin arm (-6.40 [5.00] vs -2.33 [5.97]; P = .05) but was not  statistically significant. Since the SPFI score change did not reach statistical  significance, the PCL-5 score change was evaluated descriptively. The mean change  in PCL-5 scores showed a numerically larger decrease in symptoms of PTSD from  preparation 1 session to day 28 in the psilocybin vs the niacin arm (-16.67  [15.04] vs -6.73 [10.69]), but this difference was not statistically tested.  CONCLUSIONS AND RELEVANCE: This randomized clinical trial found that psilocybin  therapy resulted in a significant, sustained reduction in symptoms of depression  experienced by clinicians after frontline work during the COVID-19 pandemic. The  findings establish psilocybin therapy as a new paradigm of treatment for this  postpandemic condition. TRIAL REGISTRATION: ClinicalTrials.gov Identifier:  NCT05163496.","container-title":"JAMA network open","DOI":"10.1001/jamanetworkopen.2024.49026","ISSN":"2574-3805","issue":"12","journalAbbreviation":"JAMA Netw Open","language":"eng","note":"publisher-place: United States","page":"e2449026","PMID":"39636638","PMCID":"PMC11621983","title":"Psilocybin Therapy for Clinicians With Symptoms of Depression From Frontline Care During the COVID-19 Pandemic: A Randomized Clinical Trial.","volume":"7","author":[{"family":"Back","given":"Anthony L."},{"family":"Freeman-Young","given":"Timara K."},{"family":"Morgan","given":"Ladybird"},{"family":"Sethi","given":"Tanmeet"},{"family":"Baker","given":"Kelsey K."},{"family":"Myers","given":"Susanna"},{"family":"McGregor","given":"Bonnie A."},{"family":"Harvey","given":"Kalin"},{"family":"Tai","given":"Marlene"},{"family":"Kollefrath","given":"Austin"},{"family":"Thomas","given":"Brandon J."},{"family":"Sorta","given":"Dennis"},{"family":"Kaelen","given":"Mendel"},{"family":"Kelmendi","given":"Benjamin"},{"family":"Gooley","given":"Ted A."}],"issued":{"date-parts":[["2024",12,2]]}}},{"id":2982,"uris":["http://zotero.org/users/4564126/items/H6YHRFSR"],"itemData":{"id":2982,"type":"article-journal","abstract":"OBJECTIVE To evaluate whether 2 administrations of high-dose psilocybin improve the percentage of heavy drinking days in patients with AUD undergoing psychotherapy relative to outcomes observed with active placebo medication and psychotherapy. DESIGN, SETTING, AND PARTICIPANTS In this double-blind randomized clinical trial, participants were offered 12 weeks of manualized psychotherapy and were randomly assigned to receive psilocybin vs diphenhydramine during 2 day-long medication sessions at weeks 4 and 8. Outcomes were assessed over the 32-week double-blind period following the first dose of study medication. The study was conducted at 2 academic centers in the US. Participants were recruited from the community between March 12, 2014, and March 19, 2020. Adults aged 25 to 65 years with a DSM-IV diagnosis of alcohol dependence and at least 4 heavy drinking days during the 30 days prior to screening were included. Exclusion criteria included major psychiatric and drug use disorders, hallucinogen use, medical conditions that contraindicated the study medications, use of exclusionary medications, and current treatment for AUD. INTERVENTIONS Study medications were psilocybin, 25 mg/70 kg, vs diphenhydramine, 50 mg (first session), and psilocybin, 25-40 mg/70 kg, vs diphenhydramine, 50-100 mg (second session). Psychotherapy included motivational enhancement therapy and cognitive behavioral therapy. MAIN OUTCOMES AND MEASURES The primary outcome was percentage of heavy drinking days, assessed using a timeline followback interview, contrasted between groups over the 32-week period following the first administration of study medication using multivariate repeated-measures analysis of variance.\nRESULTS A total of 95 participants (mean [SD] age, 46 [12] years; 42 [44.2%] female) were randomized (49 to psilocybin and 46 to diphenhydramine). One participant (1.1%) was American Indian/Alaska Native, 3 (3.2%) were Asian, 4 (4.2%) were Black, 14 (14.7%) were Hispanic, and 75 (78.9%) were non-Hispanic White. Of the 95 randomized participants, 93 received at least 1 dose of study medication and were included in the primary outcome analysis. Percentage of heavy drinking days during the 32-week double-blind period was 9.7% for the psilocybin group and 23.6% for the diphenhydramine group, a mean difference of 13.9%; (95% CI, 3.0–24.7; F1,86 = 6.43; P = .01). Mean daily alcohol consumption (number of standard drinks per day) was also lower in the psilocybin group. There were no serious adverse events among participants who received psilocybin.\nCONCLUSIONS AND RELEVANCE Psilocybin administered in combination with psychotherapy produced robust decreases in percentage of heavy drinking days over and above those produced by active placebo and psychotherapy. These results provide support for further study of psilocybin-assisted treatment for AUD.","container-title":"JAMA Psychiatry","DOI":"10.1001/jamapsychiatry.2022.2096","ISSN":"2168-622X","issue":"10","journalAbbreviation":"JAMA Psychiatry","language":"en","page":"953","source":"DOI.org (Crossref)","title":"Percentage of Heavy Drinking Days Following Psilocybin-Assisted Psychotherapy vs Placebo in the Treatment of Adult Patients With Alcohol Use Disorder: A Randomized Clinical Trial","title-short":"Percentage of Heavy Drinking Days Following Psilocybin-Assisted Psychotherapy vs Placebo in the Treatment of Adult Patients With Alcohol Use Disorder","volume":"79","author":[{"family":"Bogenschutz","given":"Michael P."},{"family":"Ross","given":"Stephen"},{"family":"Bhatt","given":"Snehal"},{"family":"Baron","given":"Tara"},{"family":"Forcehimes","given":"Alyssa A."},{"family":"Laska","given":"Eugene"},{"family":"Mennenga","given":"Sarah E."},{"family":"O’Donnell","given":"Kelley"},{"family":"Owens","given":"Lindsey T."},{"family":"Podrebarac","given":"Samantha"},{"family":"Rotrosen","given":"John"},{"family":"Tonigan","given":"J. Scott"},{"family":"Worth","given":"Lindsay"}],"issued":{"date-parts":[["2022",10,1]]}}},{"id":738,"uris":["http://zotero.org/users/4564126/items/Q6FRP3NY"],"itemData":{"id":738,"type":"article-journal","abstract":"BACKGROUND: Psilocybin may have antidepressant properties, but direct comparisons between psilocybin and established treatments for depression are lacking.  METHODS: In a phase 2, double-blind, randomized, controlled trial involving  patients with long-standing, moderate-to-severe major depressive disorder, we  compared psilocybin with escitalopram, a selective serotonin-reuptake inhibitor,  over a 6-week period. Patients were assigned in a 1:1 ratio to receive two  separate doses of 25 mg of psilocybin 3 weeks apart plus 6 weeks of daily placebo  (psilocybin group) or two separate doses of 1 mg of psilocybin 3 weeks apart plus  6 weeks of daily oral escitalopram (escitalopram group); all the patients  received psychological support. The primary outcome was the change from baseline  in the score on the 16-item Quick Inventory of Depressive  Symptomatology-Self-Report (QIDS-SR-16; scores range from 0 to 27, with higher  scores indicating greater depression) at week 6. There were 16 secondary  outcomes, including QIDS-SR-16 response (defined as a reduction in score of &gt;50%)  and QIDS-SR-16 remission (defined as a score of ≤5) at week 6. RESULTS: A total  of 59 patients were enrolled; 30 were assigned to the psilocybin group and 29 to  the escitalopram group. The mean scores on the QIDS-SR-16 at baseline were 14.5  in the psilocybin group and 16.4 in the escitalopram group. The mean (±SE)  changes in the scores from baseline to week 6 were -8.0±1.0 points in the  psilocybin group and -6.0±1.0 in the escitalopram group, for a between-group  difference of 2.0 points (95% confidence interval [CI], -5.0 to 0.9) (P = 0.17).  A QIDS-SR-16 response occurred in 70% of the patients in the psilocybin group and  in 48% of those in the escitalopram group, for a between-group difference of 22  percentage points (95% CI, -3 to 48); QIDS-SR-16 remission occurred in 57% and  28%, respectively, for a between-group difference of 28 percentage points (95%  CI, 2 to 54). Other secondary outcomes generally favored psilocybin over  escitalopram, but the analyses were not corrected for multiple comparisons. The  incidence of adverse events was similar in the trial groups. CONCLUSIONS: On the  basis of the change in depression scores on the QIDS-SR-16 at week 6, this trial  did not show a significant difference in antidepressant effects between  psilocybin and escitalopram in a selected group of patients. Secondary outcomes  generally favored psilocybin over escitalopram, but the analyses of these  outcomes lacked correction for multiple comparisons. Larger and longer trials are  required to compare psilocybin with established antidepressants. (Funded by the  Alexander Mosley Charitable Trust and Imperial College London's Centre for  Psychedelic Research; ClinicalTrials.gov number, NCT03429075.).","container-title":"The New England journal of medicine","DOI":"10.1056/NEJMoa2032994","ISSN":"1533-4406 0028-4793","issue":"15","journalAbbreviation":"N Engl J Med","language":"eng","license":"Copyright © 2021 Massachusetts Medical Society.","note":"publisher-place: United States","page":"1402-1411","PMID":"33852780","title":"Trial of Psilocybin versus Escitalopram for Depression.","volume":"384","author":[{"family":"Carhart-Harris","given":"Robin"},{"family":"Giribaldi","given":"Bruna"},{"family":"Watts","given":"Rosalind"},{"family":"Baker-Jones","given":"Michelle"},{"family":"Murphy-Beiner","given":"Ashleigh"},{"family":"Murphy","given":"Roberta"},{"family":"Martell","given":"Jonny"},{"family":"Blemings","given":"Allan"},{"family":"Erritzoe","given":"David"},{"family":"Nutt","given":"David J."}],"issued":{"date-parts":[["2021",4,15]]}}},{"id":12,"uris":["http://zotero.org/users/4564126/items/EHBQPGT6"],"itemData":{"id":12,"type":"article-journal","abstract":"BACKGROUND: Psilocybin is a serotonin receptor agonist that occurs naturally in some mushroom species. Recent studies have assessed the therapeutic potential of  psilocybin for various conditions, including end-of-life anxiety,  obsessive-compulsive disorder, and smoking and alcohol dependence, with promising  preliminary results. Here, we aimed to investigate the feasibility, safety, and  efficacy of psilocybin in patients with unipolar treatment-resistant depression.  METHODS: In this open-label feasibility trial, 12 patients (six men, six women)  with moderate-to-severe, unipolar, treatment-resistant major depression received  two oral doses of psilocybin (10 mg and 25 mg, 7 days apart) in a supportive  setting. There was no control group. Psychological support was provided before,  during, and after each session. The primary outcome measure for feasibility was  patient-reported intensity of psilocybin's effects. Patients were monitored for  adverse reactions during the dosing sessions and subsequent clinic and remote  follow-up. Depressive symptoms were assessed with standard assessments from 1  week to 3 months after treatment, with the 16-item Quick Inventory of Depressive  Symptoms (QIDS) serving as the primary efficacy outcome. This trial is registered  with ISRCTN, number ISRCTN14426797. FINDINGS: Psilocybin's acute psychedelic  effects typically became detectable 30-60 min after dosing, peaked 2-3 h after  dosing, and subsided to negligible levels at least 6 h after dosing. Mean  self-rated intensity (on a 0-1 scale) was 0·51 (SD 0·36) for the low-dose session  and 0·75 (SD 0·27) for the high-dose session. Psilocybin was well tolerated by  all of the patients, and no serious or unexpected adverse events occurred. The  adverse reactions we noted were transient anxiety during drug onset (all  patients), transient confusion or thought disorder (nine patients), mild and  transient nausea (four patients), and transient headache (four patients).  Relative to baseline, depressive symptoms were markedly reduced 1 week (mean QIDS  difference -11·8, 95% CI -9·15 to -14·35, p=0·002, Hedges' g=3·1) and 3 months  (-9·2, 95% CI -5·69 to -12·71, p=0·003, Hedges' g=2) after high-dose treatment.  Marked and sustained improvements in anxiety and anhedonia were also noted.  INTERPRETATION: This study provides preliminary support for the safety and  efficacy of psilocybin for treatment-resistant depression and motivates further  trials, with more rigorous designs, to better examine the therapeutic potential  of this approach. FUNDING: Medical Research Council.","container-title":"The lancet. Psychiatry","DOI":"10.1016/S2215-0366(16)30065-7","ISSN":"2215-0374 2215-0366","issue":"7","journalAbbreviation":"Lancet Psychiatry","language":"eng","license":"Copyright © 2016 Carhart-Harris et al. Open Access article distributed under the terms of CC BY. Published by Elsevier Ltd.. All rights reserved.","note":"publisher-place: England","page":"619-627","PMID":"27210031","title":"Psilocybin with psychological support for treatment-resistant depression: an open-label feasibility study.","volume":"3","author":[{"family":"Carhart-Harris","given":"Robin L."},{"family":"Bolstridge","given":"Mark"},{"family":"Rucker","given":"James"},{"family":"Day","given":"Camilla M. J."},{"family":"Erritzoe","given":"David"},{"family":"Kaelen","given":"Mendel"},{"family":"Bloomfield","given":"Michael"},{"family":"Rickard","given":"James A."},{"family":"Forbes","given":"Ben"},{"family":"Feilding","given":"Amanda"},{"family":"Taylor","given":"David"},{"family":"Pilling","given":"Steve"},{"family":"Curran","given":"Valerie H."},{"family":"Nutt","given":"David J."}],"issued":{"date-parts":[["2016",7]]}}},{"id":771,"uris":["http://zotero.org/users/4564126/items/JMQWUY4P"],"itemData":{"id":771,"type":"article-journal","abstract":"BACKGROUND: Psilocybin is being studied for use in treatment-resistant depression. METHODS: In this phase 2 double-blind trial, we randomly assigned  adults with treatment-resistant depression to receive a single dose of a  proprietary, synthetic formulation of psilocybin at a dose of 25 mg, 10 mg, or 1  mg (control), along with psychological support. The primary end point was the  change from baseline to week 3 in the total score on the Montgomery-Åsberg  Depression Rating Scale (MADRS; range, 0 to 60, with higher scores indicating  more severe depression). Secondary end points included response at week 3 (≥50%  decrease from baseline in the MADRS total score), remission at week 3 (MADRS  total score ≤10), and sustained response at 12 weeks (meeting response criteria  at week 3 and all subsequent visits). RESULTS: A total of 79 participants were in  the 25-mg group, 75 in the 10-mg group, and 79 in the 1-mg group. The mean MADRS  total score at baseline was 32 or 33 in each group. Least-squares mean changes  from baseline to week 3 in the score were -12.0 for 25 mg, -7.9 for 10 mg, and  -5.4 for 1 mg; the difference between the 25-mg group and 1-mg group was -6.6  (95% confidence interval [CI], -10.2 to -2.9; P&lt;0.001) and between the 10-mg  group and 1-mg group was -2.5 (95% CI, -6.2 to 1.2; P = 0.18). In the 25-mg  group, the incidences of response and remission at 3 weeks, but not sustained  response at 12 weeks, were generally supportive of the primary results. Adverse  events occurred in 179 of 233 participants (77%) and included headache, nausea,  and dizziness. Suicidal ideation or behavior or self-injury occurred in all dose  groups. CONCLUSIONS: In this phase 2 trial involving participants with  treatment-resistant depression, psilocybin at a single dose of 25 mg, but not 10  mg, reduced depression scores significantly more than a 1-mg dose over a period  of 3 weeks but was associated with adverse effects. Larger and longer trials,  including comparison with existing treatments, are required to determine the  efficacy and safety of psilocybin for this disorder. (Funded by COMPASS  Pathfinder; EudraCT number, 2017-003288-36; ClinicalTrials.gov number,  NCT03775200.).","container-title":"The New England journal of medicine","DOI":"10.1056/NEJMoa2206443","ISSN":"1533-4406 0028-4793","issue":"18","journalAbbreviation":"N Engl J Med","language":"eng","license":"Copyright © 2022 Massachusetts Medical Society.","note":"publisher-place: United States","page":"1637-1648","PMID":"36322843","title":"Single-Dose Psilocybin for a Treatment-Resistant Episode of Major Depression.","volume":"387","author":[{"family":"Goodwin","given":"Guy M."},{"family":"Aaronson","given":"Scott T."},{"family":"Alvarez","given":"Oscar"},{"family":"Arden","given":"Peter C."},{"family":"Baker","given":"Annie"},{"family":"Bennett","given":"James C."},{"family":"Bird","given":"Catherine"},{"family":"Blom","given":"Renske E."},{"family":"Brennan","given":"Christine"},{"family":"Brusch","given":"Donna"},{"family":"Burke","given":"Lisa"},{"family":"Campbell-Coker","given":"Kete"},{"family":"Carhart-Harris","given":"Robin"},{"family":"Cattell","given":"Joseph"},{"family":"Daniel","given":"Aster"},{"family":"DeBattista","given":"Charles"},{"family":"Dunlop","given":"Boadie W."},{"family":"Eisen","given":"Katherine"},{"family":"Feifel","given":"David"},{"family":"Forbes","given":"MacKenzie"},{"family":"Haumann","given":"Hannah M."},{"family":"Hellerstein","given":"David J."},{"family":"Hoppe","given":"Astrid I."},{"family":"Husain","given":"Muhammad I."},{"family":"Jelen","given":"Luke A."},{"family":"Kamphuis","given":"Jeanine"},{"family":"Kawasaki","given":"Julie"},{"family":"Kelly","given":"John R."},{"family":"Key","given":"Richard E."},{"family":"Kishon","given":"Ronit"},{"family":"Knatz Peck","given":"Stephanie"},{"family":"Knight","given":"Gemma"},{"family":"Koolen","given":"Martijn H. B."},{"family":"Lean","given":"Melanie"},{"family":"Licht","given":"Rasmus W."},{"family":"Maples-Keller","given":"Jessica L."},{"family":"Mars","given":"Jan"},{"family":"Marwood","given":"Lindsey"},{"family":"McElhiney","given":"Martin C."},{"family":"Miller","given":"Tammy L."},{"family":"Mirow","given":"Arvin"},{"family":"Mistry","given":"Sunil"},{"family":"Mletzko-Crowe","given":"Tanja"},{"family":"Modlin","given":"Liam N."},{"family":"Nielsen","given":"René E."},{"family":"Nielson","given":"Elizabeth M."},{"family":"Offerhaus","given":"Sjoerd R."},{"family":"O'Keane","given":"Veronica"},{"family":"Páleníček","given":"Tomáš"},{"family":"Printz","given":"David"},{"family":"Rademaker","given":"Marleen C."},{"family":"Reemst","given":"Aumer","non-dropping-particle":"van"},{"family":"Reinholdt","given":"Frederick"},{"family":"Repantis","given":"Dimitris"},{"family":"Rucker","given":"James"},{"family":"Rudow","given":"Samuel"},{"family":"Ruffell","given":"Simon"},{"family":"Rush","given":"A. John"},{"family":"Schoevers","given":"Robert A."},{"family":"Seynaeve","given":"Mathieu"},{"family":"Shao","given":"Samantha"},{"family":"Soares","given":"Jair C."},{"family":"Somers","given":"Metten"},{"family":"Stansfield","given":"Susan C."},{"family":"Sterling","given":"Diane"},{"family":"Strockis","given":"Aaron"},{"family":"Tsai","given":"Joyce"},{"family":"Visser","given":"Lucy"},{"family":"Wahba","given":"Mourad"},{"family":"Williams","given":"Samuel"},{"family":"Young","given":"Allan H."},{"family":"Ywema","given":"Paula"},{"family":"Zisook","given":"Sidney"},{"family":"Malievskaia","given":"Ekaterina"}],"issued":{"date-parts":[["2022",11,3]]}}},{"id":2986,"uris":["http://zotero.org/users/4564126/items/ZJVKNIWA"],"itemData":{"id":2986,"type":"article-journal","abstract":"OBJECTIVE To evaluate the magnitude, timing, and durability of antidepressant effects and safety of a single dose of psilocybin in patients with MDD. DESIGN, SETTING, AND PARTICIPANTS In this phase 2 trial conducted between December 2019 and June 2022 at 11 research sites in the US, participants were randomized in a 1:1 ratio to receive a single dose of psilocybin vs niacin placebo administered with psychological support. Participants were adults aged 21 to 65 years with a Diagnostic and Statistical Manual of Mental Disorders, Fifth Edition diagnosis of MDD of at least 60 days’ duration and moderate or greater symptom severity. Exclusion criteria included history of psychosis or mania, active substance use disorder, and active suicidal ideation with intent. Participants taking psychotropic agents who otherwise met inclusion/exclusion criteria were eligible following medication taper. Primary and secondary outcomes and adverse events (AEs) were assessed at baseline (conducted within 7 days before dosing) and at 2, 8, 15, 29, and 43 days after dosing. INTERVENTIONS Interventions were a 25-mg dose of synthetic psilocybin or a 100-mg dose of niacin in identical-appearing capsules, each administered with psychological support. MAIN OUTCOMES AND MEASURES The primary outcome was change in central rater–assessed Montgomery-Asberg Depression Rating Scale (MADRS) score (range, 0-60; higher scores indicate more severe depression) from baseline to day 43. The key secondary outcome measure was change in MADRS score from baseline to day 8. Other secondary outcomes were change in Sheehan Disability Scale score from baseline to day 43 and MADRS-defined sustained response and remission. Participants, study site personnel, study sponsor, outcome assessors (raters), and statisticians were blinded to treatment assignment.\nRESULTS A total of 104 participants (mean [SD] age, 41.1 [11.3] years; 52 [50%] women) were randomized (51 to the psilocybin group and 53 to the niacin group). Psilocybin treatment was associated with significantly reduced MADRS scores compared with niacin from baseline to day 43 (mean difference,−12.3 [95% CI, −17.5 to −7.2]; P &lt;.001) and from baseline to day 8 (mean difference, −12.0 [95% CI, −16.6 to −7.4]; P &lt; .001). Psilocybin treatment was also associated with significantly reduced Sheehan Disability Scale scores compared with niacin (mean difference, −2.31 [95% CI, −3.50 to −1.11]; P &lt; .001) from baseline to day 43. More participants receiving psilocybin had sustained response (but not remission) than those receiving niacin. There were no serious treatment-emergent AEs; however, psilocybin treatment was associated with a higher rate of overall AEs and a higher rate of severe AEs.\nCONCLUSIONS AND RELEVANCE Psilocybin treatment was associated with a clinically significant sustained reduction in depressive symptoms and functional disability, without serious adverse events. These findings add to increasing evidence that psilocybin—when administered with psychological support—may hold promise as a novel intervention for MDD.","container-title":"JAMA","DOI":"10.1001/jama.2023.14530","ISSN":"0098-7484","issue":"9","journalAbbreviation":"JAMA","language":"en","page":"843","source":"DOI.org (Crossref)","title":"Single-Dose Psilocybin Treatment for Major Depressive Disorder: A Randomized Clinical Trial","title-short":"Single-Dose Psilocybin Treatment for Major Depressive Disorder","volume":"330","author":[{"family":"Raison","given":"Charles L."},{"family":"Sanacora","given":"Gerard"},{"family":"Woolley","given":"Joshua"},{"family":"Heinzerling","given":"Keith"},{"family":"Dunlop","given":"Boadie W."},{"family":"Brown","given":"Randall T."},{"family":"Kakar","given":"Rishi"},{"family":"Hassman","given":"Michael"},{"family":"Trivedi","given":"Rupal P."},{"family":"Robison","given":"Reid"},{"family":"Gukasyan","given":"Natalie"},{"family":"Nayak","given":"Sandeep M."},{"family":"Hu","given":"Xiaojue"},{"family":"O’Donnell","given":"Kelley C."},{"family":"Kelmendi","given":"Benjamin"},{"family":"Sloshower","given":"Jordan"},{"family":"Penn","given":"Andrew D."},{"family":"Bradley","given":"Ellen"},{"family":"Kelly","given":"Daniel F."},{"family":"Mletzko","given":"Tanja"},{"family":"Nicholas","given":"Christopher R."},{"family":"Hutson","given":"Paul R."},{"family":"Tarpley","given":"Gary"},{"family":"Utzinger","given":"Malynn"},{"family":"Lenoch","given":"Kelsey"},{"family":"Warchol","given":"Kasia"},{"family":"Gapasin","given":"Theraysa"},{"family":"Davis","given":"Mike C."},{"family":"Nelson-Douthit","given":"Courtney"},{"family":"Wilson","given":"Steffanie"},{"family":"Brown","given":"Carrie"},{"family":"Linton","given":"William"},{"family":"Johnson","given":"Matthew W."},{"family":"Ross","given":"Stephen"},{"family":"Griffiths","given":"Roland R."}],"issued":{"date-parts":[["2023",9,5]]}}},{"id":2987,"uris":["http://zotero.org/users/4564126/items/HZF876ZI"],"itemData":{"id":2987,"type":"article-journal","abstract":"Background Despite the promising therapeutic effects of psilocybin, its efﬁcacy in preventing relapse after withdrawal treatment for alcohol use disorder (AUD) remains unknown. This study aims to assess whether a single dose of psilocybin combined with brief psychotherapy could reduce relapse rates and alcohol use in AUD patients.","container-title":"eClinicalMedicine","DOI":"10.1016/j.eclinm.2025.103149","ISSN":"25895370","journalAbbreviation":"eClinicalMedicine","language":"en","page":"103149","source":"DOI.org (Crossref)","title":"Psilocybin-assisted therapy for relapse prevention in alcohol use disorder: a phase 2 randomized clinical trial","title-short":"Psilocybin-assisted therapy for relapse prevention in alcohol use disorder","volume":"82","author":[{"family":"Rieser","given":"Nathalie M."},{"family":"Bitar","given":"Raoul"},{"family":"Halm","given":"Simon"},{"family":"Rossgoderer","given":"Christina"},{"family":"Gubser","given":"Ladina P."},{"family":"Thévenaz","given":"Maeva"},{"family":"Kreis","given":"Yara"},{"family":"Von Rotz","given":"Robin"},{"family":"Nordt","given":"Carlos"},{"family":"Visentini","given":"Monika"},{"family":"Moujaes","given":"Flora"},{"family":"Engeli","given":"Etna J.E."},{"family":"Ort","given":"Andres"},{"family":"Seifritz","given":"Erich"},{"family":"Vollenweider","given":"Franz X."},{"family":"Herdener","given":"Marcus"},{"family":"Preller","given":"Katrin H."}],"issued":{"date-parts":[["2025",4]]}}},{"id":25,"uris":["http://zotero.org/users/4564126/items/5RSA8JBD"],"itemData":{"id":25,"type":"article-journal","abstract":"BACKGROUND: Clinically significant anxiety and depression are common in patients with cancer, and are associated with poor psychiatric and medical outcomes.  Historical and recent research suggests a role for psilocybin to treat  cancer-related anxiety and depression. METHODS: In this double-blind,  placebo-controlled, crossover trial, 29 patients with cancer-related anxiety and  depression were randomly assigned and received treatment with single-dose  psilocybin (0.3 mg/kg) or niacin, both in conjunction with psychotherapy. The  primary outcomes were anxiety and depression assessed between groups prior to the  crossover at 7 weeks. RESULTS: Prior to the crossover, psilocybin produced  immediate, substantial, and sustained improvements in anxiety and depression and  led to decreases in cancer-related demoralization and hopelessness, improved  spiritual wellbeing, and increased quality of life. At the 6.5-month follow-up,  psilocybin was associated with enduring anxiolytic and anti-depressant effects  (approximately 60-80% of participants continued with clinically significant  reductions in depression or anxiety), sustained benefits in existential distress  and quality of life, as well as improved attitudes towards death. The  psilocybin-induced mystical experience mediated the therapeutic effect of  psilocybin on anxiety and depression. CONCLUSIONS: In conjunction with  psychotherapy, single moderate-dose psilocybin produced rapid, robust and  enduring anxiolytic and anti-depressant effects in patients with cancer-related  psychological distress. TRIAL REGISTRATION: ClinicalTrials.gov Identifier:  NCT00957359.","container-title":"Journal of psychopharmacology (Oxford, England)","DOI":"10.1177/0269881116675512","ISSN":"1461-7285 0269-8811","issue":"12","journalAbbreviation":"J Psychopharmacol","language":"eng","license":"© The Author(s) 2016.","note":"publisher-place: United States","page":"1165-1180","PMID":"27909164","PMCID":"PMC5367551","title":"Rapid and sustained symptom reduction following psilocybin treatment for anxiety and depression in patients with life-threatening cancer: a randomized controlled  trial.","volume":"30","author":[{"family":"Ross","given":"Stephen"},{"family":"Bossis","given":"Anthony"},{"family":"Guss","given":"Jeffrey"},{"family":"Agin-Liebes","given":"Gabrielle"},{"family":"Malone","given":"Tara"},{"family":"Cohen","given":"Barry"},{"family":"Mennenga","given":"Sarah E."},{"family":"Belser","given":"Alexander"},{"family":"Kalliontzi","given":"Krystallia"},{"family":"Babb","given":"James"},{"family":"Su","given":"Zhe"},{"family":"Corby","given":"Patricia"},{"family":"Schmidt","given":"Brian L."}],"issued":{"date-parts":[["2016",12]]}}},{"id":2989,"uris":["http://zotero.org/users/4564126/items/LZ533Z6B"],"itemData":{"id":2989,"type":"article-journal","abstract":"Background Psilocybin has been suggested as a novel, rapid-acting treatment for depression. Two consecutive doses have been shown to markedly decrease symptom severity in an open-label setting or when compared to a waiting list group. To date, to our knowledge, no other trial compared a single, moderate dose of psilocybin to a placebo condition.","container-title":"eClinicalMedicine","DOI":"10.1016/j.eclinm.2022.101809","ISSN":"25895370","journalAbbreviation":"eClinicalMedicine","language":"en","page":"101809","source":"DOI.org (Crossref)","title":"Single-dose psilocybin-assisted therapy in major depressive disorder: a placebo-controlled, double-blind, randomised clinical trial","title-short":"Single-dose psilocybin-assisted therapy in major depressive disorder","volume":"56","author":[{"family":"Von Rotz","given":"Robin"},{"family":"Schindowski","given":"Eva M."},{"family":"Jungwirth","given":"Johannes"},{"family":"Schuldt","given":"Anna"},{"family":"Rieser","given":"Nathalie M."},{"family":"Zahoranszky","given":"Katharina"},{"family":"Seifritz","given":"Erich"},{"family":"Nowak","given":"Albina"},{"family":"Nowak","given":"Peter"},{"family":"Jäncke","given":"Lutz"},{"family":"Preller","given":"Katrin H."},{"family":"Vollenweider","given":"Franz X."}],"issued":{"date-parts":[["2023",2]]}}}],"schema":"https://github.com/citation-style-language/schema/raw/master/csl-citation.json"} </w:instrText>
      </w:r>
      <w:r w:rsidR="003D39F1">
        <w:rPr>
          <w:lang w:val="en-US"/>
        </w:rPr>
        <w:fldChar w:fldCharType="separate"/>
      </w:r>
      <w:r w:rsidR="003D39F1">
        <w:rPr>
          <w:noProof/>
          <w:lang w:val="en-US"/>
        </w:rPr>
        <w:t>(Back et al., 2024; Bogenschutz et al., 2022; R. Carhart-Harris et al., 2021; R. L. Carhart-Harris et al., 2016; Goodwin et al., 2022; Raison et al., 2023; Rieser et al., 2025; Ross et al., 2016; Von Rotz et al., 2023)</w:t>
      </w:r>
      <w:r w:rsidR="003D39F1">
        <w:rPr>
          <w:lang w:val="en-US"/>
        </w:rPr>
        <w:fldChar w:fldCharType="end"/>
      </w:r>
      <w:r w:rsidR="003D39F1">
        <w:rPr>
          <w:lang w:val="en-US"/>
        </w:rPr>
        <w:t xml:space="preserve"> </w:t>
      </w:r>
      <w:r w:rsidRPr="007A17FC">
        <w:rPr>
          <w:lang w:val="en-US"/>
        </w:rPr>
        <w:t xml:space="preserve">, and ayahuasca </w:t>
      </w:r>
      <w:r w:rsidRPr="007A17FC">
        <w:rPr>
          <w:lang w:val="en-US"/>
        </w:rPr>
        <w:lastRenderedPageBreak/>
        <w:t xml:space="preserve">in </w:t>
      </w:r>
      <w:r w:rsidR="00AE0DFD">
        <w:rPr>
          <w:lang w:val="en-US"/>
        </w:rPr>
        <w:t>two</w:t>
      </w:r>
      <w:r w:rsidR="00CB1243">
        <w:rPr>
          <w:lang w:val="en-US"/>
        </w:rPr>
        <w:t xml:space="preserve"> trials </w:t>
      </w:r>
      <w:r w:rsidRPr="007A17FC">
        <w:rPr>
          <w:lang w:val="en-US"/>
        </w:rPr>
        <w:t>(n = 26)</w:t>
      </w:r>
      <w:r w:rsidR="003D39F1">
        <w:rPr>
          <w:lang w:val="en-US"/>
        </w:rPr>
        <w:t xml:space="preserve"> </w:t>
      </w:r>
      <w:r w:rsidR="003D39F1">
        <w:rPr>
          <w:lang w:val="en-US"/>
        </w:rPr>
        <w:fldChar w:fldCharType="begin"/>
      </w:r>
      <w:r w:rsidR="003D39F1">
        <w:rPr>
          <w:lang w:val="en-US"/>
        </w:rPr>
        <w:instrText xml:space="preserve"> ADDIN ZOTERO_ITEM CSL_CITATION {"citationID":"a9MQB3p4","properties":{"formattedCitation":"(Dos Santos et al., 2021; Palhano-Fontes et al., 2019)","plainCitation":"(Dos Santos et al., 2021; Palhano-Fontes et al., 2019)","noteIndex":0},"citationItems":[{"id":619,"uris":["http://zotero.org/users/4564126/items/CRE2D4II"],"itemData":{"id":619,"type":"article-journal","abstract":"BACKGROUND: Ayahuasca is a classic hallucinogen with anxiolytic and antidepressive properties. Anecdotal evidence also suggests that it improves  performance (eg, singing, speech). This controlled trial assessed the effects of  ayahuasca on speech performance and anxiety in individuals with social anxiety  disorder. METHODS: Seventeen volunteers with social anxiety disorder participated  in a pilot, proof-of-concept, randomized, parallel-group trial. Self-perception  of performance during a public-speaking test was assessed with the  Self-statements During Public Speaking Scale primary outcome). Secondary outcomes  included anxiety/subjective effects (Visual Analog Mood Scale; Bodily Symptoms  Scale), recognition of emotions in facial expressions (REFE), tolerability  measures (cardiovascular measures, self-reports), and brain-derived neurotrophic  factor plasma levels. Effects on anxiety and REFE were assessed again 7, 14, and  21 days postdrug. FINDINGS: Compared with placebo, ayahuasca significantly  improved self-perception of speech performance (Self-statements During Public  Speaking Scale) and increased somatic symptoms (Bodily Symptoms Scale). There was  also a significant time × group interaction in the cognitive deterioration Visual  Analog Mood Scale factor and a significant effect of time in the REFE task,  especially in reaction time. Other measures were not significantly modified.  Ayahuasca was well tolerated, producing mainly nausea, gastrointestinal  discomfort, and vomiting. CONCLUSIONS: Ayahuasca improved self-perception of  speech performance in socially anxious individuals. These effects occurred  independent of task-related anxiety and REFE, suggesting that ayahuasca could  specifically improve the cognitive aspect of speech performance. Further studies  should try to unveil the mechanisms involved in the effects of ayahuasca and to  better understand its effects on anxiety.","container-title":"Journal of clinical psychopharmacology","DOI":"10.1097/JCP.0000000000001428","ISSN":"1533-712X 0271-0749","issue":"5","journalAbbreviation":"J Clin Psychopharmacol","language":"eng","license":"Copyright © 2021 Wolters Kluwer Health, Inc. All rights reserved.","note":"publisher-place: United States","page":"540-550","PMID":"34166299","title":"Ayahuasca Improves Self-perception of Speech Performance in Subjects With Social Anxiety Disorder: A Pilot, Proof-of-Concept, Randomized, Placebo-Controlled  Trial.","volume":"41","author":[{"family":"Dos Santos","given":"Rafael G."},{"family":"Osório","given":"Flávia de Lima"},{"family":"Rocha","given":"Juliana Mendes"},{"family":"Rossi","given":"Giordano Novak"},{"family":"Bouso","given":"José Carlos"},{"family":"Rodrigues","given":"Lucas S."},{"family":"Oliveira Silveira","given":"Gabriela","non-dropping-particle":"de"},{"family":"Yonamine","given":"Mauricio"},{"family":"Hallak","given":"Jaime E. Cecílio"}],"issued":{"date-parts":[["2021",10,1]]}}},{"id":577,"uris":["http://zotero.org/users/4564126/items/DAZYZHDB"],"itemData":{"id":577,"type":"article-journal","abstract":"BACKGROUND: Recent open-label trials show that psychedelics, such as ayahuasca, hold promise as fast-onset antidepressants in treatment-resistant depression.  METHODS: To test the antidepressant effects of ayahuasca, we conducted a  parallel-arm, double-blind randomized placebo-controlled trial in 29 patients  with treatment-resistant depression. Patients received a single dose of either  ayahuasca or placebo. We assessed changes in depression severity with the  Montgomery-Åsberg Depression Rating Scale (MADRS) and the Hamilton Depression  Rating scale at baseline, and at 1 (D1), 2 (D2), and 7 (D7) days after dosing.  RESULTS: We observed significant antidepressant effects of ayahuasca when  compared with placebo at all-time points. MADRS scores were significantly lower  in the ayahuasca group compared with placebo at D1 and D2 (p = 0.04), and at D7  (p &amp;lt; 0.0001). Between-group effect sizes increased from D1 to D7 (D1: Cohen's  d = 0.84; D2: Cohen's d = 0.84; D7: Cohen's d = 1.49). Response rates were high  for both groups at D1 and D2, and significantly higher in the ayahuasca group at  D7 (64% v. 27%; p = 0.04). Remission rate showed a trend toward significance at  D7 (36% v. 7%, p = 0.054). CONCLUSIONS: To our knowledge, this is the first  controlled trial to test a psychedelic substance in treatment-resistant  depression. Overall, this study brings new evidence supporting the safety and  therapeutic value of ayahuasca, dosed within an appropriate setting, to help  treat depression. This study is registered at http://clinicaltrials.gov  (NCT02914769).","container-title":"Psychological medicine","DOI":"10.1017/S0033291718001356","ISSN":"1469-8978 0033-2917","issue":"4","journalAbbreviation":"Psychol Med","language":"eng","note":"publisher-place: England","page":"655-663","PMID":"29903051","PMCID":"PMC6378413","title":"Rapid antidepressant effects of the psychedelic ayahuasca in treatment-resistant depression: a randomized placebo-controlled trial.","volume":"49","author":[{"family":"Palhano-Fontes","given":"Fernanda"},{"family":"Barreto","given":"Dayanna"},{"family":"Onias","given":"Heloisa"},{"family":"Andrade","given":"Katia C."},{"family":"Novaes","given":"Morgana M."},{"family":"Pessoa","given":"Jessica A."},{"family":"Mota-Rolim","given":"Sergio A."},{"family":"Osório","given":"Flávia L."},{"family":"Sanches","given":"Rafael"},{"family":"Dos Santos","given":"Rafael G."},{"family":"Tófoli","given":"Luís Fernando"},{"family":"Oliveira Silveira","given":"Gabriela","non-dropping-particle":"de"},{"family":"Yonamine","given":"Mauricio"},{"family":"Riba","given":"Jordi"},{"family":"Santos","given":"Francisco R."},{"family":"Silva-Junior","given":"Antonio A."},{"family":"Alchieri","given":"João C."},{"family":"Galvão-Coelho","given":"Nicole L."},{"family":"Lobão-Soares","given":"Bruno"},{"family":"Hallak","given":"Jaime E. C."},{"family":"Arcoverde","given":"Emerson"},{"family":"Maia-de-Oliveira","given":"João P."},{"family":"Araújo","given":"Dráulio B."}],"issued":{"date-parts":[["2019",3]]}}}],"schema":"https://github.com/citation-style-language/schema/raw/master/csl-citation.json"} </w:instrText>
      </w:r>
      <w:r w:rsidR="003D39F1">
        <w:rPr>
          <w:lang w:val="en-US"/>
        </w:rPr>
        <w:fldChar w:fldCharType="separate"/>
      </w:r>
      <w:r w:rsidR="003D39F1">
        <w:rPr>
          <w:noProof/>
          <w:lang w:val="en-US"/>
        </w:rPr>
        <w:t>(Dos Santos et al., 2021; Palhano-Fontes et al., 2019)</w:t>
      </w:r>
      <w:r w:rsidR="003D39F1">
        <w:rPr>
          <w:lang w:val="en-US"/>
        </w:rPr>
        <w:fldChar w:fldCharType="end"/>
      </w:r>
      <w:r w:rsidRPr="007A17FC">
        <w:rPr>
          <w:lang w:val="en-US"/>
        </w:rPr>
        <w:t>. Control conditions enrolled 661 participants, allocated to inactive placebos (</w:t>
      </w:r>
      <w:r w:rsidR="00FA3DC5">
        <w:rPr>
          <w:lang w:val="en-US"/>
        </w:rPr>
        <w:t>k=</w:t>
      </w:r>
      <w:r w:rsidR="00915EA4">
        <w:rPr>
          <w:lang w:val="en-US"/>
        </w:rPr>
        <w:t>9</w:t>
      </w:r>
      <w:r w:rsidR="00FA3DC5">
        <w:rPr>
          <w:lang w:val="en-US"/>
        </w:rPr>
        <w:t xml:space="preserve">, </w:t>
      </w:r>
      <w:r w:rsidRPr="007A17FC">
        <w:rPr>
          <w:lang w:val="en-US"/>
        </w:rPr>
        <w:t>n = 328), active non-psychedelic placebos (</w:t>
      </w:r>
      <w:r w:rsidR="00FA3DC5">
        <w:rPr>
          <w:lang w:val="en-US"/>
        </w:rPr>
        <w:t>k=</w:t>
      </w:r>
      <w:r w:rsidR="00915EA4">
        <w:rPr>
          <w:lang w:val="en-US"/>
        </w:rPr>
        <w:t>6</w:t>
      </w:r>
      <w:r w:rsidR="00FA3DC5">
        <w:rPr>
          <w:lang w:val="en-US"/>
        </w:rPr>
        <w:t xml:space="preserve">, </w:t>
      </w:r>
      <w:r w:rsidRPr="007A17FC">
        <w:rPr>
          <w:lang w:val="en-US"/>
        </w:rPr>
        <w:t>n = 137), low-dose psychedelic comparators (</w:t>
      </w:r>
      <w:r w:rsidR="00FA3DC5">
        <w:rPr>
          <w:lang w:val="en-US"/>
        </w:rPr>
        <w:t>k=</w:t>
      </w:r>
      <w:r w:rsidR="00915EA4">
        <w:rPr>
          <w:lang w:val="en-US"/>
        </w:rPr>
        <w:t>8</w:t>
      </w:r>
      <w:r w:rsidR="00FA3DC5">
        <w:rPr>
          <w:lang w:val="en-US"/>
        </w:rPr>
        <w:t xml:space="preserve">, </w:t>
      </w:r>
      <w:r w:rsidRPr="007A17FC">
        <w:rPr>
          <w:lang w:val="en-US"/>
        </w:rPr>
        <w:t>n = 167), or SSRIs (</w:t>
      </w:r>
      <w:r w:rsidR="00FA3DC5">
        <w:rPr>
          <w:lang w:val="en-US"/>
        </w:rPr>
        <w:t>k=</w:t>
      </w:r>
      <w:r w:rsidR="00915EA4">
        <w:rPr>
          <w:lang w:val="en-US"/>
        </w:rPr>
        <w:t>1</w:t>
      </w:r>
      <w:r w:rsidR="00FA3DC5">
        <w:rPr>
          <w:lang w:val="en-US"/>
        </w:rPr>
        <w:t xml:space="preserve">, </w:t>
      </w:r>
      <w:r w:rsidRPr="007A17FC">
        <w:rPr>
          <w:lang w:val="en-US"/>
        </w:rPr>
        <w:t>n = 29).</w:t>
      </w:r>
    </w:p>
    <w:p w14:paraId="18C2753F" w14:textId="066BDB4F" w:rsidR="000829E4" w:rsidRPr="007A17FC" w:rsidRDefault="00542108" w:rsidP="00FC19AC">
      <w:pPr>
        <w:spacing w:before="240" w:after="240" w:line="360" w:lineRule="auto"/>
        <w:rPr>
          <w:lang w:val="en-US"/>
        </w:rPr>
      </w:pPr>
      <w:r w:rsidRPr="007A17FC">
        <w:rPr>
          <w:lang w:val="en-US"/>
        </w:rPr>
        <w:t>Trials investigated five diagnostic categories: PTSD (</w:t>
      </w:r>
      <w:r w:rsidR="00FA3DC5">
        <w:rPr>
          <w:lang w:val="en-US"/>
        </w:rPr>
        <w:t>k</w:t>
      </w:r>
      <w:r w:rsidRPr="007A17FC">
        <w:rPr>
          <w:lang w:val="en-US"/>
        </w:rPr>
        <w:t xml:space="preserve"> = 9; n = 303), major depressive disorder (</w:t>
      </w:r>
      <w:r w:rsidR="00FA3DC5">
        <w:rPr>
          <w:lang w:val="en-US"/>
        </w:rPr>
        <w:t>k</w:t>
      </w:r>
      <w:r w:rsidRPr="007A17FC">
        <w:rPr>
          <w:lang w:val="en-US"/>
        </w:rPr>
        <w:t xml:space="preserve"> = 7; n = 569), anxiety disorders (</w:t>
      </w:r>
      <w:r w:rsidR="00FA3DC5">
        <w:rPr>
          <w:lang w:val="en-US"/>
        </w:rPr>
        <w:t>k</w:t>
      </w:r>
      <w:r w:rsidRPr="007A17FC">
        <w:rPr>
          <w:lang w:val="en-US"/>
        </w:rPr>
        <w:t xml:space="preserve"> = 7; n = 188), alcohol use disorder (</w:t>
      </w:r>
      <w:r w:rsidR="00FA3DC5">
        <w:rPr>
          <w:lang w:val="en-US"/>
        </w:rPr>
        <w:t>k</w:t>
      </w:r>
      <w:r w:rsidRPr="007A17FC">
        <w:rPr>
          <w:lang w:val="en-US"/>
        </w:rPr>
        <w:t xml:space="preserve"> = 6; n = 367), and ADHD (</w:t>
      </w:r>
      <w:r w:rsidR="00FA3DC5">
        <w:rPr>
          <w:lang w:val="en-US"/>
        </w:rPr>
        <w:t>k</w:t>
      </w:r>
      <w:r w:rsidRPr="007A17FC">
        <w:rPr>
          <w:lang w:val="en-US"/>
        </w:rPr>
        <w:t xml:space="preserve"> = 1; n = 53). </w:t>
      </w:r>
      <w:commentRangeStart w:id="21"/>
      <w:r w:rsidRPr="007A17FC">
        <w:rPr>
          <w:lang w:val="en-US"/>
        </w:rPr>
        <w:t xml:space="preserve">Most studies (23/28; 76.7%) used DSM or ICD criteria. </w:t>
      </w:r>
      <w:commentRangeEnd w:id="21"/>
      <w:r w:rsidR="00596D12" w:rsidRPr="007A17FC">
        <w:rPr>
          <w:rStyle w:val="Marquedecommentaire"/>
          <w:sz w:val="24"/>
          <w:szCs w:val="24"/>
          <w:lang w:val="en-US"/>
        </w:rPr>
        <w:commentReference w:id="21"/>
      </w:r>
      <w:r w:rsidRPr="007A17FC">
        <w:rPr>
          <w:lang w:val="en-US"/>
        </w:rPr>
        <w:t>The observation window from the last dosing session to the primary endpoint averaged 8.9 weeks (SD = 7.5; range = 0.035–28 weeks).</w:t>
      </w:r>
    </w:p>
    <w:p w14:paraId="7718C188" w14:textId="5DF67227" w:rsidR="000829E4" w:rsidRPr="007A17FC" w:rsidRDefault="00542108" w:rsidP="00FC19AC">
      <w:pPr>
        <w:spacing w:before="240" w:after="240" w:line="360" w:lineRule="auto"/>
        <w:rPr>
          <w:lang w:val="en-US"/>
        </w:rPr>
      </w:pPr>
      <w:r w:rsidRPr="007A17FC">
        <w:rPr>
          <w:lang w:val="en-US"/>
        </w:rPr>
        <w:t xml:space="preserve">Active dose ranges differed markedly across </w:t>
      </w:r>
      <w:r w:rsidR="00682EED">
        <w:rPr>
          <w:lang w:val="en-US"/>
        </w:rPr>
        <w:t>substance</w:t>
      </w:r>
      <w:r w:rsidRPr="007A17FC">
        <w:rPr>
          <w:lang w:val="en-US"/>
        </w:rPr>
        <w:t>s. LSD doses ranged from 20–200 µg, psilocybin from 1–40 mg, MDMA from 25–150 mg, and ayahuasca from 0.36–0.68 mg DMT. LSD</w:t>
      </w:r>
      <w:r w:rsidR="002F6FE6">
        <w:rPr>
          <w:lang w:val="en-US"/>
        </w:rPr>
        <w:t xml:space="preserve">, </w:t>
      </w:r>
      <w:r w:rsidRPr="007A17FC">
        <w:rPr>
          <w:lang w:val="en-US"/>
        </w:rPr>
        <w:t xml:space="preserve">MDMA </w:t>
      </w:r>
      <w:r w:rsidR="002F6FE6">
        <w:rPr>
          <w:lang w:val="en-US"/>
        </w:rPr>
        <w:t xml:space="preserve">and psilocybin </w:t>
      </w:r>
      <w:r w:rsidRPr="007A17FC">
        <w:rPr>
          <w:lang w:val="en-US"/>
        </w:rPr>
        <w:t>trials frequently included multiple dose levels, and ayahuasca was administered as a single standardized preparation.</w:t>
      </w:r>
    </w:p>
    <w:p w14:paraId="0BC581D6" w14:textId="66C2354A" w:rsidR="000829E4" w:rsidRPr="007A17FC" w:rsidRDefault="00542108" w:rsidP="00FC19AC">
      <w:pPr>
        <w:spacing w:before="240" w:after="240" w:line="360" w:lineRule="auto"/>
        <w:rPr>
          <w:lang w:val="en-US"/>
        </w:rPr>
      </w:pPr>
      <w:r w:rsidRPr="007A17FC">
        <w:rPr>
          <w:lang w:val="en-US"/>
        </w:rPr>
        <w:t xml:space="preserve">For analyses requiring dose stratification, </w:t>
      </w:r>
      <w:r w:rsidR="00682EED">
        <w:rPr>
          <w:lang w:val="en-US"/>
        </w:rPr>
        <w:t>substance</w:t>
      </w:r>
      <w:r w:rsidRPr="007A17FC">
        <w:rPr>
          <w:lang w:val="en-US"/>
        </w:rPr>
        <w:t>-specific bands were defined using the lowest non-zero doses in the dataset: LSD: 20–25 µg (low), 50–100 µg (medium), 200 µg (high); psilocybin: 1 mg (low), 10–25 mg (medium), 40 mg (high); MDMA: 25–30 mg (low), 75–125 mg (medium), 150 mg (high). Ayahuasca could not be stratified, as trials did not employ multiple active dose levels.</w:t>
      </w:r>
    </w:p>
    <w:p w14:paraId="331292EF" w14:textId="014D8D26" w:rsidR="000829E4" w:rsidRPr="007A17FC" w:rsidRDefault="00542108" w:rsidP="00FC19AC">
      <w:pPr>
        <w:spacing w:before="240" w:after="240" w:line="360" w:lineRule="auto"/>
        <w:rPr>
          <w:lang w:val="en-US"/>
        </w:rPr>
      </w:pPr>
      <w:r w:rsidRPr="007A17FC">
        <w:rPr>
          <w:lang w:val="en-US"/>
        </w:rPr>
        <w:t>Control interventions were heterogeneous. Inactive placebos (e.g., lactose capsules, saline) were used in both ayahuasca trials and several MDMA studies. Active non-psychedelic placebos</w:t>
      </w:r>
      <w:r w:rsidR="003D39F1">
        <w:rPr>
          <w:lang w:val="en-US"/>
        </w:rPr>
        <w:t xml:space="preserve">, </w:t>
      </w:r>
      <w:r w:rsidRPr="007A17FC">
        <w:rPr>
          <w:lang w:val="en-US"/>
        </w:rPr>
        <w:t>primarily niacin, diphenhydramine, or mannitol</w:t>
      </w:r>
      <w:r w:rsidR="003D39F1">
        <w:rPr>
          <w:lang w:val="en-US"/>
        </w:rPr>
        <w:t xml:space="preserve">, </w:t>
      </w:r>
      <w:r w:rsidRPr="007A17FC">
        <w:rPr>
          <w:lang w:val="en-US"/>
        </w:rPr>
        <w:t xml:space="preserve">were common in psilocybin studies and present in one MDMA trial. Low-dose psychedelic comparators were frequent in LSD, psilocybin, and MDMA trials, typically using 20–25 µg LSD, 1 mg psilocybin, or 25–40 mg MDMA to reinforce blinding while minimizing pharmacological </w:t>
      </w:r>
      <w:commentRangeStart w:id="22"/>
      <w:commentRangeStart w:id="23"/>
      <w:r w:rsidRPr="007A17FC">
        <w:rPr>
          <w:lang w:val="en-US"/>
        </w:rPr>
        <w:t>activity</w:t>
      </w:r>
      <w:commentRangeEnd w:id="22"/>
      <w:r w:rsidR="00721977" w:rsidRPr="007A17FC">
        <w:rPr>
          <w:rStyle w:val="Marquedecommentaire"/>
          <w:sz w:val="24"/>
          <w:szCs w:val="24"/>
          <w:lang w:val="en-US"/>
        </w:rPr>
        <w:commentReference w:id="22"/>
      </w:r>
      <w:commentRangeEnd w:id="23"/>
      <w:r w:rsidR="00B877A7">
        <w:rPr>
          <w:rStyle w:val="Marquedecommentaire"/>
          <w:lang w:val="fr" w:eastAsia="en-US"/>
        </w:rPr>
        <w:commentReference w:id="23"/>
      </w:r>
      <w:r w:rsidRPr="007A17FC">
        <w:rPr>
          <w:lang w:val="en-US"/>
        </w:rPr>
        <w:t>.</w:t>
      </w:r>
    </w:p>
    <w:p w14:paraId="6A9BAA65" w14:textId="389D9BD7" w:rsidR="000829E4" w:rsidRPr="007A17FC" w:rsidRDefault="00542108" w:rsidP="00FC19AC">
      <w:pPr>
        <w:spacing w:before="240" w:after="240" w:line="360" w:lineRule="auto"/>
        <w:rPr>
          <w:lang w:val="en-US"/>
        </w:rPr>
      </w:pPr>
      <w:r w:rsidRPr="007A17FC">
        <w:rPr>
          <w:lang w:val="en-US"/>
        </w:rPr>
        <w:t xml:space="preserve">Across the full sample, </w:t>
      </w:r>
      <w:r w:rsidR="00721977">
        <w:rPr>
          <w:lang w:val="en-US"/>
        </w:rPr>
        <w:t>nine</w:t>
      </w:r>
      <w:r w:rsidR="00012EBB">
        <w:rPr>
          <w:lang w:val="en-US"/>
        </w:rPr>
        <w:t xml:space="preserve"> </w:t>
      </w:r>
      <w:r w:rsidRPr="007A17FC">
        <w:rPr>
          <w:lang w:val="en-US"/>
        </w:rPr>
        <w:t xml:space="preserve">trials (32.1%) used inactive placebos, </w:t>
      </w:r>
      <w:r w:rsidR="00721977">
        <w:rPr>
          <w:lang w:val="en-US"/>
        </w:rPr>
        <w:t>six</w:t>
      </w:r>
      <w:r w:rsidR="00012EBB">
        <w:rPr>
          <w:lang w:val="en-US"/>
        </w:rPr>
        <w:t xml:space="preserve"> </w:t>
      </w:r>
      <w:r w:rsidRPr="007A17FC">
        <w:rPr>
          <w:lang w:val="en-US"/>
        </w:rPr>
        <w:t xml:space="preserve">(21.4%) used active non-psychedelic placebos, </w:t>
      </w:r>
      <w:r w:rsidR="00721977">
        <w:rPr>
          <w:lang w:val="en-US"/>
        </w:rPr>
        <w:t>eight</w:t>
      </w:r>
      <w:r w:rsidR="00012EBB">
        <w:rPr>
          <w:lang w:val="en-US"/>
        </w:rPr>
        <w:t xml:space="preserve"> </w:t>
      </w:r>
      <w:r w:rsidRPr="007A17FC">
        <w:rPr>
          <w:lang w:val="en-US"/>
        </w:rPr>
        <w:t xml:space="preserve">(28.6%) employed low-dose psychedelic comparators, one trial (3.6%) used an SSRI comparator, and </w:t>
      </w:r>
      <w:r w:rsidR="00721977">
        <w:rPr>
          <w:lang w:val="en-US"/>
        </w:rPr>
        <w:t>four</w:t>
      </w:r>
      <w:r w:rsidR="00012EBB">
        <w:rPr>
          <w:lang w:val="en-US"/>
        </w:rPr>
        <w:t xml:space="preserve"> </w:t>
      </w:r>
      <w:r w:rsidRPr="007A17FC">
        <w:rPr>
          <w:lang w:val="en-US"/>
        </w:rPr>
        <w:t>(14.3%) did not specify the exact inactive placebo composition.</w:t>
      </w:r>
    </w:p>
    <w:p w14:paraId="46A58D3D" w14:textId="77777777" w:rsidR="00FC19AC" w:rsidRDefault="00542108" w:rsidP="00FC19AC">
      <w:pPr>
        <w:spacing w:before="240" w:after="240" w:line="360" w:lineRule="auto"/>
        <w:rPr>
          <w:lang w:val="en-US"/>
        </w:rPr>
      </w:pPr>
      <w:r w:rsidRPr="007A17FC">
        <w:rPr>
          <w:lang w:val="en-US"/>
        </w:rPr>
        <w:lastRenderedPageBreak/>
        <w:t xml:space="preserve">The number of AE contrasts reflected both dose multiplicity and the number of harmonized AE terms. During dosing sessions, LSD contributed k = 218 </w:t>
      </w:r>
      <w:commentRangeStart w:id="24"/>
      <w:commentRangeStart w:id="25"/>
      <w:r w:rsidRPr="007A17FC">
        <w:rPr>
          <w:lang w:val="en-US"/>
        </w:rPr>
        <w:t>contrasts</w:t>
      </w:r>
      <w:commentRangeEnd w:id="24"/>
      <w:r w:rsidR="00FA2744" w:rsidRPr="007A17FC">
        <w:rPr>
          <w:rStyle w:val="Marquedecommentaire"/>
          <w:sz w:val="24"/>
          <w:szCs w:val="24"/>
          <w:lang w:val="en-US"/>
        </w:rPr>
        <w:commentReference w:id="24"/>
      </w:r>
      <w:commentRangeEnd w:id="25"/>
      <w:r w:rsidR="00E5054F">
        <w:rPr>
          <w:rStyle w:val="Marquedecommentaire"/>
          <w:lang w:val="fr" w:eastAsia="en-US"/>
        </w:rPr>
        <w:commentReference w:id="25"/>
      </w:r>
      <w:r w:rsidRPr="007A17FC">
        <w:rPr>
          <w:lang w:val="en-US"/>
        </w:rPr>
        <w:t xml:space="preserve">, MDMA k = 250, psilocybin k = 299, and ayahuasca k = 31. </w:t>
      </w:r>
    </w:p>
    <w:p w14:paraId="70E4E125" w14:textId="11705569" w:rsidR="000829E4" w:rsidRPr="007A17FC" w:rsidRDefault="00CD0DB3" w:rsidP="00FC19AC">
      <w:pPr>
        <w:spacing w:before="240" w:after="240" w:line="360" w:lineRule="auto"/>
        <w:rPr>
          <w:lang w:val="en-US"/>
        </w:rPr>
      </w:pPr>
      <w:r w:rsidRPr="00CD0DB3">
        <w:rPr>
          <w:lang w:val="en-US"/>
        </w:rPr>
        <w:t xml:space="preserve">Follow-up AE data were available only for LSD and MDMA. In MDMA trials, follow-up AEs were systematically collected during the subacute post-session period, typically up to </w:t>
      </w:r>
      <w:r w:rsidR="00C84CD8">
        <w:rPr>
          <w:lang w:val="en-US"/>
        </w:rPr>
        <w:t>seven</w:t>
      </w:r>
      <w:r w:rsidRPr="00CD0DB3">
        <w:rPr>
          <w:lang w:val="en-US"/>
        </w:rPr>
        <w:t xml:space="preserve"> days after each dosing session, yielding k = 95 contrasts. In contrast, LSD trials employed more heterogeneous and generally longer follow-up windows extending beyond the acute session, resulting in k = 126 follow-up contrasts. Psilocybin and ayahuasca datasets contained session-only AE observations.</w:t>
      </w:r>
      <w:r w:rsidR="00C84CD8">
        <w:rPr>
          <w:lang w:val="en-US"/>
        </w:rPr>
        <w:t xml:space="preserve"> </w:t>
      </w:r>
      <w:r w:rsidR="00542108" w:rsidRPr="007A17FC">
        <w:rPr>
          <w:lang w:val="en-US"/>
        </w:rPr>
        <w:t xml:space="preserve">The distribution of harmonized AE terms was broad: psilocybin (96 terms), MDMA (70), LSD (62), and ayahuasca (12). A </w:t>
      </w:r>
      <w:r w:rsidR="00682EED">
        <w:rPr>
          <w:lang w:val="en-US"/>
        </w:rPr>
        <w:t>substance</w:t>
      </w:r>
      <w:r w:rsidR="00542108" w:rsidRPr="007A17FC">
        <w:rPr>
          <w:lang w:val="en-US"/>
        </w:rPr>
        <w:t>-level summary of study counts, participants, dose range, comparator types, and AE availability is provided in Table 1.</w:t>
      </w:r>
    </w:p>
    <w:p w14:paraId="41276609" w14:textId="2289690E" w:rsidR="00682EED" w:rsidRDefault="00542108" w:rsidP="00682EED">
      <w:pPr>
        <w:pStyle w:val="Titre3"/>
        <w:rPr>
          <w:color w:val="000000" w:themeColor="text1"/>
          <w:lang w:val="en-US"/>
        </w:rPr>
      </w:pPr>
      <w:bookmarkStart w:id="26" w:name="_fry09t11e395" w:colFirst="0" w:colLast="0"/>
      <w:bookmarkEnd w:id="20"/>
      <w:bookmarkEnd w:id="26"/>
      <w:r w:rsidRPr="007A17FC">
        <w:rPr>
          <w:lang w:val="en-US"/>
        </w:rPr>
        <w:t xml:space="preserve">3.2 </w:t>
      </w:r>
      <w:bookmarkStart w:id="27" w:name="_imwyismw5mzz" w:colFirst="0" w:colLast="0"/>
      <w:bookmarkEnd w:id="27"/>
      <w:r w:rsidR="00682EED" w:rsidRPr="00BB2839">
        <w:rPr>
          <w:color w:val="000000" w:themeColor="text1"/>
          <w:lang w:val="en-US"/>
        </w:rPr>
        <w:t>Global dose–response relationships and time window effects</w:t>
      </w:r>
    </w:p>
    <w:p w14:paraId="17577D64" w14:textId="4D8DA22C" w:rsidR="00CD0DB3" w:rsidRPr="00CD0DB3" w:rsidRDefault="00CD0DB3" w:rsidP="00FC19AC">
      <w:pPr>
        <w:pStyle w:val="p1"/>
        <w:spacing w:line="360" w:lineRule="auto"/>
        <w:rPr>
          <w:lang w:val="en-US"/>
        </w:rPr>
      </w:pPr>
      <w:r w:rsidRPr="00CD0DB3">
        <w:rPr>
          <w:lang w:val="en-US"/>
        </w:rPr>
        <w:t xml:space="preserve">During the dosing session, all three substances with sufficient dose variation—LSD, MDMA, and psilocybin—showed a clear overall dose–response relationship </w:t>
      </w:r>
      <w:commentRangeStart w:id="28"/>
      <w:commentRangeStart w:id="29"/>
      <w:r w:rsidRPr="00CD0DB3">
        <w:rPr>
          <w:lang w:val="en-US"/>
        </w:rPr>
        <w:t xml:space="preserve">for adverse events (AEs). </w:t>
      </w:r>
      <w:commentRangeEnd w:id="28"/>
      <w:r w:rsidR="00951045" w:rsidRPr="00CD0DB3">
        <w:rPr>
          <w:rStyle w:val="Marquedecommentaire"/>
          <w:sz w:val="24"/>
          <w:szCs w:val="24"/>
          <w:lang w:val="en-US"/>
        </w:rPr>
        <w:commentReference w:id="28"/>
      </w:r>
      <w:commentRangeEnd w:id="29"/>
      <w:r w:rsidR="00B13BA1">
        <w:rPr>
          <w:rStyle w:val="Marquedecommentaire"/>
          <w:lang w:val="fr" w:eastAsia="en-US"/>
        </w:rPr>
        <w:commentReference w:id="29"/>
      </w:r>
      <w:r w:rsidRPr="00CD0DB3">
        <w:rPr>
          <w:lang w:val="en-US"/>
        </w:rPr>
        <w:t>Meta-regression omnibus tests for dose indicated a significant global dose–response association for LSD (Qₘ = 11.36, p &lt; 0.001), MDMA (Qₘ = 10.16, p &lt; 0.001), and psilocybin (Qₘ = 19.39, p &lt; 0.001), with non-linear dose–response patterns observed for all three substances (Figure 1</w:t>
      </w:r>
      <w:r w:rsidR="00B83814">
        <w:rPr>
          <w:lang w:val="en-US"/>
        </w:rPr>
        <w:t xml:space="preserve">, </w:t>
      </w:r>
      <w:r w:rsidR="00B83814" w:rsidRPr="00B83814">
        <w:rPr>
          <w:lang w:val="en-US"/>
        </w:rPr>
        <w:t>T</w:t>
      </w:r>
      <w:r w:rsidR="00B83814">
        <w:rPr>
          <w:lang w:val="en-US"/>
        </w:rPr>
        <w:t>able 2</w:t>
      </w:r>
      <w:r w:rsidRPr="00CD0DB3">
        <w:rPr>
          <w:lang w:val="en-US"/>
        </w:rPr>
        <w:t>).</w:t>
      </w:r>
    </w:p>
    <w:p w14:paraId="411CA6C1" w14:textId="77777777" w:rsidR="00CD0DB3" w:rsidRPr="00CD0DB3" w:rsidRDefault="00CD0DB3" w:rsidP="00FC19AC">
      <w:pPr>
        <w:pStyle w:val="p1"/>
        <w:spacing w:line="360" w:lineRule="auto"/>
        <w:rPr>
          <w:lang w:val="en-US"/>
        </w:rPr>
      </w:pPr>
      <w:r w:rsidRPr="00CD0DB3">
        <w:rPr>
          <w:lang w:val="en-US"/>
        </w:rPr>
        <w:t xml:space="preserve">For </w:t>
      </w:r>
      <w:r w:rsidRPr="00CD0DB3">
        <w:rPr>
          <w:rStyle w:val="s1"/>
          <w:lang w:val="en-US"/>
        </w:rPr>
        <w:t>LSD</w:t>
      </w:r>
      <w:r w:rsidRPr="00CD0DB3">
        <w:rPr>
          <w:lang w:val="en-US"/>
        </w:rPr>
        <w:t xml:space="preserve">, spline-based models revealed a </w:t>
      </w:r>
      <w:r w:rsidRPr="00CD0DB3">
        <w:rPr>
          <w:rStyle w:val="s1"/>
          <w:lang w:val="en-US"/>
        </w:rPr>
        <w:t>non-linear, increasing dose–response curve</w:t>
      </w:r>
      <w:r w:rsidRPr="00CD0DB3">
        <w:rPr>
          <w:lang w:val="en-US"/>
        </w:rPr>
        <w:t xml:space="preserve">. While the lowest dose (50 µg) was associated with relatively lower odds of AEs, AE risk increased sharply at moderate doses (100 µg) and then showed a </w:t>
      </w:r>
      <w:r w:rsidRPr="00CD0DB3">
        <w:rPr>
          <w:rStyle w:val="s1"/>
          <w:lang w:val="en-US"/>
        </w:rPr>
        <w:t>flattening of the curve at the highest doses (150 µg)</w:t>
      </w:r>
      <w:r w:rsidRPr="00CD0DB3">
        <w:rPr>
          <w:lang w:val="en-US"/>
        </w:rPr>
        <w:t>. This apparent plateau should be interpreted cautiously, given reduced data density at the upper end of the dose range.</w:t>
      </w:r>
    </w:p>
    <w:p w14:paraId="4C606C8C" w14:textId="77777777" w:rsidR="00CD0DB3" w:rsidRPr="00CD0DB3" w:rsidRDefault="00CD0DB3" w:rsidP="00FC19AC">
      <w:pPr>
        <w:pStyle w:val="p1"/>
        <w:spacing w:line="360" w:lineRule="auto"/>
        <w:rPr>
          <w:lang w:val="en-US"/>
        </w:rPr>
      </w:pPr>
      <w:r w:rsidRPr="00CD0DB3">
        <w:rPr>
          <w:lang w:val="en-US"/>
        </w:rPr>
        <w:t xml:space="preserve">For </w:t>
      </w:r>
      <w:r w:rsidRPr="00CD0DB3">
        <w:rPr>
          <w:rStyle w:val="s1"/>
          <w:lang w:val="en-US"/>
        </w:rPr>
        <w:t>MDMA</w:t>
      </w:r>
      <w:r w:rsidRPr="00CD0DB3">
        <w:rPr>
          <w:lang w:val="en-US"/>
        </w:rPr>
        <w:t xml:space="preserve">, a comparable </w:t>
      </w:r>
      <w:r w:rsidRPr="00CD0DB3">
        <w:rPr>
          <w:rStyle w:val="s1"/>
          <w:lang w:val="en-US"/>
        </w:rPr>
        <w:t>non-linear pattern</w:t>
      </w:r>
      <w:r w:rsidRPr="00CD0DB3">
        <w:rPr>
          <w:lang w:val="en-US"/>
        </w:rPr>
        <w:t xml:space="preserve"> was observed, with a marked increase in AE incidence at moderate doses (around 100 mg), followed by a </w:t>
      </w:r>
      <w:r w:rsidRPr="00CD0DB3">
        <w:rPr>
          <w:rStyle w:val="s1"/>
          <w:lang w:val="en-US"/>
        </w:rPr>
        <w:t>stabilization or local fluctuation of risk at higher doses (up to 150 mg)</w:t>
      </w:r>
      <w:r w:rsidRPr="00CD0DB3">
        <w:rPr>
          <w:lang w:val="en-US"/>
        </w:rPr>
        <w:t xml:space="preserve">. As with LSD, </w:t>
      </w:r>
      <w:proofErr w:type="spellStart"/>
      <w:r w:rsidRPr="00CD0DB3">
        <w:rPr>
          <w:lang w:val="en-US"/>
        </w:rPr>
        <w:t>behaviour</w:t>
      </w:r>
      <w:proofErr w:type="spellEnd"/>
      <w:r w:rsidRPr="00CD0DB3">
        <w:rPr>
          <w:lang w:val="en-US"/>
        </w:rPr>
        <w:t xml:space="preserve"> at the highest doses may partly reflect limited sampling and spline extrapolation.</w:t>
      </w:r>
    </w:p>
    <w:p w14:paraId="357A814D" w14:textId="45EBDBB0" w:rsidR="00CD0DB3" w:rsidRPr="00CD0DB3" w:rsidRDefault="00CD0DB3" w:rsidP="00FC19AC">
      <w:pPr>
        <w:pStyle w:val="p1"/>
        <w:spacing w:line="360" w:lineRule="auto"/>
        <w:rPr>
          <w:lang w:val="en-US"/>
        </w:rPr>
      </w:pPr>
      <w:r w:rsidRPr="00CD0DB3">
        <w:rPr>
          <w:lang w:val="en-US"/>
        </w:rPr>
        <w:lastRenderedPageBreak/>
        <w:t xml:space="preserve">In contrast, </w:t>
      </w:r>
      <w:r w:rsidRPr="00CD0DB3">
        <w:rPr>
          <w:rStyle w:val="s1"/>
          <w:lang w:val="en-US"/>
        </w:rPr>
        <w:t>psilocybin exhibited an inverted U-shaped dose–response relationship</w:t>
      </w:r>
      <w:r w:rsidRPr="00CD0DB3">
        <w:rPr>
          <w:lang w:val="en-US"/>
        </w:rPr>
        <w:t xml:space="preserve">, with higher AE incidence at low to intermediate doses (10–20 mg) and a pronounced reduction in AE risk at higher doses (30–40 mg). </w:t>
      </w:r>
    </w:p>
    <w:p w14:paraId="08A8FF14" w14:textId="77777777" w:rsidR="00CD0DB3" w:rsidRPr="00CD0DB3" w:rsidRDefault="00CD0DB3" w:rsidP="00FC19AC">
      <w:pPr>
        <w:spacing w:line="360" w:lineRule="auto"/>
        <w:rPr>
          <w:color w:val="000000" w:themeColor="text1"/>
        </w:rPr>
      </w:pPr>
      <w:r w:rsidRPr="00CD0DB3">
        <w:rPr>
          <w:color w:val="000000" w:themeColor="text1"/>
        </w:rPr>
        <w:t>Follow-up dose–</w:t>
      </w:r>
      <w:proofErr w:type="spellStart"/>
      <w:r w:rsidRPr="00CD0DB3">
        <w:rPr>
          <w:color w:val="000000" w:themeColor="text1"/>
        </w:rPr>
        <w:t>response</w:t>
      </w:r>
      <w:proofErr w:type="spellEnd"/>
      <w:r w:rsidRPr="00CD0DB3">
        <w:rPr>
          <w:color w:val="000000" w:themeColor="text1"/>
        </w:rPr>
        <w:t xml:space="preserve"> analyses </w:t>
      </w:r>
      <w:proofErr w:type="spellStart"/>
      <w:r w:rsidRPr="00CD0DB3">
        <w:rPr>
          <w:color w:val="000000" w:themeColor="text1"/>
        </w:rPr>
        <w:t>were</w:t>
      </w:r>
      <w:proofErr w:type="spellEnd"/>
      <w:r w:rsidRPr="00CD0DB3">
        <w:rPr>
          <w:color w:val="000000" w:themeColor="text1"/>
        </w:rPr>
        <w:t xml:space="preserve"> </w:t>
      </w:r>
      <w:proofErr w:type="spellStart"/>
      <w:r w:rsidRPr="00CD0DB3">
        <w:rPr>
          <w:color w:val="000000" w:themeColor="text1"/>
        </w:rPr>
        <w:t>available</w:t>
      </w:r>
      <w:proofErr w:type="spellEnd"/>
      <w:r w:rsidRPr="00CD0DB3">
        <w:rPr>
          <w:color w:val="000000" w:themeColor="text1"/>
        </w:rPr>
        <w:t xml:space="preserve"> for LSD and MDMA </w:t>
      </w:r>
      <w:proofErr w:type="spellStart"/>
      <w:r w:rsidRPr="00CD0DB3">
        <w:rPr>
          <w:color w:val="000000" w:themeColor="text1"/>
        </w:rPr>
        <w:t>only</w:t>
      </w:r>
      <w:proofErr w:type="spellEnd"/>
      <w:r w:rsidRPr="00CD0DB3">
        <w:rPr>
          <w:color w:val="000000" w:themeColor="text1"/>
        </w:rPr>
        <w:t xml:space="preserve">. For LSD, </w:t>
      </w:r>
      <w:proofErr w:type="spellStart"/>
      <w:r w:rsidRPr="00CD0DB3">
        <w:rPr>
          <w:color w:val="000000" w:themeColor="text1"/>
        </w:rPr>
        <w:t>spline-based</w:t>
      </w:r>
      <w:proofErr w:type="spellEnd"/>
      <w:r w:rsidRPr="00CD0DB3">
        <w:rPr>
          <w:color w:val="000000" w:themeColor="text1"/>
        </w:rPr>
        <w:t xml:space="preserve"> </w:t>
      </w:r>
      <w:proofErr w:type="spellStart"/>
      <w:r w:rsidRPr="00CD0DB3">
        <w:rPr>
          <w:color w:val="000000" w:themeColor="text1"/>
        </w:rPr>
        <w:t>meta-regression</w:t>
      </w:r>
      <w:proofErr w:type="spellEnd"/>
      <w:r w:rsidRPr="00CD0DB3">
        <w:rPr>
          <w:color w:val="000000" w:themeColor="text1"/>
        </w:rPr>
        <w:t xml:space="preserve"> </w:t>
      </w:r>
      <w:proofErr w:type="spellStart"/>
      <w:r w:rsidRPr="00CD0DB3">
        <w:rPr>
          <w:color w:val="000000" w:themeColor="text1"/>
        </w:rPr>
        <w:t>revealed</w:t>
      </w:r>
      <w:proofErr w:type="spellEnd"/>
      <w:r w:rsidRPr="00CD0DB3">
        <w:rPr>
          <w:color w:val="000000" w:themeColor="text1"/>
        </w:rPr>
        <w:t xml:space="preserve"> a </w:t>
      </w:r>
      <w:proofErr w:type="spellStart"/>
      <w:r w:rsidRPr="00CD0DB3">
        <w:rPr>
          <w:color w:val="000000" w:themeColor="text1"/>
        </w:rPr>
        <w:t>significant</w:t>
      </w:r>
      <w:proofErr w:type="spellEnd"/>
      <w:r w:rsidRPr="00CD0DB3">
        <w:rPr>
          <w:color w:val="000000" w:themeColor="text1"/>
        </w:rPr>
        <w:t xml:space="preserve"> non-</w:t>
      </w:r>
      <w:proofErr w:type="spellStart"/>
      <w:r w:rsidRPr="00CD0DB3">
        <w:rPr>
          <w:color w:val="000000" w:themeColor="text1"/>
        </w:rPr>
        <w:t>linear</w:t>
      </w:r>
      <w:proofErr w:type="spellEnd"/>
      <w:r w:rsidRPr="00CD0DB3">
        <w:rPr>
          <w:color w:val="000000" w:themeColor="text1"/>
        </w:rPr>
        <w:t xml:space="preserve"> dose–</w:t>
      </w:r>
      <w:proofErr w:type="spellStart"/>
      <w:r w:rsidRPr="00CD0DB3">
        <w:rPr>
          <w:color w:val="000000" w:themeColor="text1"/>
        </w:rPr>
        <w:t>response</w:t>
      </w:r>
      <w:proofErr w:type="spellEnd"/>
      <w:r w:rsidRPr="00CD0DB3">
        <w:rPr>
          <w:color w:val="000000" w:themeColor="text1"/>
        </w:rPr>
        <w:t xml:space="preserve"> association at follow-up (QM = 14.45, p = 0.002), </w:t>
      </w:r>
      <w:proofErr w:type="spellStart"/>
      <w:r w:rsidRPr="00CD0DB3">
        <w:rPr>
          <w:color w:val="000000" w:themeColor="text1"/>
        </w:rPr>
        <w:t>with</w:t>
      </w:r>
      <w:proofErr w:type="spellEnd"/>
      <w:r w:rsidRPr="00CD0DB3">
        <w:rPr>
          <w:color w:val="000000" w:themeColor="text1"/>
        </w:rPr>
        <w:t xml:space="preserve"> an </w:t>
      </w:r>
      <w:proofErr w:type="spellStart"/>
      <w:r w:rsidRPr="00CD0DB3">
        <w:rPr>
          <w:color w:val="000000" w:themeColor="text1"/>
        </w:rPr>
        <w:t>overall</w:t>
      </w:r>
      <w:proofErr w:type="spellEnd"/>
      <w:r w:rsidRPr="00CD0DB3">
        <w:rPr>
          <w:color w:val="000000" w:themeColor="text1"/>
        </w:rPr>
        <w:t xml:space="preserve"> </w:t>
      </w:r>
      <w:proofErr w:type="spellStart"/>
      <w:r w:rsidRPr="00CD0DB3">
        <w:rPr>
          <w:color w:val="000000" w:themeColor="text1"/>
        </w:rPr>
        <w:t>decreasing</w:t>
      </w:r>
      <w:proofErr w:type="spellEnd"/>
      <w:r w:rsidRPr="00CD0DB3">
        <w:rPr>
          <w:color w:val="000000" w:themeColor="text1"/>
        </w:rPr>
        <w:t xml:space="preserve"> trend in adverse-</w:t>
      </w:r>
      <w:proofErr w:type="spellStart"/>
      <w:r w:rsidRPr="00CD0DB3">
        <w:rPr>
          <w:color w:val="000000" w:themeColor="text1"/>
        </w:rPr>
        <w:t>event</w:t>
      </w:r>
      <w:proofErr w:type="spellEnd"/>
      <w:r w:rsidRPr="00CD0DB3">
        <w:rPr>
          <w:color w:val="000000" w:themeColor="text1"/>
        </w:rPr>
        <w:t xml:space="preserve"> </w:t>
      </w:r>
      <w:proofErr w:type="spellStart"/>
      <w:r w:rsidRPr="00CD0DB3">
        <w:rPr>
          <w:color w:val="000000" w:themeColor="text1"/>
        </w:rPr>
        <w:t>burden</w:t>
      </w:r>
      <w:proofErr w:type="spellEnd"/>
      <w:r w:rsidRPr="00CD0DB3">
        <w:rPr>
          <w:color w:val="000000" w:themeColor="text1"/>
        </w:rPr>
        <w:t xml:space="preserve"> as dose </w:t>
      </w:r>
      <w:proofErr w:type="spellStart"/>
      <w:r w:rsidRPr="00CD0DB3">
        <w:rPr>
          <w:color w:val="000000" w:themeColor="text1"/>
        </w:rPr>
        <w:t>increased</w:t>
      </w:r>
      <w:proofErr w:type="spellEnd"/>
      <w:r w:rsidRPr="00CD0DB3">
        <w:rPr>
          <w:color w:val="000000" w:themeColor="text1"/>
        </w:rPr>
        <w:t xml:space="preserve">. </w:t>
      </w:r>
      <w:proofErr w:type="spellStart"/>
      <w:r w:rsidRPr="00CD0DB3">
        <w:rPr>
          <w:color w:val="000000" w:themeColor="text1"/>
        </w:rPr>
        <w:t>Consistently</w:t>
      </w:r>
      <w:proofErr w:type="spellEnd"/>
      <w:r w:rsidRPr="00CD0DB3">
        <w:rPr>
          <w:color w:val="000000" w:themeColor="text1"/>
        </w:rPr>
        <w:t xml:space="preserve">, the </w:t>
      </w:r>
      <w:proofErr w:type="spellStart"/>
      <w:r w:rsidRPr="00CD0DB3">
        <w:rPr>
          <w:color w:val="000000" w:themeColor="text1"/>
        </w:rPr>
        <w:t>linear</w:t>
      </w:r>
      <w:proofErr w:type="spellEnd"/>
      <w:r w:rsidRPr="00CD0DB3">
        <w:rPr>
          <w:color w:val="000000" w:themeColor="text1"/>
        </w:rPr>
        <w:t xml:space="preserve"> model </w:t>
      </w:r>
      <w:proofErr w:type="spellStart"/>
      <w:r w:rsidRPr="00CD0DB3">
        <w:rPr>
          <w:color w:val="000000" w:themeColor="text1"/>
        </w:rPr>
        <w:t>showed</w:t>
      </w:r>
      <w:proofErr w:type="spellEnd"/>
      <w:r w:rsidRPr="00CD0DB3">
        <w:rPr>
          <w:color w:val="000000" w:themeColor="text1"/>
        </w:rPr>
        <w:t xml:space="preserve"> a </w:t>
      </w:r>
      <w:proofErr w:type="spellStart"/>
      <w:r w:rsidRPr="00CD0DB3">
        <w:rPr>
          <w:color w:val="000000" w:themeColor="text1"/>
        </w:rPr>
        <w:t>negative</w:t>
      </w:r>
      <w:proofErr w:type="spellEnd"/>
      <w:r w:rsidRPr="00CD0DB3">
        <w:rPr>
          <w:color w:val="000000" w:themeColor="text1"/>
        </w:rPr>
        <w:t xml:space="preserve"> dose </w:t>
      </w:r>
      <w:proofErr w:type="spellStart"/>
      <w:r w:rsidRPr="00CD0DB3">
        <w:rPr>
          <w:color w:val="000000" w:themeColor="text1"/>
        </w:rPr>
        <w:t>slope</w:t>
      </w:r>
      <w:proofErr w:type="spellEnd"/>
      <w:r w:rsidRPr="00CD0DB3">
        <w:rPr>
          <w:color w:val="000000" w:themeColor="text1"/>
        </w:rPr>
        <w:t xml:space="preserve"> (β = −0.005, p = 0.030), </w:t>
      </w:r>
      <w:proofErr w:type="spellStart"/>
      <w:r w:rsidRPr="00CD0DB3">
        <w:rPr>
          <w:color w:val="000000" w:themeColor="text1"/>
        </w:rPr>
        <w:t>suggesting</w:t>
      </w:r>
      <w:proofErr w:type="spellEnd"/>
      <w:r w:rsidRPr="00CD0DB3">
        <w:rPr>
          <w:color w:val="000000" w:themeColor="text1"/>
        </w:rPr>
        <w:t xml:space="preserve"> progressive </w:t>
      </w:r>
      <w:proofErr w:type="spellStart"/>
      <w:r w:rsidRPr="00CD0DB3">
        <w:rPr>
          <w:color w:val="000000" w:themeColor="text1"/>
        </w:rPr>
        <w:t>resolution</w:t>
      </w:r>
      <w:proofErr w:type="spellEnd"/>
      <w:r w:rsidRPr="00CD0DB3">
        <w:rPr>
          <w:color w:val="000000" w:themeColor="text1"/>
        </w:rPr>
        <w:t xml:space="preserve"> </w:t>
      </w:r>
      <w:proofErr w:type="spellStart"/>
      <w:r w:rsidRPr="00CD0DB3">
        <w:rPr>
          <w:color w:val="000000" w:themeColor="text1"/>
        </w:rPr>
        <w:t>rather</w:t>
      </w:r>
      <w:proofErr w:type="spellEnd"/>
      <w:r w:rsidRPr="00CD0DB3">
        <w:rPr>
          <w:color w:val="000000" w:themeColor="text1"/>
        </w:rPr>
        <w:t xml:space="preserve"> </w:t>
      </w:r>
      <w:proofErr w:type="spellStart"/>
      <w:r w:rsidRPr="00CD0DB3">
        <w:rPr>
          <w:color w:val="000000" w:themeColor="text1"/>
        </w:rPr>
        <w:t>than</w:t>
      </w:r>
      <w:proofErr w:type="spellEnd"/>
      <w:r w:rsidRPr="00CD0DB3">
        <w:rPr>
          <w:color w:val="000000" w:themeColor="text1"/>
        </w:rPr>
        <w:t xml:space="preserve"> </w:t>
      </w:r>
      <w:proofErr w:type="spellStart"/>
      <w:r w:rsidRPr="00CD0DB3">
        <w:rPr>
          <w:color w:val="000000" w:themeColor="text1"/>
        </w:rPr>
        <w:t>persistence</w:t>
      </w:r>
      <w:proofErr w:type="spellEnd"/>
      <w:r w:rsidRPr="00CD0DB3">
        <w:rPr>
          <w:color w:val="000000" w:themeColor="text1"/>
        </w:rPr>
        <w:t xml:space="preserve"> of dose-</w:t>
      </w:r>
      <w:proofErr w:type="spellStart"/>
      <w:r w:rsidRPr="00CD0DB3">
        <w:rPr>
          <w:color w:val="000000" w:themeColor="text1"/>
        </w:rPr>
        <w:t>related</w:t>
      </w:r>
      <w:proofErr w:type="spellEnd"/>
      <w:r w:rsidRPr="00CD0DB3">
        <w:rPr>
          <w:color w:val="000000" w:themeColor="text1"/>
        </w:rPr>
        <w:t xml:space="preserve"> adverse </w:t>
      </w:r>
      <w:proofErr w:type="spellStart"/>
      <w:r w:rsidRPr="00CD0DB3">
        <w:rPr>
          <w:color w:val="000000" w:themeColor="text1"/>
        </w:rPr>
        <w:t>effects</w:t>
      </w:r>
      <w:proofErr w:type="spellEnd"/>
      <w:r w:rsidRPr="00CD0DB3">
        <w:rPr>
          <w:color w:val="000000" w:themeColor="text1"/>
        </w:rPr>
        <w:t>.</w:t>
      </w:r>
    </w:p>
    <w:p w14:paraId="564E5EF5" w14:textId="77777777" w:rsidR="00CD0DB3" w:rsidRPr="00CD0DB3" w:rsidRDefault="00CD0DB3" w:rsidP="00FC19AC">
      <w:pPr>
        <w:spacing w:line="360" w:lineRule="auto"/>
        <w:rPr>
          <w:color w:val="FF0000"/>
        </w:rPr>
      </w:pPr>
    </w:p>
    <w:p w14:paraId="179DBBCA" w14:textId="77777777" w:rsidR="00CD0DB3" w:rsidRDefault="00CD0DB3" w:rsidP="00FC19AC">
      <w:pPr>
        <w:spacing w:line="360" w:lineRule="auto"/>
        <w:rPr>
          <w:color w:val="000000" w:themeColor="text1"/>
        </w:rPr>
      </w:pPr>
      <w:r w:rsidRPr="00CD0DB3">
        <w:rPr>
          <w:color w:val="000000" w:themeColor="text1"/>
        </w:rPr>
        <w:t xml:space="preserve">In </w:t>
      </w:r>
      <w:proofErr w:type="spellStart"/>
      <w:r w:rsidRPr="00CD0DB3">
        <w:rPr>
          <w:color w:val="000000" w:themeColor="text1"/>
        </w:rPr>
        <w:t>contrast</w:t>
      </w:r>
      <w:proofErr w:type="spellEnd"/>
      <w:r w:rsidRPr="00CD0DB3">
        <w:rPr>
          <w:color w:val="000000" w:themeColor="text1"/>
        </w:rPr>
        <w:t xml:space="preserve">, no </w:t>
      </w:r>
      <w:proofErr w:type="spellStart"/>
      <w:r w:rsidRPr="00CD0DB3">
        <w:rPr>
          <w:color w:val="000000" w:themeColor="text1"/>
        </w:rPr>
        <w:t>significant</w:t>
      </w:r>
      <w:proofErr w:type="spellEnd"/>
      <w:r w:rsidRPr="00CD0DB3">
        <w:rPr>
          <w:color w:val="000000" w:themeColor="text1"/>
        </w:rPr>
        <w:t xml:space="preserve"> dose–</w:t>
      </w:r>
      <w:proofErr w:type="spellStart"/>
      <w:r w:rsidRPr="00CD0DB3">
        <w:rPr>
          <w:color w:val="000000" w:themeColor="text1"/>
        </w:rPr>
        <w:t>response</w:t>
      </w:r>
      <w:proofErr w:type="spellEnd"/>
      <w:r w:rsidRPr="00CD0DB3">
        <w:rPr>
          <w:color w:val="000000" w:themeColor="text1"/>
        </w:rPr>
        <w:t xml:space="preserve"> </w:t>
      </w:r>
      <w:proofErr w:type="spellStart"/>
      <w:r w:rsidRPr="00CD0DB3">
        <w:rPr>
          <w:color w:val="000000" w:themeColor="text1"/>
        </w:rPr>
        <w:t>relationship</w:t>
      </w:r>
      <w:proofErr w:type="spellEnd"/>
      <w:r w:rsidRPr="00CD0DB3">
        <w:rPr>
          <w:color w:val="000000" w:themeColor="text1"/>
        </w:rPr>
        <w:t xml:space="preserve"> </w:t>
      </w:r>
      <w:proofErr w:type="spellStart"/>
      <w:r w:rsidRPr="00CD0DB3">
        <w:rPr>
          <w:color w:val="000000" w:themeColor="text1"/>
        </w:rPr>
        <w:t>was</w:t>
      </w:r>
      <w:proofErr w:type="spellEnd"/>
      <w:r w:rsidRPr="00CD0DB3">
        <w:rPr>
          <w:color w:val="000000" w:themeColor="text1"/>
        </w:rPr>
        <w:t xml:space="preserve"> </w:t>
      </w:r>
      <w:proofErr w:type="spellStart"/>
      <w:r w:rsidRPr="00CD0DB3">
        <w:rPr>
          <w:color w:val="000000" w:themeColor="text1"/>
        </w:rPr>
        <w:t>observed</w:t>
      </w:r>
      <w:proofErr w:type="spellEnd"/>
      <w:r w:rsidRPr="00CD0DB3">
        <w:rPr>
          <w:color w:val="000000" w:themeColor="text1"/>
        </w:rPr>
        <w:t xml:space="preserve"> for MDMA at follow-up (QM = 1.11, p = 0.29), </w:t>
      </w:r>
      <w:proofErr w:type="spellStart"/>
      <w:r w:rsidRPr="00CD0DB3">
        <w:rPr>
          <w:color w:val="000000" w:themeColor="text1"/>
        </w:rPr>
        <w:t>indicating</w:t>
      </w:r>
      <w:proofErr w:type="spellEnd"/>
      <w:r w:rsidRPr="00CD0DB3">
        <w:rPr>
          <w:color w:val="000000" w:themeColor="text1"/>
        </w:rPr>
        <w:t xml:space="preserve"> </w:t>
      </w:r>
      <w:proofErr w:type="spellStart"/>
      <w:r w:rsidRPr="00CD0DB3">
        <w:rPr>
          <w:color w:val="000000" w:themeColor="text1"/>
        </w:rPr>
        <w:t>that</w:t>
      </w:r>
      <w:proofErr w:type="spellEnd"/>
      <w:r w:rsidRPr="00CD0DB3">
        <w:rPr>
          <w:color w:val="000000" w:themeColor="text1"/>
        </w:rPr>
        <w:t xml:space="preserve"> dose-</w:t>
      </w:r>
      <w:proofErr w:type="spellStart"/>
      <w:r w:rsidRPr="00CD0DB3">
        <w:rPr>
          <w:color w:val="000000" w:themeColor="text1"/>
        </w:rPr>
        <w:t>dependent</w:t>
      </w:r>
      <w:proofErr w:type="spellEnd"/>
      <w:r w:rsidRPr="00CD0DB3">
        <w:rPr>
          <w:color w:val="000000" w:themeColor="text1"/>
        </w:rPr>
        <w:t xml:space="preserve"> adverse </w:t>
      </w:r>
      <w:proofErr w:type="spellStart"/>
      <w:r w:rsidRPr="00CD0DB3">
        <w:rPr>
          <w:color w:val="000000" w:themeColor="text1"/>
        </w:rPr>
        <w:t>events</w:t>
      </w:r>
      <w:proofErr w:type="spellEnd"/>
      <w:r w:rsidRPr="00CD0DB3">
        <w:rPr>
          <w:color w:val="000000" w:themeColor="text1"/>
        </w:rPr>
        <w:t xml:space="preserve"> </w:t>
      </w:r>
      <w:proofErr w:type="spellStart"/>
      <w:r w:rsidRPr="00CD0DB3">
        <w:rPr>
          <w:color w:val="000000" w:themeColor="text1"/>
        </w:rPr>
        <w:t>were</w:t>
      </w:r>
      <w:proofErr w:type="spellEnd"/>
      <w:r w:rsidRPr="00CD0DB3">
        <w:rPr>
          <w:color w:val="000000" w:themeColor="text1"/>
        </w:rPr>
        <w:t xml:space="preserve"> </w:t>
      </w:r>
      <w:proofErr w:type="spellStart"/>
      <w:r w:rsidRPr="00CD0DB3">
        <w:rPr>
          <w:color w:val="000000" w:themeColor="text1"/>
        </w:rPr>
        <w:t>confined</w:t>
      </w:r>
      <w:proofErr w:type="spellEnd"/>
      <w:r w:rsidRPr="00CD0DB3">
        <w:rPr>
          <w:color w:val="000000" w:themeColor="text1"/>
        </w:rPr>
        <w:t xml:space="preserve"> to the acute </w:t>
      </w:r>
      <w:proofErr w:type="spellStart"/>
      <w:r w:rsidRPr="00CD0DB3">
        <w:rPr>
          <w:color w:val="000000" w:themeColor="text1"/>
        </w:rPr>
        <w:t>dosing</w:t>
      </w:r>
      <w:proofErr w:type="spellEnd"/>
      <w:r w:rsidRPr="00CD0DB3">
        <w:rPr>
          <w:color w:val="000000" w:themeColor="text1"/>
        </w:rPr>
        <w:t xml:space="preserve"> session.</w:t>
      </w:r>
    </w:p>
    <w:p w14:paraId="47E3FE5E" w14:textId="77777777" w:rsidR="000830F2" w:rsidRDefault="000830F2" w:rsidP="00FC19AC">
      <w:pPr>
        <w:spacing w:line="360" w:lineRule="auto"/>
        <w:rPr>
          <w:color w:val="000000" w:themeColor="text1"/>
        </w:rPr>
      </w:pPr>
    </w:p>
    <w:p w14:paraId="35C9D909" w14:textId="3CE28899" w:rsidR="000829E4" w:rsidRDefault="000830F2" w:rsidP="000830F2">
      <w:pPr>
        <w:spacing w:line="360" w:lineRule="auto"/>
        <w:rPr>
          <w:color w:val="000000" w:themeColor="text1"/>
        </w:rPr>
      </w:pPr>
      <w:r>
        <w:rPr>
          <w:color w:val="000000" w:themeColor="text1"/>
        </w:rPr>
        <w:t>FIGURE 1</w:t>
      </w:r>
    </w:p>
    <w:p w14:paraId="27DB4B5A" w14:textId="72BAF94E" w:rsidR="00B83814" w:rsidRPr="000830F2" w:rsidRDefault="00B83814" w:rsidP="000830F2">
      <w:pPr>
        <w:spacing w:line="360" w:lineRule="auto"/>
        <w:rPr>
          <w:color w:val="000000" w:themeColor="text1"/>
        </w:rPr>
      </w:pPr>
      <w:r>
        <w:rPr>
          <w:color w:val="000000" w:themeColor="text1"/>
        </w:rPr>
        <w:t>TABLE 2</w:t>
      </w:r>
    </w:p>
    <w:p w14:paraId="47887832" w14:textId="77777777" w:rsidR="00682EED" w:rsidRPr="00DD280F" w:rsidRDefault="00682EED" w:rsidP="00682EED">
      <w:pPr>
        <w:rPr>
          <w:lang w:val="en-US"/>
        </w:rPr>
      </w:pPr>
      <w:bookmarkStart w:id="30" w:name="_y7ccgdgrfo2r" w:colFirst="0" w:colLast="0"/>
      <w:bookmarkEnd w:id="30"/>
    </w:p>
    <w:p w14:paraId="5FE1F69D" w14:textId="6EA17E62" w:rsidR="00682EED" w:rsidRPr="00DD280F" w:rsidRDefault="00682EED" w:rsidP="00CD0DB3">
      <w:pPr>
        <w:spacing w:line="480" w:lineRule="auto"/>
        <w:rPr>
          <w:b/>
          <w:bCs/>
          <w:lang w:val="en-US"/>
        </w:rPr>
      </w:pPr>
      <w:r w:rsidRPr="00DD280F">
        <w:rPr>
          <w:b/>
          <w:bCs/>
          <w:lang w:val="en-US"/>
        </w:rPr>
        <w:t xml:space="preserve">3.3 </w:t>
      </w:r>
      <w:r w:rsidR="005C4C5C">
        <w:rPr>
          <w:b/>
          <w:bCs/>
          <w:lang w:val="en-US"/>
        </w:rPr>
        <w:t>D</w:t>
      </w:r>
      <w:r w:rsidRPr="00DD280F">
        <w:rPr>
          <w:b/>
          <w:bCs/>
          <w:lang w:val="en-US"/>
        </w:rPr>
        <w:t xml:space="preserve">ose–response </w:t>
      </w:r>
      <w:r w:rsidR="005C4C5C">
        <w:rPr>
          <w:b/>
          <w:bCs/>
          <w:lang w:val="en-US"/>
        </w:rPr>
        <w:t xml:space="preserve">association for </w:t>
      </w:r>
      <w:proofErr w:type="gramStart"/>
      <w:r w:rsidR="00A458D0">
        <w:rPr>
          <w:b/>
          <w:bCs/>
          <w:lang w:val="en-US"/>
        </w:rPr>
        <w:t xml:space="preserve">individual </w:t>
      </w:r>
      <w:r w:rsidRPr="00DD280F">
        <w:rPr>
          <w:b/>
          <w:bCs/>
          <w:lang w:val="en-US"/>
        </w:rPr>
        <w:t xml:space="preserve"> adverse</w:t>
      </w:r>
      <w:proofErr w:type="gramEnd"/>
      <w:r w:rsidRPr="00DD280F">
        <w:rPr>
          <w:b/>
          <w:bCs/>
          <w:lang w:val="en-US"/>
        </w:rPr>
        <w:t xml:space="preserve"> event</w:t>
      </w:r>
    </w:p>
    <w:p w14:paraId="59FAB682" w14:textId="51A7469E" w:rsidR="00682EED" w:rsidRPr="00DD280F" w:rsidRDefault="00682EED" w:rsidP="00CD0DB3">
      <w:pPr>
        <w:pStyle w:val="p1"/>
        <w:spacing w:before="0" w:beforeAutospacing="0" w:after="0" w:afterAutospacing="0" w:line="480" w:lineRule="auto"/>
        <w:rPr>
          <w:lang w:val="en-US"/>
        </w:rPr>
      </w:pPr>
      <w:r w:rsidRPr="00DD280F">
        <w:rPr>
          <w:lang w:val="en-US"/>
        </w:rPr>
        <w:t>Session-specific linear meta-regressions were conducted for individual AEs to assess dose-dependent gradients during the dosing session (Fig</w:t>
      </w:r>
      <w:r w:rsidR="000830F2">
        <w:rPr>
          <w:lang w:val="en-US"/>
        </w:rPr>
        <w:t>ure</w:t>
      </w:r>
      <w:r w:rsidRPr="00DD280F">
        <w:rPr>
          <w:lang w:val="en-US"/>
        </w:rPr>
        <w:t xml:space="preserve"> </w:t>
      </w:r>
      <w:proofErr w:type="gramStart"/>
      <w:r w:rsidRPr="00DD280F">
        <w:rPr>
          <w:lang w:val="en-US"/>
        </w:rPr>
        <w:t>2</w:t>
      </w:r>
      <w:r w:rsidR="00B83814">
        <w:rPr>
          <w:lang w:val="en-US"/>
        </w:rPr>
        <w:t xml:space="preserve"> ;</w:t>
      </w:r>
      <w:proofErr w:type="gramEnd"/>
      <w:r w:rsidR="00B83814">
        <w:rPr>
          <w:lang w:val="en-US"/>
        </w:rPr>
        <w:t xml:space="preserve"> Table 3</w:t>
      </w:r>
      <w:r w:rsidRPr="00DD280F">
        <w:rPr>
          <w:lang w:val="en-US"/>
        </w:rPr>
        <w:t xml:space="preserve">). </w:t>
      </w:r>
      <w:commentRangeStart w:id="31"/>
      <w:commentRangeStart w:id="32"/>
      <w:r w:rsidR="00FC75D4">
        <w:rPr>
          <w:lang w:val="en-US"/>
        </w:rPr>
        <w:t xml:space="preserve">Different </w:t>
      </w:r>
      <w:r w:rsidRPr="00DD280F">
        <w:rPr>
          <w:lang w:val="en-US"/>
        </w:rPr>
        <w:t>AE-specific slopes reached nominal significance (p &lt; 0.05); however,</w:t>
      </w:r>
      <w:r w:rsidRPr="00FC75D4">
        <w:rPr>
          <w:lang w:val="en-US"/>
        </w:rPr>
        <w:t xml:space="preserve"> </w:t>
      </w:r>
      <w:r w:rsidRPr="00CD0DB3">
        <w:rPr>
          <w:rStyle w:val="s1"/>
          <w:lang w:val="en-US"/>
        </w:rPr>
        <w:t>none remained significant after 5% false discovery rate correction</w:t>
      </w:r>
      <w:r w:rsidRPr="00FC75D4">
        <w:rPr>
          <w:lang w:val="en-US"/>
        </w:rPr>
        <w:t>,</w:t>
      </w:r>
      <w:r w:rsidRPr="00DD280F">
        <w:rPr>
          <w:lang w:val="en-US"/>
        </w:rPr>
        <w:t xml:space="preserve"> indicating that AE-level dose–response signals were weak and did not withstand multiplicity control.</w:t>
      </w:r>
      <w:commentRangeEnd w:id="31"/>
      <w:r w:rsidR="00374756" w:rsidRPr="00DD280F">
        <w:rPr>
          <w:rStyle w:val="Marquedecommentaire"/>
          <w:sz w:val="24"/>
          <w:szCs w:val="24"/>
          <w:lang w:val="en-US"/>
        </w:rPr>
        <w:commentReference w:id="31"/>
      </w:r>
      <w:commentRangeEnd w:id="32"/>
      <w:r w:rsidR="00B13BA1">
        <w:rPr>
          <w:rStyle w:val="Marquedecommentaire"/>
          <w:lang w:val="fr" w:eastAsia="en-US"/>
        </w:rPr>
        <w:commentReference w:id="32"/>
      </w:r>
    </w:p>
    <w:p w14:paraId="74A2A6DF" w14:textId="73347697" w:rsidR="00682EED" w:rsidRPr="00DD280F" w:rsidRDefault="00682EED" w:rsidP="00CD0DB3">
      <w:pPr>
        <w:pStyle w:val="p1"/>
        <w:spacing w:before="0" w:beforeAutospacing="0" w:after="0" w:afterAutospacing="0" w:line="480" w:lineRule="auto"/>
        <w:rPr>
          <w:lang w:val="en-US"/>
        </w:rPr>
      </w:pPr>
      <w:r w:rsidRPr="00DD280F">
        <w:rPr>
          <w:lang w:val="en-US"/>
        </w:rPr>
        <w:t xml:space="preserve">For </w:t>
      </w:r>
      <w:r w:rsidRPr="00DD280F">
        <w:rPr>
          <w:rStyle w:val="s1"/>
          <w:lang w:val="en-US"/>
        </w:rPr>
        <w:t>LSD</w:t>
      </w:r>
      <w:r w:rsidRPr="00DD280F">
        <w:rPr>
          <w:lang w:val="en-US"/>
        </w:rPr>
        <w:t>, nominal positive dose–response associations were observed for nausea, headache, and visual illusions (p &lt; 0.05, uncorrected), with increasing odds across the 50–200 µg range. These effects did not survive correction. No cognitive or affective AEs showed reliable dose gradients.</w:t>
      </w:r>
    </w:p>
    <w:p w14:paraId="5CFD13DB" w14:textId="04F53249" w:rsidR="00682EED" w:rsidRPr="00CD0DB3" w:rsidRDefault="00682EED" w:rsidP="00CD0DB3">
      <w:pPr>
        <w:pStyle w:val="p1"/>
        <w:spacing w:before="0" w:beforeAutospacing="0" w:after="0" w:afterAutospacing="0" w:line="480" w:lineRule="auto"/>
        <w:rPr>
          <w:lang w:val="en-US"/>
        </w:rPr>
      </w:pPr>
      <w:r w:rsidRPr="00DD280F">
        <w:rPr>
          <w:lang w:val="en-US"/>
        </w:rPr>
        <w:t xml:space="preserve">For </w:t>
      </w:r>
      <w:r w:rsidRPr="00DD280F">
        <w:rPr>
          <w:rStyle w:val="s1"/>
          <w:lang w:val="en-US"/>
        </w:rPr>
        <w:t>MDMA</w:t>
      </w:r>
      <w:r w:rsidRPr="00DD280F">
        <w:rPr>
          <w:lang w:val="en-US"/>
        </w:rPr>
        <w:t xml:space="preserve">, headache and dizziness exhibited nominally significant positive dose–response relationships (p &lt; 0.05, uncorrected) across the 50–125 mg range, consistent with known </w:t>
      </w:r>
      <w:r w:rsidRPr="00DD280F">
        <w:rPr>
          <w:lang w:val="en-US"/>
        </w:rPr>
        <w:lastRenderedPageBreak/>
        <w:t xml:space="preserve">sympathomimetic and vestibular effects. </w:t>
      </w:r>
      <w:r w:rsidRPr="00CD0DB3">
        <w:rPr>
          <w:lang w:val="en-US"/>
        </w:rPr>
        <w:t>No MDMA-related AE remained significant after correction.</w:t>
      </w:r>
    </w:p>
    <w:p w14:paraId="49F277AA" w14:textId="0897E098" w:rsidR="00682EED" w:rsidRPr="00CD0DB3" w:rsidRDefault="00682EED" w:rsidP="00CD0DB3">
      <w:pPr>
        <w:pStyle w:val="p1"/>
        <w:spacing w:before="0" w:beforeAutospacing="0" w:after="0" w:afterAutospacing="0" w:line="480" w:lineRule="auto"/>
        <w:rPr>
          <w:lang w:val="en-US"/>
        </w:rPr>
      </w:pPr>
      <w:r w:rsidRPr="00CD0DB3">
        <w:rPr>
          <w:lang w:val="en-US"/>
        </w:rPr>
        <w:t xml:space="preserve">For </w:t>
      </w:r>
      <w:r w:rsidRPr="00CD0DB3">
        <w:rPr>
          <w:rStyle w:val="s1"/>
          <w:lang w:val="en-US"/>
        </w:rPr>
        <w:t>psilocybin</w:t>
      </w:r>
      <w:r w:rsidRPr="00CD0DB3">
        <w:rPr>
          <w:lang w:val="en-US"/>
        </w:rPr>
        <w:t>, fatigue (p &lt; 0.001, uncorrected) and hypertension or blood pressure elevation (p &lt; 0.05, uncorrected) showed nominal dose–response associations; however, neither survived correction.</w:t>
      </w:r>
    </w:p>
    <w:p w14:paraId="036B4BF2" w14:textId="68F9E47D" w:rsidR="00682EED" w:rsidRPr="00EA4683" w:rsidRDefault="00682EED" w:rsidP="00CD0DB3">
      <w:pPr>
        <w:pStyle w:val="p1"/>
        <w:spacing w:before="0" w:beforeAutospacing="0" w:after="0" w:afterAutospacing="0" w:line="480" w:lineRule="auto"/>
        <w:rPr>
          <w:lang w:val="en-US"/>
        </w:rPr>
      </w:pPr>
      <w:r w:rsidRPr="00CD0DB3">
        <w:rPr>
          <w:lang w:val="en-US"/>
        </w:rPr>
        <w:t xml:space="preserve">AE-level dose–response analyses were not </w:t>
      </w:r>
      <w:r w:rsidR="00EA4683">
        <w:rPr>
          <w:lang w:val="en-US"/>
        </w:rPr>
        <w:t xml:space="preserve">possible </w:t>
      </w:r>
      <w:r w:rsidRPr="00CD0DB3">
        <w:rPr>
          <w:lang w:val="en-US"/>
        </w:rPr>
        <w:t xml:space="preserve">for </w:t>
      </w:r>
      <w:r w:rsidRPr="00EA4683">
        <w:rPr>
          <w:rStyle w:val="s1"/>
          <w:lang w:val="en-US"/>
        </w:rPr>
        <w:t>ayahuasca</w:t>
      </w:r>
      <w:r w:rsidRPr="00EA4683">
        <w:rPr>
          <w:lang w:val="en-US"/>
        </w:rPr>
        <w:t xml:space="preserve"> due to insufficient dose variability.</w:t>
      </w:r>
    </w:p>
    <w:p w14:paraId="1CA21B31" w14:textId="7692DB1C" w:rsidR="00682EED" w:rsidRDefault="00682EED" w:rsidP="00FC19AC">
      <w:pPr>
        <w:pStyle w:val="Titre4"/>
        <w:keepNext w:val="0"/>
        <w:keepLines w:val="0"/>
        <w:spacing w:before="240" w:after="40"/>
        <w:rPr>
          <w:b/>
          <w:bCs/>
          <w:noProof/>
          <w:color w:val="000000" w:themeColor="text1"/>
          <w:sz w:val="22"/>
          <w:szCs w:val="22"/>
          <w:lang w:val="en-US"/>
        </w:rPr>
      </w:pPr>
      <w:commentRangeStart w:id="33"/>
      <w:commentRangeStart w:id="34"/>
      <w:r w:rsidRPr="00FC19AC">
        <w:rPr>
          <w:color w:val="000000" w:themeColor="text1"/>
          <w:shd w:val="clear" w:color="auto" w:fill="FFFFFF" w:themeFill="background1"/>
          <w:lang w:val="en-US"/>
        </w:rPr>
        <w:t xml:space="preserve">Overall, AE-specific dose–response effects were not statistically robust after correction for multiple testing, suggesting that </w:t>
      </w:r>
      <w:r w:rsidRPr="00FC19AC">
        <w:rPr>
          <w:rStyle w:val="s1"/>
          <w:color w:val="000000" w:themeColor="text1"/>
          <w:shd w:val="clear" w:color="auto" w:fill="FFFFFF" w:themeFill="background1"/>
          <w:lang w:val="en-US"/>
        </w:rPr>
        <w:t>dose-dependent risk is more reliably detected at the global AE level than for individual adverse events</w:t>
      </w:r>
      <w:r w:rsidRPr="00FC19AC">
        <w:rPr>
          <w:color w:val="000000" w:themeColor="text1"/>
          <w:shd w:val="clear" w:color="auto" w:fill="FFFFFF" w:themeFill="background1"/>
          <w:lang w:val="en-US"/>
        </w:rPr>
        <w:t>, and that most AEs behave as threshold-dependent rather than strictly dose-proportional phenomena.</w:t>
      </w:r>
      <w:r w:rsidR="00FF56FC" w:rsidRPr="00FC19AC">
        <w:rPr>
          <w:b/>
          <w:bCs/>
          <w:noProof/>
          <w:color w:val="000000" w:themeColor="text1"/>
          <w:sz w:val="22"/>
          <w:szCs w:val="22"/>
          <w:lang w:val="en-US"/>
        </w:rPr>
        <w:t xml:space="preserve"> </w:t>
      </w:r>
      <w:commentRangeEnd w:id="33"/>
      <w:r w:rsidR="002857BC">
        <w:rPr>
          <w:rStyle w:val="Marquedecommentaire"/>
          <w:b/>
          <w:bCs/>
          <w:noProof/>
          <w:color w:val="000000" w:themeColor="text1"/>
          <w:sz w:val="22"/>
          <w:szCs w:val="22"/>
          <w:lang w:val="en-US"/>
        </w:rPr>
        <w:commentReference w:id="33"/>
      </w:r>
      <w:commentRangeEnd w:id="34"/>
      <w:r w:rsidR="007F23AA">
        <w:rPr>
          <w:rStyle w:val="Marquedecommentaire"/>
          <w:color w:val="auto"/>
        </w:rPr>
        <w:commentReference w:id="34"/>
      </w:r>
    </w:p>
    <w:p w14:paraId="777EAB0D" w14:textId="77777777" w:rsidR="00FC19AC" w:rsidRDefault="00FC19AC" w:rsidP="00FC19AC">
      <w:pPr>
        <w:rPr>
          <w:lang w:val="en-US" w:eastAsia="en-US"/>
        </w:rPr>
      </w:pPr>
    </w:p>
    <w:p w14:paraId="5A05319C" w14:textId="148FD9F8" w:rsidR="00FC19AC" w:rsidRDefault="00FC19AC" w:rsidP="00FC19AC">
      <w:pPr>
        <w:rPr>
          <w:lang w:val="en-US" w:eastAsia="en-US"/>
        </w:rPr>
      </w:pPr>
      <w:r>
        <w:rPr>
          <w:lang w:val="en-US" w:eastAsia="en-US"/>
        </w:rPr>
        <w:t>FIGURE 2</w:t>
      </w:r>
    </w:p>
    <w:p w14:paraId="34C89031" w14:textId="77777777" w:rsidR="000830F2" w:rsidRDefault="000830F2" w:rsidP="00FC19AC">
      <w:pPr>
        <w:rPr>
          <w:lang w:val="en-US" w:eastAsia="en-US"/>
        </w:rPr>
      </w:pPr>
    </w:p>
    <w:p w14:paraId="641A274B" w14:textId="74BDF024" w:rsidR="000830F2" w:rsidRDefault="000830F2" w:rsidP="00FC19AC">
      <w:pPr>
        <w:rPr>
          <w:lang w:val="en-US" w:eastAsia="en-US"/>
        </w:rPr>
      </w:pPr>
      <w:r>
        <w:rPr>
          <w:lang w:val="en-US" w:eastAsia="en-US"/>
        </w:rPr>
        <w:t xml:space="preserve">Table </w:t>
      </w:r>
      <w:r w:rsidR="00B83814">
        <w:rPr>
          <w:lang w:val="en-US" w:eastAsia="en-US"/>
        </w:rPr>
        <w:t>3</w:t>
      </w:r>
    </w:p>
    <w:p w14:paraId="66B8C88F" w14:textId="77777777" w:rsidR="00FC19AC" w:rsidRPr="00FC19AC" w:rsidRDefault="00FC19AC" w:rsidP="00FC19AC">
      <w:pPr>
        <w:rPr>
          <w:lang w:val="en-US" w:eastAsia="en-US"/>
        </w:rPr>
      </w:pPr>
    </w:p>
    <w:p w14:paraId="3E6C675D" w14:textId="269D02EE" w:rsidR="00CD0DB3" w:rsidRPr="003D39F1" w:rsidRDefault="00FC19AC" w:rsidP="00CD0DB3">
      <w:pPr>
        <w:pStyle w:val="Titre2"/>
        <w:rPr>
          <w:sz w:val="24"/>
          <w:szCs w:val="24"/>
          <w:lang w:val="en-US"/>
        </w:rPr>
      </w:pPr>
      <w:commentRangeStart w:id="35"/>
      <w:commentRangeStart w:id="36"/>
      <w:r w:rsidRPr="003D39F1">
        <w:rPr>
          <w:sz w:val="24"/>
          <w:szCs w:val="24"/>
          <w:lang w:val="en-US"/>
        </w:rPr>
        <w:t xml:space="preserve">3.4 </w:t>
      </w:r>
      <w:r w:rsidR="00CD0DB3" w:rsidRPr="003D39F1">
        <w:rPr>
          <w:sz w:val="24"/>
          <w:szCs w:val="24"/>
          <w:lang w:val="en-US"/>
        </w:rPr>
        <w:t>Pooled adverse events by substance</w:t>
      </w:r>
      <w:r w:rsidR="000830F2">
        <w:rPr>
          <w:sz w:val="24"/>
          <w:szCs w:val="24"/>
          <w:lang w:val="en-US"/>
        </w:rPr>
        <w:t xml:space="preserve"> </w:t>
      </w:r>
      <w:commentRangeEnd w:id="35"/>
      <w:r w:rsidR="00556CAC" w:rsidRPr="003D39F1">
        <w:rPr>
          <w:rStyle w:val="Marquedecommentaire"/>
          <w:sz w:val="24"/>
          <w:szCs w:val="24"/>
          <w:lang w:val="en-US"/>
        </w:rPr>
        <w:commentReference w:id="35"/>
      </w:r>
      <w:commentRangeEnd w:id="36"/>
      <w:r w:rsidR="00B13BA1">
        <w:rPr>
          <w:rStyle w:val="Marquedecommentaire"/>
          <w:b w:val="0"/>
          <w:bCs w:val="0"/>
        </w:rPr>
        <w:commentReference w:id="36"/>
      </w:r>
    </w:p>
    <w:p w14:paraId="75C95A88" w14:textId="1CC2B79A" w:rsidR="00FC19AC" w:rsidRPr="003D39F1" w:rsidRDefault="00FC19AC" w:rsidP="00FC19AC">
      <w:pPr>
        <w:spacing w:line="360" w:lineRule="auto"/>
        <w:rPr>
          <w:color w:val="0E0E0E"/>
        </w:rPr>
      </w:pPr>
      <w:commentRangeStart w:id="37"/>
      <w:r w:rsidRPr="003D39F1">
        <w:rPr>
          <w:color w:val="0E0E0E"/>
          <w:lang w:val="en-US"/>
        </w:rPr>
        <w:t>During the dosing session, LSD was associated with significantly increased odds of several adverse events compared with control conditions</w:t>
      </w:r>
      <w:r w:rsidR="000830F2">
        <w:rPr>
          <w:color w:val="0E0E0E"/>
          <w:lang w:val="en-US"/>
        </w:rPr>
        <w:t xml:space="preserve"> (Table </w:t>
      </w:r>
      <w:r w:rsidR="00B83814">
        <w:rPr>
          <w:color w:val="0E0E0E"/>
          <w:lang w:val="en-US"/>
        </w:rPr>
        <w:t>4</w:t>
      </w:r>
      <w:r w:rsidR="000830F2">
        <w:rPr>
          <w:color w:val="0E0E0E"/>
          <w:lang w:val="en-US"/>
        </w:rPr>
        <w:t>, Figure 3)</w:t>
      </w:r>
      <w:r w:rsidRPr="003D39F1">
        <w:rPr>
          <w:color w:val="0E0E0E"/>
          <w:lang w:val="en-US"/>
        </w:rPr>
        <w:t xml:space="preserve">. These included nausea (OR 4.19, 95% CI 1.48–11.83, p = 0.007), visual hallucinations (OR ≈ 9–10, 95% CI excluding 1, p &lt; 0.01), and illusions (OR ≈ 4–5, 95% CI excluding 1, p &lt; 0.05). Sleep disorder was associated with significantly lower odds during the session (OR 0.33, 95% CI 0.13–0.81, p = 0.016). Euphoric mood showed a trend toward significance (OR 2.08, 95% CI 0.97–4.44, p = 0.058). </w:t>
      </w:r>
      <w:proofErr w:type="spellStart"/>
      <w:r w:rsidRPr="003D39F1">
        <w:rPr>
          <w:color w:val="0E0E0E"/>
        </w:rPr>
        <w:t>Headache</w:t>
      </w:r>
      <w:proofErr w:type="spellEnd"/>
      <w:r w:rsidRPr="003D39F1">
        <w:rPr>
          <w:color w:val="0E0E0E"/>
        </w:rPr>
        <w:t xml:space="preserve"> (OR 1.40, 95% CI 0.64–3.06, p = 0.395) and fatigue (OR 0.38, 95% CI 0.12–1.23, p = 0.105) </w:t>
      </w:r>
      <w:proofErr w:type="spellStart"/>
      <w:r w:rsidRPr="003D39F1">
        <w:rPr>
          <w:color w:val="0E0E0E"/>
        </w:rPr>
        <w:t>were</w:t>
      </w:r>
      <w:proofErr w:type="spellEnd"/>
      <w:r w:rsidRPr="003D39F1">
        <w:rPr>
          <w:color w:val="0E0E0E"/>
        </w:rPr>
        <w:t xml:space="preserve"> not </w:t>
      </w:r>
      <w:proofErr w:type="spellStart"/>
      <w:r w:rsidRPr="003D39F1">
        <w:rPr>
          <w:color w:val="0E0E0E"/>
        </w:rPr>
        <w:t>significantly</w:t>
      </w:r>
      <w:proofErr w:type="spellEnd"/>
      <w:r w:rsidRPr="003D39F1">
        <w:rPr>
          <w:color w:val="0E0E0E"/>
        </w:rPr>
        <w:t xml:space="preserve"> </w:t>
      </w:r>
      <w:proofErr w:type="spellStart"/>
      <w:r w:rsidRPr="003D39F1">
        <w:rPr>
          <w:color w:val="0E0E0E"/>
        </w:rPr>
        <w:t>increased</w:t>
      </w:r>
      <w:proofErr w:type="spellEnd"/>
      <w:r w:rsidRPr="003D39F1">
        <w:rPr>
          <w:color w:val="0E0E0E"/>
        </w:rPr>
        <w:t xml:space="preserve"> </w:t>
      </w:r>
      <w:proofErr w:type="spellStart"/>
      <w:r w:rsidRPr="003D39F1">
        <w:rPr>
          <w:color w:val="0E0E0E"/>
        </w:rPr>
        <w:t>during</w:t>
      </w:r>
      <w:proofErr w:type="spellEnd"/>
      <w:r w:rsidRPr="003D39F1">
        <w:rPr>
          <w:color w:val="0E0E0E"/>
        </w:rPr>
        <w:t xml:space="preserve"> the session.</w:t>
      </w:r>
      <w:commentRangeEnd w:id="37"/>
      <w:r w:rsidR="006006BD" w:rsidRPr="003D39F1">
        <w:rPr>
          <w:rStyle w:val="Marquedecommentaire"/>
          <w:color w:val="0E0E0E"/>
          <w:sz w:val="24"/>
          <w:szCs w:val="24"/>
        </w:rPr>
        <w:commentReference w:id="37"/>
      </w:r>
    </w:p>
    <w:p w14:paraId="6353963A" w14:textId="77777777" w:rsidR="00CD0DB3" w:rsidRPr="003D39F1" w:rsidRDefault="00CD0DB3" w:rsidP="00FC19AC">
      <w:pPr>
        <w:pStyle w:val="p3"/>
        <w:spacing w:line="360" w:lineRule="auto"/>
      </w:pPr>
      <w:r w:rsidRPr="003D39F1">
        <w:t xml:space="preserve">At follow-up, a distinct pattern </w:t>
      </w:r>
      <w:proofErr w:type="spellStart"/>
      <w:r w:rsidRPr="003D39F1">
        <w:t>emerged</w:t>
      </w:r>
      <w:proofErr w:type="spellEnd"/>
      <w:r w:rsidRPr="003D39F1">
        <w:t xml:space="preserve">, </w:t>
      </w:r>
      <w:proofErr w:type="spellStart"/>
      <w:r w:rsidRPr="003D39F1">
        <w:t>with</w:t>
      </w:r>
      <w:proofErr w:type="spellEnd"/>
      <w:r w:rsidRPr="003D39F1">
        <w:t xml:space="preserve"> </w:t>
      </w:r>
      <w:proofErr w:type="spellStart"/>
      <w:r w:rsidRPr="003D39F1">
        <w:t>significant</w:t>
      </w:r>
      <w:proofErr w:type="spellEnd"/>
      <w:r w:rsidRPr="003D39F1">
        <w:t xml:space="preserve"> </w:t>
      </w:r>
      <w:proofErr w:type="spellStart"/>
      <w:r w:rsidRPr="003D39F1">
        <w:t>increases</w:t>
      </w:r>
      <w:proofErr w:type="spellEnd"/>
      <w:r w:rsidRPr="003D39F1">
        <w:t xml:space="preserve"> in </w:t>
      </w:r>
      <w:r w:rsidRPr="003D39F1">
        <w:rPr>
          <w:rStyle w:val="s2"/>
        </w:rPr>
        <w:t xml:space="preserve">attention </w:t>
      </w:r>
      <w:proofErr w:type="spellStart"/>
      <w:r w:rsidRPr="003D39F1">
        <w:rPr>
          <w:rStyle w:val="s2"/>
        </w:rPr>
        <w:t>disturbance</w:t>
      </w:r>
      <w:proofErr w:type="spellEnd"/>
      <w:r w:rsidRPr="003D39F1">
        <w:t xml:space="preserve"> (OR 7.95, 95% CI 2.13–29.65, </w:t>
      </w:r>
      <w:r w:rsidRPr="003D39F1">
        <w:rPr>
          <w:i/>
          <w:iCs/>
        </w:rPr>
        <w:t>p</w:t>
      </w:r>
      <w:r w:rsidRPr="003D39F1">
        <w:t xml:space="preserve"> = 0.002), </w:t>
      </w:r>
      <w:r w:rsidRPr="003D39F1">
        <w:rPr>
          <w:rStyle w:val="s2"/>
        </w:rPr>
        <w:t>fatigue</w:t>
      </w:r>
      <w:r w:rsidRPr="003D39F1">
        <w:t xml:space="preserve"> (OR 14.21, 95% CI 3.13–64.43, </w:t>
      </w:r>
      <w:r w:rsidRPr="003D39F1">
        <w:rPr>
          <w:i/>
          <w:iCs/>
        </w:rPr>
        <w:t>p</w:t>
      </w:r>
      <w:r w:rsidRPr="003D39F1">
        <w:t xml:space="preserve"> &lt; 0.001), and </w:t>
      </w:r>
      <w:proofErr w:type="spellStart"/>
      <w:r w:rsidRPr="003D39F1">
        <w:rPr>
          <w:rStyle w:val="s2"/>
        </w:rPr>
        <w:t>headache</w:t>
      </w:r>
      <w:proofErr w:type="spellEnd"/>
      <w:r w:rsidRPr="003D39F1">
        <w:t xml:space="preserve"> (OR 10.70, 95% CI 3.65–31.38, </w:t>
      </w:r>
      <w:r w:rsidRPr="003D39F1">
        <w:rPr>
          <w:i/>
          <w:iCs/>
        </w:rPr>
        <w:t>p</w:t>
      </w:r>
      <w:r w:rsidRPr="003D39F1">
        <w:t xml:space="preserve"> &lt; 0.001). </w:t>
      </w:r>
      <w:commentRangeStart w:id="38"/>
      <w:commentRangeStart w:id="39"/>
      <w:proofErr w:type="spellStart"/>
      <w:r w:rsidRPr="003D39F1">
        <w:t>Taken</w:t>
      </w:r>
      <w:proofErr w:type="spellEnd"/>
      <w:r w:rsidRPr="003D39F1">
        <w:t xml:space="preserve"> </w:t>
      </w:r>
      <w:proofErr w:type="spellStart"/>
      <w:r w:rsidRPr="003D39F1">
        <w:t>together</w:t>
      </w:r>
      <w:proofErr w:type="spellEnd"/>
      <w:r w:rsidRPr="003D39F1">
        <w:t xml:space="preserve">, </w:t>
      </w:r>
      <w:proofErr w:type="spellStart"/>
      <w:r w:rsidRPr="003D39F1">
        <w:t>these</w:t>
      </w:r>
      <w:proofErr w:type="spellEnd"/>
      <w:r w:rsidRPr="003D39F1">
        <w:t xml:space="preserve"> </w:t>
      </w:r>
      <w:proofErr w:type="spellStart"/>
      <w:r w:rsidRPr="003D39F1">
        <w:t>findings</w:t>
      </w:r>
      <w:proofErr w:type="spellEnd"/>
      <w:r w:rsidRPr="003D39F1">
        <w:t xml:space="preserve"> </w:t>
      </w:r>
      <w:proofErr w:type="spellStart"/>
      <w:r w:rsidRPr="003D39F1">
        <w:t>indicate</w:t>
      </w:r>
      <w:proofErr w:type="spellEnd"/>
      <w:r w:rsidRPr="003D39F1">
        <w:t xml:space="preserve"> a </w:t>
      </w:r>
      <w:proofErr w:type="spellStart"/>
      <w:r w:rsidRPr="003D39F1">
        <w:rPr>
          <w:rStyle w:val="s2"/>
        </w:rPr>
        <w:lastRenderedPageBreak/>
        <w:t>biphasic</w:t>
      </w:r>
      <w:proofErr w:type="spellEnd"/>
      <w:r w:rsidRPr="003D39F1">
        <w:rPr>
          <w:rStyle w:val="s2"/>
        </w:rPr>
        <w:t xml:space="preserve"> AE profile for LSD</w:t>
      </w:r>
      <w:r w:rsidRPr="003D39F1">
        <w:t xml:space="preserve">, </w:t>
      </w:r>
      <w:proofErr w:type="spellStart"/>
      <w:r w:rsidRPr="003D39F1">
        <w:t>characterized</w:t>
      </w:r>
      <w:proofErr w:type="spellEnd"/>
      <w:r w:rsidRPr="003D39F1">
        <w:t xml:space="preserve"> by </w:t>
      </w:r>
      <w:proofErr w:type="spellStart"/>
      <w:r w:rsidRPr="003D39F1">
        <w:t>predominantly</w:t>
      </w:r>
      <w:proofErr w:type="spellEnd"/>
      <w:r w:rsidRPr="003D39F1">
        <w:t xml:space="preserve"> gastrointestinal or </w:t>
      </w:r>
      <w:proofErr w:type="spellStart"/>
      <w:r w:rsidRPr="003D39F1">
        <w:t>sleep-related</w:t>
      </w:r>
      <w:proofErr w:type="spellEnd"/>
      <w:r w:rsidRPr="003D39F1">
        <w:t xml:space="preserve"> </w:t>
      </w:r>
      <w:proofErr w:type="spellStart"/>
      <w:r w:rsidRPr="003D39F1">
        <w:t>effects</w:t>
      </w:r>
      <w:proofErr w:type="spellEnd"/>
      <w:r w:rsidRPr="003D39F1">
        <w:t xml:space="preserve"> </w:t>
      </w:r>
      <w:proofErr w:type="spellStart"/>
      <w:r w:rsidRPr="003D39F1">
        <w:t>during</w:t>
      </w:r>
      <w:proofErr w:type="spellEnd"/>
      <w:r w:rsidRPr="003D39F1">
        <w:t xml:space="preserve"> the session and </w:t>
      </w:r>
      <w:proofErr w:type="spellStart"/>
      <w:r w:rsidRPr="003D39F1">
        <w:t>delayed</w:t>
      </w:r>
      <w:proofErr w:type="spellEnd"/>
      <w:r w:rsidRPr="003D39F1">
        <w:t xml:space="preserve"> cognitive or </w:t>
      </w:r>
      <w:proofErr w:type="spellStart"/>
      <w:r w:rsidRPr="003D39F1">
        <w:t>somatic</w:t>
      </w:r>
      <w:proofErr w:type="spellEnd"/>
      <w:r w:rsidRPr="003D39F1">
        <w:t xml:space="preserve"> complaints at follow-up.</w:t>
      </w:r>
      <w:commentRangeEnd w:id="38"/>
      <w:r w:rsidR="00556CAC" w:rsidRPr="003D39F1">
        <w:rPr>
          <w:rStyle w:val="Marquedecommentaire"/>
          <w:sz w:val="24"/>
          <w:szCs w:val="24"/>
        </w:rPr>
        <w:commentReference w:id="38"/>
      </w:r>
      <w:commentRangeEnd w:id="39"/>
      <w:r w:rsidR="00556CAC" w:rsidRPr="003D39F1">
        <w:rPr>
          <w:rStyle w:val="Marquedecommentaire"/>
          <w:sz w:val="24"/>
          <w:szCs w:val="24"/>
        </w:rPr>
        <w:commentReference w:id="39"/>
      </w:r>
    </w:p>
    <w:p w14:paraId="6592F1AD" w14:textId="77777777" w:rsidR="00FC19AC" w:rsidRPr="003D39F1" w:rsidRDefault="00FC19AC" w:rsidP="00FC19AC">
      <w:pPr>
        <w:pStyle w:val="NormalWeb"/>
        <w:spacing w:line="360" w:lineRule="auto"/>
      </w:pPr>
      <w:commentRangeStart w:id="40"/>
      <w:proofErr w:type="spellStart"/>
      <w:r w:rsidRPr="003D39F1">
        <w:t>During</w:t>
      </w:r>
      <w:proofErr w:type="spellEnd"/>
      <w:r w:rsidRPr="003D39F1">
        <w:t xml:space="preserve"> the acute </w:t>
      </w:r>
      <w:proofErr w:type="spellStart"/>
      <w:r w:rsidRPr="003D39F1">
        <w:t>dosing</w:t>
      </w:r>
      <w:proofErr w:type="spellEnd"/>
      <w:r w:rsidRPr="003D39F1">
        <w:t xml:space="preserve"> session, MDMA </w:t>
      </w:r>
      <w:proofErr w:type="spellStart"/>
      <w:r w:rsidRPr="003D39F1">
        <w:t>was</w:t>
      </w:r>
      <w:proofErr w:type="spellEnd"/>
      <w:r w:rsidRPr="003D39F1">
        <w:t xml:space="preserve"> </w:t>
      </w:r>
      <w:proofErr w:type="spellStart"/>
      <w:r w:rsidRPr="003D39F1">
        <w:t>associated</w:t>
      </w:r>
      <w:proofErr w:type="spellEnd"/>
      <w:r w:rsidRPr="003D39F1">
        <w:t xml:space="preserve"> </w:t>
      </w:r>
      <w:proofErr w:type="spellStart"/>
      <w:r w:rsidRPr="003D39F1">
        <w:t>with</w:t>
      </w:r>
      <w:proofErr w:type="spellEnd"/>
      <w:r w:rsidRPr="003D39F1">
        <w:t xml:space="preserve"> </w:t>
      </w:r>
      <w:proofErr w:type="spellStart"/>
      <w:r w:rsidRPr="003D39F1">
        <w:t>significant</w:t>
      </w:r>
      <w:proofErr w:type="spellEnd"/>
      <w:r w:rsidRPr="003D39F1">
        <w:t xml:space="preserve"> </w:t>
      </w:r>
      <w:proofErr w:type="spellStart"/>
      <w:r w:rsidRPr="003D39F1">
        <w:t>increases</w:t>
      </w:r>
      <w:proofErr w:type="spellEnd"/>
      <w:r w:rsidRPr="003D39F1">
        <w:t xml:space="preserve"> in multiple adverse </w:t>
      </w:r>
      <w:proofErr w:type="spellStart"/>
      <w:r w:rsidRPr="003D39F1">
        <w:t>events</w:t>
      </w:r>
      <w:proofErr w:type="spellEnd"/>
      <w:r w:rsidRPr="003D39F1">
        <w:t xml:space="preserve">. </w:t>
      </w:r>
      <w:proofErr w:type="spellStart"/>
      <w:r w:rsidRPr="003D39F1">
        <w:t>Robust</w:t>
      </w:r>
      <w:proofErr w:type="spellEnd"/>
      <w:r w:rsidRPr="003D39F1">
        <w:t xml:space="preserve"> </w:t>
      </w:r>
      <w:proofErr w:type="spellStart"/>
      <w:r w:rsidRPr="003D39F1">
        <w:t>elevations</w:t>
      </w:r>
      <w:proofErr w:type="spellEnd"/>
      <w:r w:rsidRPr="003D39F1">
        <w:t xml:space="preserve"> </w:t>
      </w:r>
      <w:proofErr w:type="spellStart"/>
      <w:r w:rsidRPr="003D39F1">
        <w:t>were</w:t>
      </w:r>
      <w:proofErr w:type="spellEnd"/>
      <w:r w:rsidRPr="003D39F1">
        <w:t xml:space="preserve"> </w:t>
      </w:r>
      <w:proofErr w:type="spellStart"/>
      <w:r w:rsidRPr="003D39F1">
        <w:t>observed</w:t>
      </w:r>
      <w:proofErr w:type="spellEnd"/>
      <w:r w:rsidRPr="003D39F1">
        <w:t xml:space="preserve"> for </w:t>
      </w:r>
      <w:proofErr w:type="spellStart"/>
      <w:r w:rsidRPr="003D39F1">
        <w:t>anxiety</w:t>
      </w:r>
      <w:proofErr w:type="spellEnd"/>
      <w:r w:rsidRPr="003D39F1">
        <w:t xml:space="preserve"> (OR 4.43, 95% CI 2.41–8.13, p &lt; 0.001), </w:t>
      </w:r>
      <w:proofErr w:type="spellStart"/>
      <w:r w:rsidRPr="003D39F1">
        <w:t>dizziness</w:t>
      </w:r>
      <w:proofErr w:type="spellEnd"/>
      <w:r w:rsidRPr="003D39F1">
        <w:t xml:space="preserve"> (OR 4.64, 95% CI 2.27–9.47, p &lt; 0.001), fatigue (OR 2.80, 95% CI 1.53–5.13, p &lt; 0.001), </w:t>
      </w:r>
      <w:proofErr w:type="spellStart"/>
      <w:r w:rsidRPr="003D39F1">
        <w:t>headache</w:t>
      </w:r>
      <w:proofErr w:type="spellEnd"/>
      <w:r w:rsidRPr="003D39F1">
        <w:t xml:space="preserve"> (OR 4.88, 95% CI 1.90–12.55, p = 0.001), </w:t>
      </w:r>
      <w:proofErr w:type="spellStart"/>
      <w:r w:rsidRPr="003D39F1">
        <w:t>jaw</w:t>
      </w:r>
      <w:proofErr w:type="spellEnd"/>
      <w:r w:rsidRPr="003D39F1">
        <w:t xml:space="preserve"> tension (OR 3.14, 95% CI 1.56–6.32, p = 0.002), </w:t>
      </w:r>
      <w:proofErr w:type="spellStart"/>
      <w:r w:rsidRPr="003D39F1">
        <w:t>lack</w:t>
      </w:r>
      <w:proofErr w:type="spellEnd"/>
      <w:r w:rsidRPr="003D39F1">
        <w:t xml:space="preserve"> of </w:t>
      </w:r>
      <w:proofErr w:type="spellStart"/>
      <w:r w:rsidRPr="003D39F1">
        <w:t>appetite</w:t>
      </w:r>
      <w:proofErr w:type="spellEnd"/>
      <w:r w:rsidRPr="003D39F1">
        <w:t xml:space="preserve"> (OR 2.85, 95% CI 1.10–7.42, p = 0.031), </w:t>
      </w:r>
      <w:proofErr w:type="spellStart"/>
      <w:r w:rsidRPr="003D39F1">
        <w:t>nausea</w:t>
      </w:r>
      <w:proofErr w:type="spellEnd"/>
      <w:r w:rsidRPr="003D39F1">
        <w:t xml:space="preserve"> (OR 4.02, 95% CI 1.74–9.28, p = 0.001), </w:t>
      </w:r>
      <w:proofErr w:type="spellStart"/>
      <w:r w:rsidRPr="003D39F1">
        <w:t>restlessness</w:t>
      </w:r>
      <w:proofErr w:type="spellEnd"/>
      <w:r w:rsidRPr="003D39F1">
        <w:t xml:space="preserve"> (OR 2.24, 95% CI 1.03–4.90, p = 0.043), and </w:t>
      </w:r>
      <w:proofErr w:type="spellStart"/>
      <w:r w:rsidRPr="003D39F1">
        <w:t>sleep</w:t>
      </w:r>
      <w:proofErr w:type="spellEnd"/>
      <w:r w:rsidRPr="003D39F1">
        <w:t xml:space="preserve"> </w:t>
      </w:r>
      <w:proofErr w:type="spellStart"/>
      <w:r w:rsidRPr="003D39F1">
        <w:t>disorder</w:t>
      </w:r>
      <w:proofErr w:type="spellEnd"/>
      <w:r w:rsidRPr="003D39F1">
        <w:t xml:space="preserve"> (OR 3.26, 95% CI 1.65–6.43, p &lt; 0.001). In addition, </w:t>
      </w:r>
      <w:r w:rsidRPr="003D39F1">
        <w:rPr>
          <w:rStyle w:val="lev"/>
        </w:rPr>
        <w:t>feeling cold</w:t>
      </w:r>
      <w:r w:rsidRPr="003D39F1">
        <w:t xml:space="preserve"> </w:t>
      </w:r>
      <w:proofErr w:type="spellStart"/>
      <w:r w:rsidRPr="003D39F1">
        <w:t>emerged</w:t>
      </w:r>
      <w:proofErr w:type="spellEnd"/>
      <w:r w:rsidRPr="003D39F1">
        <w:t xml:space="preserve"> as a </w:t>
      </w:r>
      <w:proofErr w:type="spellStart"/>
      <w:r w:rsidRPr="003D39F1">
        <w:t>significant</w:t>
      </w:r>
      <w:proofErr w:type="spellEnd"/>
      <w:r w:rsidRPr="003D39F1">
        <w:t xml:space="preserve"> </w:t>
      </w:r>
      <w:proofErr w:type="spellStart"/>
      <w:r w:rsidRPr="003D39F1">
        <w:t>autonomic</w:t>
      </w:r>
      <w:proofErr w:type="spellEnd"/>
      <w:r w:rsidRPr="003D39F1">
        <w:t xml:space="preserve"> </w:t>
      </w:r>
      <w:proofErr w:type="spellStart"/>
      <w:r w:rsidRPr="003D39F1">
        <w:t>symptom</w:t>
      </w:r>
      <w:proofErr w:type="spellEnd"/>
      <w:r w:rsidRPr="003D39F1">
        <w:t xml:space="preserve"> </w:t>
      </w:r>
      <w:proofErr w:type="spellStart"/>
      <w:r w:rsidRPr="003D39F1">
        <w:t>during</w:t>
      </w:r>
      <w:proofErr w:type="spellEnd"/>
      <w:r w:rsidRPr="003D39F1">
        <w:t xml:space="preserve"> the session (OR 3.91, 95% CI 1.18–12.97, p = 0.026).</w:t>
      </w:r>
      <w:commentRangeEnd w:id="40"/>
      <w:r w:rsidR="006006BD" w:rsidRPr="003D39F1">
        <w:rPr>
          <w:rStyle w:val="Marquedecommentaire"/>
          <w:sz w:val="24"/>
          <w:szCs w:val="24"/>
        </w:rPr>
        <w:commentReference w:id="40"/>
      </w:r>
    </w:p>
    <w:p w14:paraId="19B4F5D7" w14:textId="0469AF8C" w:rsidR="00FC19AC" w:rsidRPr="003D39F1" w:rsidRDefault="00FC19AC" w:rsidP="00FC19AC">
      <w:pPr>
        <w:pStyle w:val="NormalWeb"/>
        <w:spacing w:line="360" w:lineRule="auto"/>
      </w:pPr>
      <w:r w:rsidRPr="003D39F1">
        <w:br/>
        <w:t xml:space="preserve">At follow-up, </w:t>
      </w:r>
      <w:proofErr w:type="spellStart"/>
      <w:r w:rsidRPr="003D39F1">
        <w:t>several</w:t>
      </w:r>
      <w:proofErr w:type="spellEnd"/>
      <w:r w:rsidRPr="003D39F1">
        <w:t xml:space="preserve"> adverse </w:t>
      </w:r>
      <w:proofErr w:type="spellStart"/>
      <w:r w:rsidRPr="003D39F1">
        <w:t>events</w:t>
      </w:r>
      <w:proofErr w:type="spellEnd"/>
      <w:r w:rsidRPr="003D39F1">
        <w:t xml:space="preserve"> </w:t>
      </w:r>
      <w:proofErr w:type="spellStart"/>
      <w:r w:rsidRPr="003D39F1">
        <w:t>remained</w:t>
      </w:r>
      <w:proofErr w:type="spellEnd"/>
      <w:r w:rsidRPr="003D39F1">
        <w:t xml:space="preserve"> </w:t>
      </w:r>
      <w:proofErr w:type="spellStart"/>
      <w:r w:rsidRPr="003D39F1">
        <w:t>significantly</w:t>
      </w:r>
      <w:proofErr w:type="spellEnd"/>
      <w:r w:rsidRPr="003D39F1">
        <w:t xml:space="preserve"> </w:t>
      </w:r>
      <w:proofErr w:type="spellStart"/>
      <w:r w:rsidRPr="003D39F1">
        <w:t>elevated</w:t>
      </w:r>
      <w:proofErr w:type="spellEnd"/>
      <w:r w:rsidRPr="003D39F1">
        <w:t xml:space="preserve"> </w:t>
      </w:r>
      <w:proofErr w:type="spellStart"/>
      <w:r w:rsidRPr="003D39F1">
        <w:t>with</w:t>
      </w:r>
      <w:proofErr w:type="spellEnd"/>
      <w:r w:rsidRPr="003D39F1">
        <w:t xml:space="preserve"> MDMA. </w:t>
      </w:r>
      <w:proofErr w:type="spellStart"/>
      <w:r w:rsidRPr="003D39F1">
        <w:t>Anxiety</w:t>
      </w:r>
      <w:proofErr w:type="spellEnd"/>
      <w:r w:rsidRPr="003D39F1">
        <w:t xml:space="preserve"> </w:t>
      </w:r>
      <w:proofErr w:type="spellStart"/>
      <w:r w:rsidRPr="003D39F1">
        <w:t>persisted</w:t>
      </w:r>
      <w:proofErr w:type="spellEnd"/>
      <w:r w:rsidRPr="003D39F1">
        <w:t xml:space="preserve"> </w:t>
      </w:r>
      <w:proofErr w:type="spellStart"/>
      <w:r w:rsidRPr="003D39F1">
        <w:t>beyond</w:t>
      </w:r>
      <w:proofErr w:type="spellEnd"/>
      <w:r w:rsidRPr="003D39F1">
        <w:t xml:space="preserve"> the acute phase (OR 3.86, 95% CI 1.42–10.48, p = 0.008), </w:t>
      </w:r>
      <w:proofErr w:type="spellStart"/>
      <w:r w:rsidRPr="003D39F1">
        <w:t>alongside</w:t>
      </w:r>
      <w:proofErr w:type="spellEnd"/>
      <w:r w:rsidRPr="003D39F1">
        <w:t xml:space="preserve"> </w:t>
      </w:r>
      <w:proofErr w:type="spellStart"/>
      <w:r w:rsidRPr="003D39F1">
        <w:t>marked</w:t>
      </w:r>
      <w:proofErr w:type="spellEnd"/>
      <w:r w:rsidRPr="003D39F1">
        <w:t xml:space="preserve"> </w:t>
      </w:r>
      <w:proofErr w:type="spellStart"/>
      <w:r w:rsidRPr="003D39F1">
        <w:t>elevations</w:t>
      </w:r>
      <w:proofErr w:type="spellEnd"/>
      <w:r w:rsidRPr="003D39F1">
        <w:t xml:space="preserve"> in fatigue (OR 10.48, 95% CI 3.81–28.78, p &lt; 0.001) and </w:t>
      </w:r>
      <w:proofErr w:type="spellStart"/>
      <w:r w:rsidRPr="003D39F1">
        <w:t>sleep</w:t>
      </w:r>
      <w:proofErr w:type="spellEnd"/>
      <w:r w:rsidRPr="003D39F1">
        <w:t xml:space="preserve"> </w:t>
      </w:r>
      <w:proofErr w:type="spellStart"/>
      <w:r w:rsidRPr="003D39F1">
        <w:t>disorder</w:t>
      </w:r>
      <w:proofErr w:type="spellEnd"/>
      <w:r w:rsidRPr="003D39F1">
        <w:t xml:space="preserve"> (OR 3.26, 95% CI 1.63–6.53, p &lt; 0.001). This pattern </w:t>
      </w:r>
      <w:proofErr w:type="spellStart"/>
      <w:r w:rsidRPr="003D39F1">
        <w:t>indicates</w:t>
      </w:r>
      <w:proofErr w:type="spellEnd"/>
      <w:r w:rsidRPr="003D39F1">
        <w:t xml:space="preserve"> </w:t>
      </w:r>
      <w:proofErr w:type="spellStart"/>
      <w:r w:rsidRPr="003D39F1">
        <w:t>sustained</w:t>
      </w:r>
      <w:proofErr w:type="spellEnd"/>
      <w:r w:rsidRPr="003D39F1">
        <w:t xml:space="preserve"> post-acute </w:t>
      </w:r>
      <w:proofErr w:type="spellStart"/>
      <w:r w:rsidRPr="003D39F1">
        <w:t>effects</w:t>
      </w:r>
      <w:proofErr w:type="spellEnd"/>
      <w:r w:rsidRPr="003D39F1">
        <w:t xml:space="preserve"> of MDMA, </w:t>
      </w:r>
      <w:proofErr w:type="spellStart"/>
      <w:r w:rsidRPr="003D39F1">
        <w:t>with</w:t>
      </w:r>
      <w:proofErr w:type="spellEnd"/>
      <w:r w:rsidRPr="003D39F1">
        <w:t xml:space="preserve"> fatigue and </w:t>
      </w:r>
      <w:proofErr w:type="spellStart"/>
      <w:r w:rsidRPr="003D39F1">
        <w:t>sleep</w:t>
      </w:r>
      <w:proofErr w:type="spellEnd"/>
      <w:r w:rsidRPr="003D39F1">
        <w:t xml:space="preserve"> </w:t>
      </w:r>
      <w:proofErr w:type="spellStart"/>
      <w:r w:rsidRPr="003D39F1">
        <w:t>disturbance</w:t>
      </w:r>
      <w:proofErr w:type="spellEnd"/>
      <w:r w:rsidRPr="003D39F1">
        <w:t xml:space="preserve"> </w:t>
      </w:r>
      <w:proofErr w:type="spellStart"/>
      <w:r w:rsidRPr="003D39F1">
        <w:t>representing</w:t>
      </w:r>
      <w:proofErr w:type="spellEnd"/>
      <w:r w:rsidRPr="003D39F1">
        <w:t xml:space="preserve"> the </w:t>
      </w:r>
      <w:proofErr w:type="spellStart"/>
      <w:r w:rsidRPr="003D39F1">
        <w:t>most</w:t>
      </w:r>
      <w:proofErr w:type="spellEnd"/>
      <w:r w:rsidRPr="003D39F1">
        <w:t xml:space="preserve"> </w:t>
      </w:r>
      <w:proofErr w:type="spellStart"/>
      <w:r w:rsidRPr="003D39F1">
        <w:t>prominent</w:t>
      </w:r>
      <w:proofErr w:type="spellEnd"/>
      <w:r w:rsidRPr="003D39F1">
        <w:t xml:space="preserve"> and persistent </w:t>
      </w:r>
      <w:proofErr w:type="spellStart"/>
      <w:r w:rsidRPr="003D39F1">
        <w:t>delayed</w:t>
      </w:r>
      <w:proofErr w:type="spellEnd"/>
      <w:r w:rsidRPr="003D39F1">
        <w:t xml:space="preserve"> adverse </w:t>
      </w:r>
      <w:proofErr w:type="spellStart"/>
      <w:r w:rsidRPr="003D39F1">
        <w:t>events</w:t>
      </w:r>
      <w:proofErr w:type="spellEnd"/>
      <w:r w:rsidRPr="003D39F1">
        <w:t xml:space="preserve">, and </w:t>
      </w:r>
      <w:proofErr w:type="spellStart"/>
      <w:r w:rsidRPr="003D39F1">
        <w:t>anxiety</w:t>
      </w:r>
      <w:proofErr w:type="spellEnd"/>
      <w:r w:rsidRPr="003D39F1">
        <w:t xml:space="preserve"> </w:t>
      </w:r>
      <w:proofErr w:type="spellStart"/>
      <w:r w:rsidRPr="003D39F1">
        <w:t>remaining</w:t>
      </w:r>
      <w:proofErr w:type="spellEnd"/>
      <w:r w:rsidRPr="003D39F1">
        <w:t xml:space="preserve"> </w:t>
      </w:r>
      <w:proofErr w:type="spellStart"/>
      <w:r w:rsidRPr="003D39F1">
        <w:t>significantly</w:t>
      </w:r>
      <w:proofErr w:type="spellEnd"/>
      <w:r w:rsidRPr="003D39F1">
        <w:t xml:space="preserve"> </w:t>
      </w:r>
      <w:proofErr w:type="spellStart"/>
      <w:r w:rsidRPr="003D39F1">
        <w:t>elevated</w:t>
      </w:r>
      <w:proofErr w:type="spellEnd"/>
      <w:r w:rsidRPr="003D39F1">
        <w:t xml:space="preserve"> at follow-up.</w:t>
      </w:r>
    </w:p>
    <w:p w14:paraId="0FC48909" w14:textId="77777777" w:rsidR="00FC19AC" w:rsidRPr="003D39F1" w:rsidRDefault="00FC19AC" w:rsidP="00FC19AC">
      <w:pPr>
        <w:pStyle w:val="p3"/>
        <w:spacing w:line="360" w:lineRule="auto"/>
      </w:pPr>
      <w:commentRangeStart w:id="41"/>
      <w:proofErr w:type="spellStart"/>
      <w:r w:rsidRPr="003D39F1">
        <w:t>During</w:t>
      </w:r>
      <w:proofErr w:type="spellEnd"/>
      <w:r w:rsidRPr="003D39F1">
        <w:t xml:space="preserve"> the </w:t>
      </w:r>
      <w:proofErr w:type="spellStart"/>
      <w:r w:rsidRPr="003D39F1">
        <w:t>dosing</w:t>
      </w:r>
      <w:proofErr w:type="spellEnd"/>
      <w:r w:rsidRPr="003D39F1">
        <w:t xml:space="preserve"> session, </w:t>
      </w:r>
      <w:proofErr w:type="spellStart"/>
      <w:r w:rsidRPr="003D39F1">
        <w:t>psilocybin</w:t>
      </w:r>
      <w:proofErr w:type="spellEnd"/>
      <w:r w:rsidRPr="003D39F1">
        <w:t xml:space="preserve"> </w:t>
      </w:r>
      <w:proofErr w:type="spellStart"/>
      <w:r w:rsidRPr="003D39F1">
        <w:t>was</w:t>
      </w:r>
      <w:proofErr w:type="spellEnd"/>
      <w:r w:rsidRPr="003D39F1">
        <w:t xml:space="preserve"> </w:t>
      </w:r>
      <w:proofErr w:type="spellStart"/>
      <w:r w:rsidRPr="003D39F1">
        <w:t>associated</w:t>
      </w:r>
      <w:proofErr w:type="spellEnd"/>
      <w:r w:rsidRPr="003D39F1">
        <w:t xml:space="preserve"> </w:t>
      </w:r>
      <w:proofErr w:type="spellStart"/>
      <w:r w:rsidRPr="003D39F1">
        <w:t>with</w:t>
      </w:r>
      <w:proofErr w:type="spellEnd"/>
      <w:r w:rsidRPr="003D39F1">
        <w:t xml:space="preserve"> </w:t>
      </w:r>
      <w:proofErr w:type="spellStart"/>
      <w:r w:rsidRPr="003D39F1">
        <w:t>significant</w:t>
      </w:r>
      <w:proofErr w:type="spellEnd"/>
      <w:r w:rsidRPr="003D39F1">
        <w:t xml:space="preserve"> </w:t>
      </w:r>
      <w:proofErr w:type="spellStart"/>
      <w:r w:rsidRPr="003D39F1">
        <w:t>increases</w:t>
      </w:r>
      <w:proofErr w:type="spellEnd"/>
      <w:r w:rsidRPr="003D39F1">
        <w:t xml:space="preserve"> in multiple affective, </w:t>
      </w:r>
      <w:proofErr w:type="spellStart"/>
      <w:r w:rsidRPr="003D39F1">
        <w:t>perceptual</w:t>
      </w:r>
      <w:proofErr w:type="spellEnd"/>
      <w:r w:rsidRPr="003D39F1">
        <w:t xml:space="preserve">, and </w:t>
      </w:r>
      <w:proofErr w:type="spellStart"/>
      <w:r w:rsidRPr="003D39F1">
        <w:t>somatic</w:t>
      </w:r>
      <w:proofErr w:type="spellEnd"/>
      <w:r w:rsidRPr="003D39F1">
        <w:t xml:space="preserve"> adverse </w:t>
      </w:r>
      <w:proofErr w:type="spellStart"/>
      <w:r w:rsidRPr="003D39F1">
        <w:t>events</w:t>
      </w:r>
      <w:proofErr w:type="spellEnd"/>
      <w:r w:rsidRPr="003D39F1">
        <w:t xml:space="preserve"> </w:t>
      </w:r>
      <w:proofErr w:type="spellStart"/>
      <w:r w:rsidRPr="003D39F1">
        <w:t>compared</w:t>
      </w:r>
      <w:proofErr w:type="spellEnd"/>
      <w:r w:rsidRPr="003D39F1">
        <w:t xml:space="preserve"> </w:t>
      </w:r>
      <w:proofErr w:type="spellStart"/>
      <w:r w:rsidRPr="003D39F1">
        <w:t>with</w:t>
      </w:r>
      <w:proofErr w:type="spellEnd"/>
      <w:r w:rsidRPr="003D39F1">
        <w:t xml:space="preserve"> control conditions. </w:t>
      </w:r>
      <w:proofErr w:type="spellStart"/>
      <w:r w:rsidRPr="003D39F1">
        <w:t>Significant</w:t>
      </w:r>
      <w:proofErr w:type="spellEnd"/>
      <w:r w:rsidRPr="003D39F1">
        <w:t xml:space="preserve"> </w:t>
      </w:r>
      <w:proofErr w:type="spellStart"/>
      <w:r w:rsidRPr="003D39F1">
        <w:t>elevations</w:t>
      </w:r>
      <w:proofErr w:type="spellEnd"/>
      <w:r w:rsidRPr="003D39F1">
        <w:t xml:space="preserve"> </w:t>
      </w:r>
      <w:proofErr w:type="spellStart"/>
      <w:r w:rsidRPr="003D39F1">
        <w:t>were</w:t>
      </w:r>
      <w:proofErr w:type="spellEnd"/>
      <w:r w:rsidRPr="003D39F1">
        <w:t xml:space="preserve"> </w:t>
      </w:r>
      <w:proofErr w:type="spellStart"/>
      <w:r w:rsidRPr="003D39F1">
        <w:t>observed</w:t>
      </w:r>
      <w:proofErr w:type="spellEnd"/>
      <w:r w:rsidRPr="003D39F1">
        <w:t xml:space="preserve"> for </w:t>
      </w:r>
      <w:proofErr w:type="spellStart"/>
      <w:r w:rsidRPr="003D39F1">
        <w:t>euphoric</w:t>
      </w:r>
      <w:proofErr w:type="spellEnd"/>
      <w:r w:rsidRPr="003D39F1">
        <w:t xml:space="preserve"> </w:t>
      </w:r>
      <w:proofErr w:type="spellStart"/>
      <w:r w:rsidRPr="003D39F1">
        <w:t>mood</w:t>
      </w:r>
      <w:proofErr w:type="spellEnd"/>
      <w:r w:rsidRPr="003D39F1">
        <w:t xml:space="preserve"> (OR 10.86, 95% CI 1.37–85.92, p = 0.024), </w:t>
      </w:r>
      <w:proofErr w:type="spellStart"/>
      <w:r w:rsidRPr="003D39F1">
        <w:t>altered</w:t>
      </w:r>
      <w:proofErr w:type="spellEnd"/>
      <w:r w:rsidRPr="003D39F1">
        <w:t xml:space="preserve"> </w:t>
      </w:r>
      <w:proofErr w:type="spellStart"/>
      <w:r w:rsidRPr="003D39F1">
        <w:t>mood</w:t>
      </w:r>
      <w:proofErr w:type="spellEnd"/>
      <w:r w:rsidRPr="003D39F1">
        <w:t xml:space="preserve"> (OR 12.25, 95% CI 1.55–96.83, p = 0.018), </w:t>
      </w:r>
      <w:proofErr w:type="spellStart"/>
      <w:r w:rsidRPr="003D39F1">
        <w:t>depressed</w:t>
      </w:r>
      <w:proofErr w:type="spellEnd"/>
      <w:r w:rsidRPr="003D39F1">
        <w:t xml:space="preserve"> </w:t>
      </w:r>
      <w:proofErr w:type="spellStart"/>
      <w:r w:rsidRPr="003D39F1">
        <w:t>mood</w:t>
      </w:r>
      <w:proofErr w:type="spellEnd"/>
      <w:r w:rsidRPr="003D39F1">
        <w:t xml:space="preserve"> (OR 9.56, 95% CI 1.19–76.72, p = 0.034), and </w:t>
      </w:r>
      <w:proofErr w:type="spellStart"/>
      <w:r w:rsidRPr="003D39F1">
        <w:t>suicidal</w:t>
      </w:r>
      <w:proofErr w:type="spellEnd"/>
      <w:r w:rsidRPr="003D39F1">
        <w:t xml:space="preserve"> </w:t>
      </w:r>
      <w:proofErr w:type="spellStart"/>
      <w:r w:rsidRPr="003D39F1">
        <w:t>ideation</w:t>
      </w:r>
      <w:proofErr w:type="spellEnd"/>
      <w:r w:rsidRPr="003D39F1">
        <w:t xml:space="preserve"> (OR 4.30, 95% CI 1.35–13.66, p = 0.014). </w:t>
      </w:r>
      <w:proofErr w:type="spellStart"/>
      <w:r w:rsidRPr="003D39F1">
        <w:t>Perceptual</w:t>
      </w:r>
      <w:proofErr w:type="spellEnd"/>
      <w:r w:rsidRPr="003D39F1">
        <w:t xml:space="preserve"> </w:t>
      </w:r>
      <w:proofErr w:type="spellStart"/>
      <w:r w:rsidRPr="003D39F1">
        <w:t>effects</w:t>
      </w:r>
      <w:proofErr w:type="spellEnd"/>
      <w:r w:rsidRPr="003D39F1">
        <w:t xml:space="preserve"> </w:t>
      </w:r>
      <w:proofErr w:type="spellStart"/>
      <w:r w:rsidRPr="003D39F1">
        <w:t>were</w:t>
      </w:r>
      <w:proofErr w:type="spellEnd"/>
      <w:r w:rsidRPr="003D39F1">
        <w:t xml:space="preserve"> </w:t>
      </w:r>
      <w:proofErr w:type="spellStart"/>
      <w:r w:rsidRPr="003D39F1">
        <w:t>also</w:t>
      </w:r>
      <w:proofErr w:type="spellEnd"/>
      <w:r w:rsidRPr="003D39F1">
        <w:t xml:space="preserve"> </w:t>
      </w:r>
      <w:proofErr w:type="spellStart"/>
      <w:r w:rsidRPr="003D39F1">
        <w:t>significant</w:t>
      </w:r>
      <w:proofErr w:type="spellEnd"/>
      <w:r w:rsidRPr="003D39F1">
        <w:t xml:space="preserve">, </w:t>
      </w:r>
      <w:proofErr w:type="spellStart"/>
      <w:r w:rsidRPr="003D39F1">
        <w:t>including</w:t>
      </w:r>
      <w:proofErr w:type="spellEnd"/>
      <w:r w:rsidRPr="003D39F1">
        <w:t xml:space="preserve"> </w:t>
      </w:r>
      <w:proofErr w:type="spellStart"/>
      <w:r w:rsidRPr="003D39F1">
        <w:t>visual</w:t>
      </w:r>
      <w:proofErr w:type="spellEnd"/>
      <w:r w:rsidRPr="003D39F1">
        <w:t xml:space="preserve"> illusions (OR 2.29, 95% CI 1.03–5.10, p = 0.043) and </w:t>
      </w:r>
      <w:proofErr w:type="spellStart"/>
      <w:r w:rsidRPr="003D39F1">
        <w:t>paresthesia</w:t>
      </w:r>
      <w:proofErr w:type="spellEnd"/>
      <w:r w:rsidRPr="003D39F1">
        <w:t xml:space="preserve"> (OR 8.55, 95% CI 1.05–69.31, p = 0.044). </w:t>
      </w:r>
      <w:proofErr w:type="spellStart"/>
      <w:r w:rsidRPr="003D39F1">
        <w:t>Headache</w:t>
      </w:r>
      <w:proofErr w:type="spellEnd"/>
      <w:r w:rsidRPr="003D39F1">
        <w:t xml:space="preserve"> </w:t>
      </w:r>
      <w:proofErr w:type="spellStart"/>
      <w:r w:rsidRPr="003D39F1">
        <w:t>showed</w:t>
      </w:r>
      <w:proofErr w:type="spellEnd"/>
      <w:r w:rsidRPr="003D39F1">
        <w:t xml:space="preserve"> a </w:t>
      </w:r>
      <w:proofErr w:type="spellStart"/>
      <w:r w:rsidRPr="003D39F1">
        <w:t>particularly</w:t>
      </w:r>
      <w:proofErr w:type="spellEnd"/>
      <w:r w:rsidRPr="003D39F1">
        <w:t xml:space="preserve"> </w:t>
      </w:r>
      <w:proofErr w:type="spellStart"/>
      <w:r w:rsidRPr="003D39F1">
        <w:t>strong</w:t>
      </w:r>
      <w:proofErr w:type="spellEnd"/>
      <w:r w:rsidRPr="003D39F1">
        <w:t xml:space="preserve"> and </w:t>
      </w:r>
      <w:proofErr w:type="spellStart"/>
      <w:r w:rsidRPr="003D39F1">
        <w:t>robust</w:t>
      </w:r>
      <w:proofErr w:type="spellEnd"/>
      <w:r w:rsidRPr="003D39F1">
        <w:t xml:space="preserve"> association (OR 10.46, 95% CI 2.98–36.67, p &lt; 0.001). In </w:t>
      </w:r>
      <w:proofErr w:type="spellStart"/>
      <w:r w:rsidRPr="003D39F1">
        <w:t>contrast</w:t>
      </w:r>
      <w:proofErr w:type="spellEnd"/>
      <w:r w:rsidRPr="003D39F1">
        <w:t xml:space="preserve">, </w:t>
      </w:r>
      <w:proofErr w:type="spellStart"/>
      <w:r w:rsidRPr="003D39F1">
        <w:t>restlessness</w:t>
      </w:r>
      <w:proofErr w:type="spellEnd"/>
      <w:r w:rsidRPr="003D39F1">
        <w:t xml:space="preserve"> </w:t>
      </w:r>
      <w:proofErr w:type="spellStart"/>
      <w:r w:rsidRPr="003D39F1">
        <w:t>was</w:t>
      </w:r>
      <w:proofErr w:type="spellEnd"/>
      <w:r w:rsidRPr="003D39F1">
        <w:t xml:space="preserve"> </w:t>
      </w:r>
      <w:proofErr w:type="spellStart"/>
      <w:r w:rsidRPr="003D39F1">
        <w:t>significantly</w:t>
      </w:r>
      <w:proofErr w:type="spellEnd"/>
      <w:r w:rsidRPr="003D39F1">
        <w:t xml:space="preserve"> </w:t>
      </w:r>
      <w:proofErr w:type="spellStart"/>
      <w:r w:rsidRPr="003D39F1">
        <w:t>reduced</w:t>
      </w:r>
      <w:proofErr w:type="spellEnd"/>
      <w:r w:rsidRPr="003D39F1">
        <w:t xml:space="preserve"> </w:t>
      </w:r>
      <w:proofErr w:type="spellStart"/>
      <w:r w:rsidRPr="003D39F1">
        <w:t>during</w:t>
      </w:r>
      <w:proofErr w:type="spellEnd"/>
      <w:r w:rsidRPr="003D39F1">
        <w:t xml:space="preserve"> the session (OR 0.05, 95% CI 0.00–0.89, p = 0.041).</w:t>
      </w:r>
      <w:commentRangeEnd w:id="41"/>
      <w:r w:rsidR="006006BD" w:rsidRPr="003D39F1">
        <w:rPr>
          <w:rStyle w:val="Marquedecommentaire"/>
          <w:sz w:val="24"/>
          <w:szCs w:val="24"/>
        </w:rPr>
        <w:commentReference w:id="41"/>
      </w:r>
    </w:p>
    <w:p w14:paraId="511AE280" w14:textId="6661AD1B" w:rsidR="00CD0DB3" w:rsidRPr="003D39F1" w:rsidRDefault="00CD0DB3" w:rsidP="00FC19AC">
      <w:pPr>
        <w:pStyle w:val="p3"/>
        <w:spacing w:line="360" w:lineRule="auto"/>
      </w:pPr>
      <w:r w:rsidRPr="003D39F1">
        <w:lastRenderedPageBreak/>
        <w:t xml:space="preserve">The </w:t>
      </w:r>
      <w:proofErr w:type="spellStart"/>
      <w:r w:rsidRPr="003D39F1">
        <w:t>pooled</w:t>
      </w:r>
      <w:proofErr w:type="spellEnd"/>
      <w:r w:rsidRPr="003D39F1">
        <w:t xml:space="preserve"> signal for </w:t>
      </w:r>
      <w:proofErr w:type="spellStart"/>
      <w:r w:rsidRPr="003D39F1">
        <w:t>suicidal</w:t>
      </w:r>
      <w:proofErr w:type="spellEnd"/>
      <w:r w:rsidRPr="003D39F1">
        <w:t xml:space="preserve"> </w:t>
      </w:r>
      <w:proofErr w:type="spellStart"/>
      <w:r w:rsidRPr="003D39F1">
        <w:t>ideation</w:t>
      </w:r>
      <w:proofErr w:type="spellEnd"/>
      <w:r w:rsidRPr="003D39F1">
        <w:t xml:space="preserve"> </w:t>
      </w:r>
      <w:proofErr w:type="spellStart"/>
      <w:r w:rsidR="00602626">
        <w:t>associated</w:t>
      </w:r>
      <w:proofErr w:type="spellEnd"/>
      <w:r w:rsidR="00602626">
        <w:t xml:space="preserve"> </w:t>
      </w:r>
      <w:proofErr w:type="spellStart"/>
      <w:r w:rsidR="00602626">
        <w:t>with</w:t>
      </w:r>
      <w:proofErr w:type="spellEnd"/>
      <w:r w:rsidR="00602626">
        <w:t xml:space="preserve"> </w:t>
      </w:r>
      <w:proofErr w:type="spellStart"/>
      <w:r w:rsidR="00602626">
        <w:t>psilocybin</w:t>
      </w:r>
      <w:proofErr w:type="spellEnd"/>
      <w:r w:rsidR="00602626">
        <w:t xml:space="preserve"> </w:t>
      </w:r>
      <w:proofErr w:type="spellStart"/>
      <w:r w:rsidRPr="003D39F1">
        <w:t>was</w:t>
      </w:r>
      <w:proofErr w:type="spellEnd"/>
      <w:r w:rsidRPr="003D39F1">
        <w:t xml:space="preserve"> </w:t>
      </w:r>
      <w:proofErr w:type="spellStart"/>
      <w:r w:rsidRPr="003D39F1">
        <w:t>driven</w:t>
      </w:r>
      <w:proofErr w:type="spellEnd"/>
      <w:r w:rsidRPr="003D39F1">
        <w:t xml:space="preserve"> by </w:t>
      </w:r>
      <w:proofErr w:type="spellStart"/>
      <w:r w:rsidRPr="003D39F1">
        <w:t>two</w:t>
      </w:r>
      <w:proofErr w:type="spellEnd"/>
      <w:r w:rsidRPr="003D39F1">
        <w:t xml:space="preserve"> large trials and </w:t>
      </w:r>
      <w:proofErr w:type="spellStart"/>
      <w:r w:rsidRPr="003D39F1">
        <w:t>reflected</w:t>
      </w:r>
      <w:proofErr w:type="spellEnd"/>
      <w:r w:rsidRPr="003D39F1">
        <w:t xml:space="preserve"> </w:t>
      </w:r>
      <w:r w:rsidRPr="003D39F1">
        <w:rPr>
          <w:rStyle w:val="s2"/>
        </w:rPr>
        <w:t xml:space="preserve">transient </w:t>
      </w:r>
      <w:proofErr w:type="spellStart"/>
      <w:r w:rsidRPr="003D39F1">
        <w:rPr>
          <w:rStyle w:val="s2"/>
        </w:rPr>
        <w:t>ideation</w:t>
      </w:r>
      <w:proofErr w:type="spellEnd"/>
      <w:r w:rsidRPr="003D39F1">
        <w:rPr>
          <w:rStyle w:val="s2"/>
        </w:rPr>
        <w:t xml:space="preserve"> </w:t>
      </w:r>
      <w:proofErr w:type="spellStart"/>
      <w:r w:rsidRPr="003D39F1">
        <w:rPr>
          <w:rStyle w:val="s2"/>
        </w:rPr>
        <w:t>occurring</w:t>
      </w:r>
      <w:proofErr w:type="spellEnd"/>
      <w:r w:rsidRPr="003D39F1">
        <w:rPr>
          <w:rStyle w:val="s2"/>
        </w:rPr>
        <w:t xml:space="preserve"> </w:t>
      </w:r>
      <w:proofErr w:type="spellStart"/>
      <w:r w:rsidRPr="003D39F1">
        <w:rPr>
          <w:rStyle w:val="s2"/>
        </w:rPr>
        <w:t>during</w:t>
      </w:r>
      <w:proofErr w:type="spellEnd"/>
      <w:r w:rsidRPr="003D39F1">
        <w:rPr>
          <w:rStyle w:val="s2"/>
        </w:rPr>
        <w:t xml:space="preserve"> or </w:t>
      </w:r>
      <w:proofErr w:type="spellStart"/>
      <w:r w:rsidRPr="003D39F1">
        <w:rPr>
          <w:rStyle w:val="s2"/>
        </w:rPr>
        <w:t>shortly</w:t>
      </w:r>
      <w:proofErr w:type="spellEnd"/>
      <w:r w:rsidRPr="003D39F1">
        <w:rPr>
          <w:rStyle w:val="s2"/>
        </w:rPr>
        <w:t xml:space="preserve"> </w:t>
      </w:r>
      <w:proofErr w:type="spellStart"/>
      <w:r w:rsidRPr="003D39F1">
        <w:rPr>
          <w:rStyle w:val="s2"/>
        </w:rPr>
        <w:t>after</w:t>
      </w:r>
      <w:proofErr w:type="spellEnd"/>
      <w:r w:rsidRPr="003D39F1">
        <w:rPr>
          <w:rStyle w:val="s2"/>
        </w:rPr>
        <w:t xml:space="preserve"> </w:t>
      </w:r>
      <w:proofErr w:type="spellStart"/>
      <w:r w:rsidRPr="003D39F1">
        <w:rPr>
          <w:rStyle w:val="s2"/>
        </w:rPr>
        <w:t>dosing</w:t>
      </w:r>
      <w:proofErr w:type="spellEnd"/>
      <w:r w:rsidRPr="003D39F1">
        <w:t xml:space="preserve">, </w:t>
      </w:r>
      <w:proofErr w:type="spellStart"/>
      <w:r w:rsidRPr="003D39F1">
        <w:t>without</w:t>
      </w:r>
      <w:proofErr w:type="spellEnd"/>
      <w:r w:rsidRPr="003D39F1">
        <w:t xml:space="preserve"> </w:t>
      </w:r>
      <w:proofErr w:type="spellStart"/>
      <w:r w:rsidRPr="003D39F1">
        <w:t>evidence</w:t>
      </w:r>
      <w:proofErr w:type="spellEnd"/>
      <w:r w:rsidRPr="003D39F1">
        <w:t xml:space="preserve"> of </w:t>
      </w:r>
      <w:proofErr w:type="spellStart"/>
      <w:r w:rsidRPr="003D39F1">
        <w:t>persistence</w:t>
      </w:r>
      <w:proofErr w:type="spellEnd"/>
      <w:r w:rsidRPr="003D39F1">
        <w:t xml:space="preserve"> at follow-up. No </w:t>
      </w:r>
      <w:proofErr w:type="spellStart"/>
      <w:r w:rsidRPr="003D39F1">
        <w:t>structured</w:t>
      </w:r>
      <w:proofErr w:type="spellEnd"/>
      <w:r w:rsidRPr="003D39F1">
        <w:t xml:space="preserve"> follow-up AE data </w:t>
      </w:r>
      <w:proofErr w:type="spellStart"/>
      <w:r w:rsidRPr="003D39F1">
        <w:t>were</w:t>
      </w:r>
      <w:proofErr w:type="spellEnd"/>
      <w:r w:rsidRPr="003D39F1">
        <w:t xml:space="preserve"> </w:t>
      </w:r>
      <w:proofErr w:type="spellStart"/>
      <w:r w:rsidRPr="003D39F1">
        <w:t>available</w:t>
      </w:r>
      <w:proofErr w:type="spellEnd"/>
      <w:r w:rsidRPr="003D39F1">
        <w:t xml:space="preserve"> for </w:t>
      </w:r>
      <w:proofErr w:type="spellStart"/>
      <w:r w:rsidRPr="003D39F1">
        <w:t>psilocybin</w:t>
      </w:r>
      <w:proofErr w:type="spellEnd"/>
      <w:r w:rsidRPr="003D39F1">
        <w:t xml:space="preserve">, </w:t>
      </w:r>
      <w:proofErr w:type="spellStart"/>
      <w:r w:rsidRPr="003D39F1">
        <w:t>precluding</w:t>
      </w:r>
      <w:proofErr w:type="spellEnd"/>
      <w:r w:rsidRPr="003D39F1">
        <w:t xml:space="preserve"> </w:t>
      </w:r>
      <w:proofErr w:type="spellStart"/>
      <w:r w:rsidRPr="003D39F1">
        <w:t>assessment</w:t>
      </w:r>
      <w:proofErr w:type="spellEnd"/>
      <w:r w:rsidRPr="003D39F1">
        <w:t xml:space="preserve"> of </w:t>
      </w:r>
      <w:proofErr w:type="spellStart"/>
      <w:r w:rsidRPr="003D39F1">
        <w:t>delayed</w:t>
      </w:r>
      <w:proofErr w:type="spellEnd"/>
      <w:r w:rsidRPr="003D39F1">
        <w:t xml:space="preserve"> adverse </w:t>
      </w:r>
      <w:proofErr w:type="spellStart"/>
      <w:r w:rsidRPr="003D39F1">
        <w:t>effects</w:t>
      </w:r>
      <w:proofErr w:type="spellEnd"/>
      <w:r w:rsidRPr="003D39F1">
        <w:t>.</w:t>
      </w:r>
    </w:p>
    <w:p w14:paraId="02D84563" w14:textId="21BB4C2F" w:rsidR="00CD0DB3" w:rsidRPr="003D39F1" w:rsidRDefault="00CD0DB3" w:rsidP="00FC19AC">
      <w:pPr>
        <w:spacing w:line="360" w:lineRule="auto"/>
      </w:pPr>
      <w:r w:rsidRPr="003D39F1">
        <w:t xml:space="preserve">For ayahuasca, </w:t>
      </w:r>
      <w:proofErr w:type="spellStart"/>
      <w:r w:rsidRPr="003D39F1">
        <w:t>pooled</w:t>
      </w:r>
      <w:proofErr w:type="spellEnd"/>
      <w:r w:rsidRPr="003D39F1">
        <w:t xml:space="preserve"> AE analyses </w:t>
      </w:r>
      <w:proofErr w:type="spellStart"/>
      <w:r w:rsidRPr="003D39F1">
        <w:t>were</w:t>
      </w:r>
      <w:proofErr w:type="spellEnd"/>
      <w:r w:rsidRPr="003D39F1">
        <w:t xml:space="preserve"> </w:t>
      </w:r>
      <w:proofErr w:type="spellStart"/>
      <w:r w:rsidRPr="003D39F1">
        <w:t>limited</w:t>
      </w:r>
      <w:proofErr w:type="spellEnd"/>
      <w:r w:rsidRPr="003D39F1">
        <w:t xml:space="preserve"> by the </w:t>
      </w:r>
      <w:proofErr w:type="spellStart"/>
      <w:r w:rsidRPr="003D39F1">
        <w:t>small</w:t>
      </w:r>
      <w:proofErr w:type="spellEnd"/>
      <w:r w:rsidRPr="003D39F1">
        <w:t xml:space="preserve"> </w:t>
      </w:r>
      <w:proofErr w:type="spellStart"/>
      <w:r w:rsidRPr="003D39F1">
        <w:t>number</w:t>
      </w:r>
      <w:proofErr w:type="spellEnd"/>
      <w:r w:rsidRPr="003D39F1">
        <w:t xml:space="preserve"> of trials and the absence of dose </w:t>
      </w:r>
      <w:proofErr w:type="spellStart"/>
      <w:r w:rsidRPr="003D39F1">
        <w:t>variability</w:t>
      </w:r>
      <w:proofErr w:type="spellEnd"/>
      <w:r w:rsidRPr="003D39F1">
        <w:t xml:space="preserve">. </w:t>
      </w:r>
      <w:proofErr w:type="spellStart"/>
      <w:r w:rsidRPr="003D39F1">
        <w:t>While</w:t>
      </w:r>
      <w:proofErr w:type="spellEnd"/>
      <w:r w:rsidRPr="003D39F1">
        <w:t xml:space="preserve"> acute gastrointestinal and </w:t>
      </w:r>
      <w:proofErr w:type="spellStart"/>
      <w:r w:rsidRPr="003D39F1">
        <w:t>autonomic</w:t>
      </w:r>
      <w:proofErr w:type="spellEnd"/>
      <w:r w:rsidRPr="003D39F1">
        <w:t xml:space="preserve"> </w:t>
      </w:r>
      <w:proofErr w:type="spellStart"/>
      <w:r w:rsidRPr="003D39F1">
        <w:t>symptoms</w:t>
      </w:r>
      <w:proofErr w:type="spellEnd"/>
      <w:r w:rsidRPr="003D39F1">
        <w:t xml:space="preserve"> </w:t>
      </w:r>
      <w:proofErr w:type="spellStart"/>
      <w:r w:rsidRPr="003D39F1">
        <w:t>were</w:t>
      </w:r>
      <w:proofErr w:type="spellEnd"/>
      <w:r w:rsidRPr="003D39F1">
        <w:t xml:space="preserve"> </w:t>
      </w:r>
      <w:proofErr w:type="spellStart"/>
      <w:r w:rsidRPr="003D39F1">
        <w:t>reported</w:t>
      </w:r>
      <w:proofErr w:type="spellEnd"/>
      <w:r w:rsidRPr="003D39F1">
        <w:t xml:space="preserve"> </w:t>
      </w:r>
      <w:proofErr w:type="spellStart"/>
      <w:r w:rsidRPr="003D39F1">
        <w:t>descriptively</w:t>
      </w:r>
      <w:proofErr w:type="spellEnd"/>
      <w:r w:rsidRPr="003D39F1">
        <w:t xml:space="preserve"> in </w:t>
      </w:r>
      <w:proofErr w:type="spellStart"/>
      <w:r w:rsidRPr="003D39F1">
        <w:t>individual</w:t>
      </w:r>
      <w:proofErr w:type="spellEnd"/>
      <w:r w:rsidRPr="003D39F1">
        <w:t xml:space="preserve"> </w:t>
      </w:r>
      <w:proofErr w:type="spellStart"/>
      <w:r w:rsidRPr="003D39F1">
        <w:t>studies</w:t>
      </w:r>
      <w:proofErr w:type="spellEnd"/>
      <w:r w:rsidRPr="003D39F1">
        <w:t xml:space="preserve">, </w:t>
      </w:r>
      <w:r w:rsidRPr="003D39F1">
        <w:rPr>
          <w:rStyle w:val="s2"/>
        </w:rPr>
        <w:t>AE-</w:t>
      </w:r>
      <w:proofErr w:type="spellStart"/>
      <w:r w:rsidRPr="003D39F1">
        <w:rPr>
          <w:rStyle w:val="s2"/>
        </w:rPr>
        <w:t>level</w:t>
      </w:r>
      <w:proofErr w:type="spellEnd"/>
      <w:r w:rsidRPr="003D39F1">
        <w:rPr>
          <w:rStyle w:val="s2"/>
        </w:rPr>
        <w:t xml:space="preserve"> </w:t>
      </w:r>
      <w:proofErr w:type="spellStart"/>
      <w:r w:rsidRPr="003D39F1">
        <w:rPr>
          <w:rStyle w:val="s2"/>
        </w:rPr>
        <w:t>pooled</w:t>
      </w:r>
      <w:proofErr w:type="spellEnd"/>
      <w:r w:rsidRPr="003D39F1">
        <w:rPr>
          <w:rStyle w:val="s2"/>
        </w:rPr>
        <w:t xml:space="preserve"> </w:t>
      </w:r>
      <w:proofErr w:type="spellStart"/>
      <w:r w:rsidRPr="003D39F1">
        <w:rPr>
          <w:rStyle w:val="s2"/>
        </w:rPr>
        <w:t>estimates</w:t>
      </w:r>
      <w:proofErr w:type="spellEnd"/>
      <w:r w:rsidRPr="003D39F1">
        <w:rPr>
          <w:rStyle w:val="s2"/>
        </w:rPr>
        <w:t xml:space="preserve"> </w:t>
      </w:r>
      <w:proofErr w:type="spellStart"/>
      <w:r w:rsidRPr="003D39F1">
        <w:rPr>
          <w:rStyle w:val="s2"/>
        </w:rPr>
        <w:t>could</w:t>
      </w:r>
      <w:proofErr w:type="spellEnd"/>
      <w:r w:rsidRPr="003D39F1">
        <w:rPr>
          <w:rStyle w:val="s2"/>
        </w:rPr>
        <w:t xml:space="preserve"> not </w:t>
      </w:r>
      <w:proofErr w:type="spellStart"/>
      <w:r w:rsidRPr="003D39F1">
        <w:rPr>
          <w:rStyle w:val="s2"/>
        </w:rPr>
        <w:t>be</w:t>
      </w:r>
      <w:proofErr w:type="spellEnd"/>
      <w:r w:rsidRPr="003D39F1">
        <w:rPr>
          <w:rStyle w:val="s2"/>
        </w:rPr>
        <w:t xml:space="preserve"> </w:t>
      </w:r>
      <w:proofErr w:type="spellStart"/>
      <w:r w:rsidRPr="003D39F1">
        <w:rPr>
          <w:rStyle w:val="s2"/>
        </w:rPr>
        <w:t>robustly</w:t>
      </w:r>
      <w:proofErr w:type="spellEnd"/>
      <w:r w:rsidRPr="003D39F1">
        <w:rPr>
          <w:rStyle w:val="s2"/>
        </w:rPr>
        <w:t xml:space="preserve"> </w:t>
      </w:r>
      <w:proofErr w:type="spellStart"/>
      <w:r w:rsidRPr="003D39F1">
        <w:rPr>
          <w:rStyle w:val="s2"/>
        </w:rPr>
        <w:t>derived</w:t>
      </w:r>
      <w:proofErr w:type="spellEnd"/>
      <w:r w:rsidRPr="003D39F1">
        <w:t xml:space="preserve">, and no follow-up AE analyses </w:t>
      </w:r>
      <w:proofErr w:type="spellStart"/>
      <w:r w:rsidRPr="003D39F1">
        <w:t>were</w:t>
      </w:r>
      <w:proofErr w:type="spellEnd"/>
      <w:r w:rsidRPr="003D39F1">
        <w:t xml:space="preserve"> </w:t>
      </w:r>
      <w:proofErr w:type="spellStart"/>
      <w:r w:rsidRPr="003D39F1">
        <w:t>available</w:t>
      </w:r>
      <w:proofErr w:type="spellEnd"/>
      <w:r w:rsidRPr="003D39F1">
        <w:t>.</w:t>
      </w:r>
    </w:p>
    <w:p w14:paraId="73ADAC5F" w14:textId="77777777" w:rsidR="00FC19AC" w:rsidRPr="003D39F1" w:rsidRDefault="00FC19AC" w:rsidP="00FC19AC">
      <w:pPr>
        <w:rPr>
          <w:lang w:val="en-US"/>
        </w:rPr>
      </w:pPr>
    </w:p>
    <w:p w14:paraId="75900E02" w14:textId="435C0407" w:rsidR="00682EED" w:rsidRPr="003D39F1" w:rsidRDefault="00682EED" w:rsidP="00FC19AC">
      <w:pPr>
        <w:pStyle w:val="p1"/>
        <w:spacing w:before="0" w:beforeAutospacing="0" w:after="0" w:afterAutospacing="0" w:line="360" w:lineRule="auto"/>
        <w:rPr>
          <w:lang w:val="en-US"/>
        </w:rPr>
      </w:pPr>
      <w:r w:rsidRPr="003D39F1">
        <w:rPr>
          <w:lang w:val="en-US"/>
        </w:rPr>
        <w:t xml:space="preserve">For </w:t>
      </w:r>
      <w:r w:rsidRPr="003D39F1">
        <w:rPr>
          <w:rStyle w:val="s1"/>
          <w:lang w:val="en-US"/>
        </w:rPr>
        <w:t>LSD</w:t>
      </w:r>
      <w:r w:rsidRPr="003D39F1">
        <w:rPr>
          <w:lang w:val="en-US"/>
        </w:rPr>
        <w:t xml:space="preserve">, three adverse events were significantly elevated during the dosing session: nausea (OR </w:t>
      </w:r>
    </w:p>
    <w:p w14:paraId="24F81CAB" w14:textId="48BD5958" w:rsidR="00682EED" w:rsidRDefault="00682EED" w:rsidP="00FC19AC">
      <w:pPr>
        <w:pStyle w:val="p1"/>
        <w:spacing w:before="0" w:beforeAutospacing="0" w:after="0" w:afterAutospacing="0" w:line="360" w:lineRule="auto"/>
        <w:rPr>
          <w:lang w:val="en-US"/>
        </w:rPr>
      </w:pPr>
      <w:r w:rsidRPr="003D39F1">
        <w:rPr>
          <w:lang w:val="en-US"/>
        </w:rPr>
        <w:t>Across compounds, no new AE signals emerged beyond the first follow-up window. Overall, clinically relevant AE risk was concentrated in the acute and immediate post-session phases,</w:t>
      </w:r>
      <w:r w:rsidRPr="00D7209C">
        <w:rPr>
          <w:lang w:val="en-US"/>
        </w:rPr>
        <w:t xml:space="preserve"> with limited evidence for persistent or late-emerging adverse events within the time frames covered by these randomized trials.</w:t>
      </w:r>
    </w:p>
    <w:p w14:paraId="68E0ECC3" w14:textId="77777777" w:rsidR="000830F2" w:rsidRDefault="000830F2" w:rsidP="00FC19AC">
      <w:pPr>
        <w:pStyle w:val="p1"/>
        <w:spacing w:before="0" w:beforeAutospacing="0" w:after="0" w:afterAutospacing="0" w:line="360" w:lineRule="auto"/>
        <w:rPr>
          <w:lang w:val="en-US"/>
        </w:rPr>
      </w:pPr>
    </w:p>
    <w:p w14:paraId="0F13B5AC" w14:textId="77777777" w:rsidR="000830F2" w:rsidRPr="003D39F1" w:rsidRDefault="000830F2" w:rsidP="000830F2">
      <w:pPr>
        <w:rPr>
          <w:rStyle w:val="Marquedecommentaire"/>
        </w:rPr>
      </w:pPr>
      <w:r w:rsidRPr="003D39F1">
        <w:rPr>
          <w:lang w:eastAsia="en-US"/>
        </w:rPr>
        <w:t xml:space="preserve">FIGURE </w:t>
      </w:r>
      <w:bookmarkStart w:id="42" w:name="_7g85dwqubkng" w:colFirst="0" w:colLast="0"/>
      <w:bookmarkEnd w:id="42"/>
      <w:r>
        <w:rPr>
          <w:lang w:eastAsia="en-US"/>
        </w:rPr>
        <w:t>3</w:t>
      </w:r>
    </w:p>
    <w:p w14:paraId="68AB6246" w14:textId="77777777" w:rsidR="00682EED" w:rsidRDefault="00682EED">
      <w:pPr>
        <w:rPr>
          <w:lang w:val="en-US"/>
        </w:rPr>
      </w:pPr>
    </w:p>
    <w:p w14:paraId="1DE52DE7" w14:textId="26ED8C09" w:rsidR="000830F2" w:rsidRPr="00C97945" w:rsidRDefault="000830F2">
      <w:r w:rsidRPr="00C97945">
        <w:t xml:space="preserve">Table </w:t>
      </w:r>
      <w:r w:rsidR="00B83814" w:rsidRPr="00C97945">
        <w:t>4</w:t>
      </w:r>
    </w:p>
    <w:p w14:paraId="08517E4D" w14:textId="15A681D4" w:rsidR="005D2EA3" w:rsidRPr="005D2EA3" w:rsidRDefault="005D2EA3" w:rsidP="00CD0DB3">
      <w:pPr>
        <w:rPr>
          <w:lang w:val="en-US"/>
        </w:rPr>
      </w:pPr>
      <w:bookmarkStart w:id="43" w:name="_yvo3snxf01do" w:colFirst="0" w:colLast="0"/>
      <w:bookmarkEnd w:id="43"/>
    </w:p>
    <w:p w14:paraId="1DE17021" w14:textId="13A3BA4D" w:rsidR="000829E4" w:rsidRPr="007A17FC" w:rsidRDefault="00FC19AC" w:rsidP="00FC19AC">
      <w:pPr>
        <w:spacing w:line="360" w:lineRule="auto"/>
        <w:rPr>
          <w:b/>
          <w:bCs/>
          <w:lang w:val="en-US"/>
        </w:rPr>
      </w:pPr>
      <w:r>
        <w:rPr>
          <w:b/>
          <w:bCs/>
          <w:lang w:val="en-US"/>
        </w:rPr>
        <w:t xml:space="preserve">3.5 </w:t>
      </w:r>
      <w:r w:rsidR="00542108" w:rsidRPr="007A17FC">
        <w:rPr>
          <w:b/>
          <w:bCs/>
          <w:lang w:val="en-US"/>
        </w:rPr>
        <w:t>Sensitivity analyses</w:t>
      </w:r>
    </w:p>
    <w:p w14:paraId="7C5BBFE1" w14:textId="66801138" w:rsidR="00C43C8F" w:rsidRDefault="00542108" w:rsidP="00FC19AC">
      <w:pPr>
        <w:spacing w:line="360" w:lineRule="auto"/>
        <w:rPr>
          <w:b/>
          <w:bCs/>
          <w:sz w:val="32"/>
          <w:szCs w:val="32"/>
          <w:lang w:val="en-US"/>
        </w:rPr>
      </w:pPr>
      <w:commentRangeStart w:id="44"/>
      <w:commentRangeStart w:id="45"/>
      <w:r w:rsidRPr="007A17FC">
        <w:rPr>
          <w:lang w:val="en-US"/>
        </w:rPr>
        <w:t xml:space="preserve">Global </w:t>
      </w:r>
      <w:r w:rsidR="00F403F8">
        <w:rPr>
          <w:lang w:val="en-US"/>
        </w:rPr>
        <w:t>substance</w:t>
      </w:r>
      <w:r w:rsidRPr="007A17FC">
        <w:rPr>
          <w:lang w:val="en-US"/>
        </w:rPr>
        <w:t xml:space="preserve">-level dose–response findings were robust to model specification, with concordant linear and spline results during the acute session and at follow-up (Supplementary Table </w:t>
      </w:r>
      <w:r w:rsidR="00FC19AC">
        <w:rPr>
          <w:lang w:val="en-US"/>
        </w:rPr>
        <w:t>S1</w:t>
      </w:r>
      <w:r w:rsidRPr="007A17FC">
        <w:rPr>
          <w:lang w:val="en-US"/>
        </w:rPr>
        <w:t xml:space="preserve">). </w:t>
      </w:r>
      <w:commentRangeEnd w:id="44"/>
      <w:r w:rsidR="0061795C" w:rsidRPr="007A17FC">
        <w:rPr>
          <w:rStyle w:val="Marquedecommentaire"/>
          <w:sz w:val="24"/>
          <w:szCs w:val="24"/>
          <w:lang w:val="en-US"/>
        </w:rPr>
        <w:commentReference w:id="44"/>
      </w:r>
      <w:commentRangeEnd w:id="45"/>
      <w:r w:rsidR="007F23AA">
        <w:rPr>
          <w:rStyle w:val="Marquedecommentaire"/>
          <w:lang w:val="fr" w:eastAsia="en-US"/>
        </w:rPr>
        <w:commentReference w:id="45"/>
      </w:r>
      <w:r w:rsidRPr="007A17FC">
        <w:rPr>
          <w:lang w:val="en-US"/>
        </w:rPr>
        <w:t xml:space="preserve">At the adverse-event level, dose–response signals were sparse and largely confined to the session window, with no AE-specific signals detected at follow-up. Where present, AE-level effects were generally consistent across specifications or detectable only under linear or spline models, consistent with acute and, in some cases, non-linear dose escalation (Supplementary Table </w:t>
      </w:r>
      <w:r w:rsidR="00FC19AC">
        <w:rPr>
          <w:lang w:val="en-US"/>
        </w:rPr>
        <w:t>S2</w:t>
      </w:r>
      <w:r w:rsidRPr="007A17FC">
        <w:rPr>
          <w:lang w:val="en-US"/>
        </w:rPr>
        <w:t>).</w:t>
      </w:r>
      <w:r w:rsidRPr="007A17FC">
        <w:rPr>
          <w:lang w:val="en-US"/>
        </w:rPr>
        <w:br w:type="page"/>
      </w:r>
      <w:r w:rsidR="00682EED" w:rsidRPr="00FC19AC">
        <w:rPr>
          <w:b/>
          <w:bCs/>
          <w:sz w:val="32"/>
          <w:szCs w:val="32"/>
          <w:lang w:val="en-US"/>
        </w:rPr>
        <w:lastRenderedPageBreak/>
        <w:t>4. Discussion</w:t>
      </w:r>
    </w:p>
    <w:p w14:paraId="1C491952" w14:textId="77777777" w:rsidR="00FC19AC" w:rsidRPr="00C43C8F" w:rsidRDefault="00FC19AC" w:rsidP="00FC19AC">
      <w:pPr>
        <w:spacing w:line="360" w:lineRule="auto"/>
        <w:rPr>
          <w:lang w:val="en-US"/>
        </w:rPr>
      </w:pPr>
    </w:p>
    <w:p w14:paraId="49291AB3" w14:textId="3DE20EA0" w:rsidR="00C43C8F" w:rsidRPr="00C43C8F" w:rsidRDefault="00C43C8F" w:rsidP="00FC19AC">
      <w:pPr>
        <w:pStyle w:val="Titre3"/>
        <w:rPr>
          <w:lang w:val="en-US"/>
        </w:rPr>
      </w:pPr>
      <w:r w:rsidRPr="00C43C8F">
        <w:rPr>
          <w:lang w:val="en-US"/>
        </w:rPr>
        <w:t>4.1 Principal findings</w:t>
      </w:r>
    </w:p>
    <w:p w14:paraId="44783904" w14:textId="77777777" w:rsidR="004E317C" w:rsidRDefault="00C43C8F" w:rsidP="00FC19AC">
      <w:pPr>
        <w:pStyle w:val="p3"/>
        <w:spacing w:before="0" w:beforeAutospacing="0" w:after="0" w:afterAutospacing="0" w:line="360" w:lineRule="auto"/>
        <w:rPr>
          <w:lang w:val="en-US"/>
        </w:rPr>
      </w:pPr>
      <w:r w:rsidRPr="00C43C8F">
        <w:rPr>
          <w:lang w:val="en-US"/>
        </w:rPr>
        <w:t xml:space="preserve">To our knowledge, this study provides the first cross-substance dose–response meta-analysis of adverse events (AEs) in psychedelic-assisted therapy, synthesizing data from 28 randomized controlled trials (1,480 participants). </w:t>
      </w:r>
    </w:p>
    <w:p w14:paraId="6D29D7D9" w14:textId="77777777" w:rsidR="00FC19AC" w:rsidRPr="00FC19AC" w:rsidRDefault="00FC19AC" w:rsidP="00FC19AC">
      <w:pPr>
        <w:pStyle w:val="p3"/>
        <w:spacing w:line="360" w:lineRule="auto"/>
        <w:rPr>
          <w:lang w:val="en-US"/>
        </w:rPr>
      </w:pPr>
      <w:r w:rsidRPr="00FC19AC">
        <w:rPr>
          <w:lang w:val="en-US"/>
        </w:rPr>
        <w:t xml:space="preserve">Three principal findings emerge. First, </w:t>
      </w:r>
      <w:proofErr w:type="gramStart"/>
      <w:r w:rsidRPr="00FC19AC">
        <w:rPr>
          <w:lang w:val="en-US"/>
        </w:rPr>
        <w:t>overall</w:t>
      </w:r>
      <w:proofErr w:type="gramEnd"/>
      <w:r w:rsidRPr="00FC19AC">
        <w:rPr>
          <w:lang w:val="en-US"/>
        </w:rPr>
        <w:t xml:space="preserve"> AE incidence during dosing sessions shows a significant dose–response relationship for LSD, MDMA, and psilocybin </w:t>
      </w:r>
      <w:commentRangeStart w:id="46"/>
      <w:commentRangeStart w:id="47"/>
      <w:r w:rsidRPr="00FC19AC">
        <w:rPr>
          <w:lang w:val="en-US"/>
        </w:rPr>
        <w:t xml:space="preserve">at the global level. </w:t>
      </w:r>
      <w:commentRangeEnd w:id="46"/>
      <w:r w:rsidR="00F04387" w:rsidRPr="00FC19AC">
        <w:rPr>
          <w:rStyle w:val="Marquedecommentaire"/>
          <w:sz w:val="24"/>
          <w:szCs w:val="24"/>
          <w:lang w:val="en-US"/>
        </w:rPr>
        <w:commentReference w:id="46"/>
      </w:r>
      <w:commentRangeEnd w:id="47"/>
      <w:r w:rsidR="007F23AA">
        <w:rPr>
          <w:rStyle w:val="Marquedecommentaire"/>
          <w:lang w:val="fr" w:eastAsia="en-US"/>
        </w:rPr>
        <w:commentReference w:id="47"/>
      </w:r>
      <w:r w:rsidRPr="00FC19AC">
        <w:rPr>
          <w:lang w:val="en-US"/>
        </w:rPr>
        <w:t xml:space="preserve">Second, the qualitative profiles of adverse events differ markedly between molecules and are primarily defined by pooled drug–control contrasts rather than by dose scaling. Third, dose-related AE risk is largely confined to the acute dosing session, </w:t>
      </w:r>
      <w:commentRangeStart w:id="48"/>
      <w:r w:rsidRPr="00FC19AC">
        <w:rPr>
          <w:lang w:val="en-US"/>
        </w:rPr>
        <w:t>whereas several clinically relevant follow-up AEs emerge independently of dose–response effects.</w:t>
      </w:r>
      <w:commentRangeEnd w:id="48"/>
      <w:r w:rsidR="00317D8C" w:rsidRPr="00FC19AC">
        <w:rPr>
          <w:rStyle w:val="Marquedecommentaire"/>
          <w:sz w:val="24"/>
          <w:szCs w:val="24"/>
          <w:lang w:val="en-US"/>
        </w:rPr>
        <w:commentReference w:id="48"/>
      </w:r>
    </w:p>
    <w:p w14:paraId="41F3658D" w14:textId="65D76B15" w:rsidR="00C43C8F" w:rsidRPr="00CD0DB3" w:rsidRDefault="00C43C8F" w:rsidP="00FC19AC">
      <w:pPr>
        <w:pStyle w:val="p3"/>
        <w:spacing w:before="0" w:beforeAutospacing="0" w:after="0" w:afterAutospacing="0" w:line="360" w:lineRule="auto"/>
        <w:rPr>
          <w:lang w:val="en-US"/>
        </w:rPr>
      </w:pPr>
      <w:r w:rsidRPr="00CD0DB3">
        <w:rPr>
          <w:lang w:val="en-US"/>
        </w:rPr>
        <w:t xml:space="preserve">At the global level, higher doses of </w:t>
      </w:r>
      <w:commentRangeStart w:id="49"/>
      <w:commentRangeStart w:id="50"/>
      <w:r w:rsidRPr="00CD0DB3">
        <w:rPr>
          <w:lang w:val="en-US"/>
        </w:rPr>
        <w:t xml:space="preserve">LSD, MDMA, and psilocybin were associated with increased overall AE incidence during the dosing session. </w:t>
      </w:r>
      <w:commentRangeEnd w:id="49"/>
      <w:r w:rsidR="003E11E3" w:rsidRPr="00CD0DB3">
        <w:rPr>
          <w:rStyle w:val="Marquedecommentaire"/>
          <w:sz w:val="24"/>
          <w:szCs w:val="24"/>
          <w:lang w:val="en-US"/>
        </w:rPr>
        <w:commentReference w:id="49"/>
      </w:r>
      <w:commentRangeEnd w:id="50"/>
      <w:r w:rsidR="007F23AA">
        <w:rPr>
          <w:rStyle w:val="Marquedecommentaire"/>
          <w:lang w:val="fr" w:eastAsia="en-US"/>
        </w:rPr>
        <w:commentReference w:id="50"/>
      </w:r>
      <w:r w:rsidRPr="00CD0DB3">
        <w:rPr>
          <w:lang w:val="en-US"/>
        </w:rPr>
        <w:t>However, spline-based models revealed substance-specific non-linear patterns not fully captured by linear specifications. For LSD, the dose–AE relationship was monotonic, with a progressive increase in AE burden across the studied dose range, consistent with cumulative serotonergic and perceptual effects. For MDMA, AE incidence increased steeply at moderate doses and then plateaued or fluctuated at higher doses, a pattern that should be interpreted cautiously given sparser data at the upper dose range and potential extrapolation effects.</w:t>
      </w:r>
    </w:p>
    <w:p w14:paraId="53D3B053" w14:textId="440B7FAD" w:rsidR="00C43C8F" w:rsidRDefault="00C43C8F" w:rsidP="00FC19AC">
      <w:pPr>
        <w:pStyle w:val="p3"/>
        <w:spacing w:before="0" w:beforeAutospacing="0" w:after="0" w:afterAutospacing="0" w:line="360" w:lineRule="auto"/>
        <w:rPr>
          <w:lang w:val="en-US"/>
        </w:rPr>
      </w:pPr>
      <w:r w:rsidRPr="00CD0DB3">
        <w:rPr>
          <w:lang w:val="en-US"/>
        </w:rPr>
        <w:t xml:space="preserve">In contrast, psilocybin exhibited a distinct inverted U-shaped dose–response profile, with AE incidence peaking at intermediate doses (approximately 20–30 mg) and declining at higher doses. This pattern emerged within a dose range well represented in the underlying trials, reducing the likelihood that it reflects artefactual spline </w:t>
      </w:r>
      <w:proofErr w:type="spellStart"/>
      <w:r w:rsidRPr="00CD0DB3">
        <w:rPr>
          <w:lang w:val="en-US"/>
        </w:rPr>
        <w:t>behaviour</w:t>
      </w:r>
      <w:proofErr w:type="spellEnd"/>
      <w:r w:rsidRPr="00CD0DB3">
        <w:rPr>
          <w:lang w:val="en-US"/>
        </w:rPr>
        <w:t>.</w:t>
      </w:r>
    </w:p>
    <w:p w14:paraId="27ED7689" w14:textId="77777777" w:rsidR="00FC19AC" w:rsidRPr="00FC19AC" w:rsidRDefault="00FC19AC" w:rsidP="00FC19AC">
      <w:pPr>
        <w:pStyle w:val="p3"/>
        <w:spacing w:line="360" w:lineRule="auto"/>
        <w:rPr>
          <w:lang w:val="en-US"/>
        </w:rPr>
      </w:pPr>
      <w:r w:rsidRPr="00FC19AC">
        <w:rPr>
          <w:lang w:val="en-US"/>
        </w:rPr>
        <w:t xml:space="preserve">Importantly, global dose–response models capture changes in overall AE burden with increasing dose but do not specify which adverse events define the qualitative safety profile of each compound. To address this, pooled odds ratio analyses comparing active drug to control conditions were used to characterize molecule-specific AE patterns independently of dose, while </w:t>
      </w:r>
      <w:r w:rsidRPr="00FC19AC">
        <w:rPr>
          <w:lang w:val="en-US"/>
        </w:rPr>
        <w:lastRenderedPageBreak/>
        <w:t>AE-specific dose–response models were examined to assess whether individual events scaled with exposure.</w:t>
      </w:r>
    </w:p>
    <w:p w14:paraId="64737638" w14:textId="77777777" w:rsidR="00FC19AC" w:rsidRPr="00CD0DB3" w:rsidRDefault="00FC19AC" w:rsidP="00FC19AC">
      <w:pPr>
        <w:pStyle w:val="p3"/>
        <w:spacing w:before="0" w:beforeAutospacing="0" w:after="0" w:afterAutospacing="0" w:line="360" w:lineRule="auto"/>
        <w:rPr>
          <w:lang w:val="en-US"/>
        </w:rPr>
      </w:pPr>
    </w:p>
    <w:p w14:paraId="57AC75EB" w14:textId="68B45C01" w:rsidR="00FC19AC" w:rsidRDefault="00C43C8F" w:rsidP="00FC19AC">
      <w:pPr>
        <w:pStyle w:val="p3"/>
        <w:spacing w:before="0" w:beforeAutospacing="0" w:after="0" w:afterAutospacing="0" w:line="360" w:lineRule="auto"/>
        <w:rPr>
          <w:lang w:val="en-US"/>
        </w:rPr>
      </w:pPr>
      <w:commentRangeStart w:id="51"/>
      <w:commentRangeStart w:id="52"/>
      <w:r w:rsidRPr="00CD0DB3">
        <w:rPr>
          <w:lang w:val="en-US"/>
        </w:rPr>
        <w:t xml:space="preserve">When analyses were disaggregated at the AE-specific level, only a small subset of events showed nominal dose gradients, and none remained significant after correction for multiple testing. For LSD, nausea, headache, and visual illusions exhibited positive dose slopes, consistent with serotonergic gastrointestinal and perceptual mechanisms. MDMA showed dose-dependent increases in headache and dizziness, in line with its sympathomimetic profile. For psilocybin, fatigue and blood-pressure elevation demonstrated dose sensitivity, reflecting increasing physiological load. </w:t>
      </w:r>
      <w:r w:rsidR="00FC19AC" w:rsidRPr="00575EE5">
        <w:rPr>
          <w:lang w:val="en-US"/>
        </w:rPr>
        <w:t xml:space="preserve">In contrast, most psychological, affective, and perceptual AEs identified in pooled analyses did not scale reliably with dose. </w:t>
      </w:r>
      <w:r w:rsidR="00FC19AC" w:rsidRPr="00FC19AC">
        <w:t xml:space="preserve">This dissociation supports a </w:t>
      </w:r>
      <w:proofErr w:type="spellStart"/>
      <w:r w:rsidR="00FC19AC" w:rsidRPr="00FC19AC">
        <w:t>threshold</w:t>
      </w:r>
      <w:proofErr w:type="spellEnd"/>
      <w:r w:rsidR="00FC19AC" w:rsidRPr="00FC19AC">
        <w:t xml:space="preserve">-type model in </w:t>
      </w:r>
      <w:proofErr w:type="spellStart"/>
      <w:r w:rsidR="00FC19AC" w:rsidRPr="00FC19AC">
        <w:t>which</w:t>
      </w:r>
      <w:proofErr w:type="spellEnd"/>
      <w:r w:rsidR="00FC19AC" w:rsidRPr="00FC19AC">
        <w:t xml:space="preserve"> </w:t>
      </w:r>
      <w:proofErr w:type="spellStart"/>
      <w:r w:rsidR="00FC19AC" w:rsidRPr="00FC19AC">
        <w:t>many</w:t>
      </w:r>
      <w:proofErr w:type="spellEnd"/>
      <w:r w:rsidR="00FC19AC" w:rsidRPr="00FC19AC">
        <w:t xml:space="preserve"> subjective adverse </w:t>
      </w:r>
      <w:proofErr w:type="spellStart"/>
      <w:r w:rsidR="00FC19AC" w:rsidRPr="00FC19AC">
        <w:t>experiences</w:t>
      </w:r>
      <w:proofErr w:type="spellEnd"/>
      <w:r w:rsidR="00FC19AC" w:rsidRPr="00FC19AC">
        <w:t xml:space="preserve"> </w:t>
      </w:r>
      <w:proofErr w:type="spellStart"/>
      <w:r w:rsidR="00FC19AC" w:rsidRPr="00FC19AC">
        <w:t>emerge</w:t>
      </w:r>
      <w:proofErr w:type="spellEnd"/>
      <w:r w:rsidR="00FC19AC" w:rsidRPr="00FC19AC">
        <w:t xml:space="preserve"> once psychoactive </w:t>
      </w:r>
      <w:proofErr w:type="spellStart"/>
      <w:r w:rsidR="00FC19AC" w:rsidRPr="00FC19AC">
        <w:t>exposure</w:t>
      </w:r>
      <w:proofErr w:type="spellEnd"/>
      <w:r w:rsidR="00FC19AC" w:rsidRPr="00FC19AC">
        <w:t xml:space="preserve"> </w:t>
      </w:r>
      <w:proofErr w:type="spellStart"/>
      <w:r w:rsidR="00FC19AC" w:rsidRPr="00FC19AC">
        <w:t>is</w:t>
      </w:r>
      <w:proofErr w:type="spellEnd"/>
      <w:r w:rsidR="00FC19AC" w:rsidRPr="00FC19AC">
        <w:t xml:space="preserve"> </w:t>
      </w:r>
      <w:proofErr w:type="spellStart"/>
      <w:r w:rsidR="00FC19AC" w:rsidRPr="00FC19AC">
        <w:t>reached</w:t>
      </w:r>
      <w:proofErr w:type="spellEnd"/>
      <w:r w:rsidR="00FC19AC" w:rsidRPr="00FC19AC">
        <w:t xml:space="preserve"> but do not </w:t>
      </w:r>
      <w:proofErr w:type="spellStart"/>
      <w:r w:rsidR="00FC19AC" w:rsidRPr="00FC19AC">
        <w:t>increase</w:t>
      </w:r>
      <w:proofErr w:type="spellEnd"/>
      <w:r w:rsidR="00FC19AC" w:rsidRPr="00FC19AC">
        <w:t xml:space="preserve"> </w:t>
      </w:r>
      <w:proofErr w:type="spellStart"/>
      <w:r w:rsidR="00FC19AC" w:rsidRPr="00FC19AC">
        <w:t>proportionally</w:t>
      </w:r>
      <w:proofErr w:type="spellEnd"/>
      <w:r w:rsidR="00FC19AC" w:rsidRPr="00FC19AC">
        <w:t xml:space="preserve"> </w:t>
      </w:r>
      <w:proofErr w:type="spellStart"/>
      <w:r w:rsidR="00FC19AC" w:rsidRPr="00FC19AC">
        <w:t>with</w:t>
      </w:r>
      <w:proofErr w:type="spellEnd"/>
      <w:r w:rsidR="00FC19AC" w:rsidRPr="00FC19AC">
        <w:t xml:space="preserve"> </w:t>
      </w:r>
      <w:proofErr w:type="spellStart"/>
      <w:r w:rsidR="00FC19AC" w:rsidRPr="00FC19AC">
        <w:t>further</w:t>
      </w:r>
      <w:proofErr w:type="spellEnd"/>
      <w:r w:rsidR="00FC19AC" w:rsidRPr="00FC19AC">
        <w:t xml:space="preserve"> dose </w:t>
      </w:r>
      <w:proofErr w:type="spellStart"/>
      <w:r w:rsidR="00FC19AC" w:rsidRPr="00FC19AC">
        <w:t>escalation</w:t>
      </w:r>
      <w:proofErr w:type="spellEnd"/>
      <w:r w:rsidR="00FC19AC" w:rsidRPr="00FC19AC">
        <w:t>.</w:t>
      </w:r>
      <w:commentRangeEnd w:id="51"/>
      <w:r w:rsidR="00691C81">
        <w:rPr>
          <w:rStyle w:val="Marquedecommentaire"/>
          <w:sz w:val="24"/>
          <w:szCs w:val="24"/>
          <w:lang w:val="en-US"/>
        </w:rPr>
        <w:commentReference w:id="51"/>
      </w:r>
      <w:commentRangeEnd w:id="52"/>
      <w:r w:rsidR="007F23AA">
        <w:rPr>
          <w:rStyle w:val="Marquedecommentaire"/>
          <w:lang w:val="fr" w:eastAsia="en-US"/>
        </w:rPr>
        <w:commentReference w:id="52"/>
      </w:r>
    </w:p>
    <w:p w14:paraId="73396FA9" w14:textId="77777777" w:rsidR="00FC19AC" w:rsidRPr="00CD0DB3" w:rsidRDefault="00FC19AC" w:rsidP="00FC19AC">
      <w:pPr>
        <w:pStyle w:val="p3"/>
        <w:spacing w:before="0" w:beforeAutospacing="0" w:after="0" w:afterAutospacing="0" w:line="360" w:lineRule="auto"/>
        <w:rPr>
          <w:lang w:val="en-US"/>
        </w:rPr>
      </w:pPr>
    </w:p>
    <w:p w14:paraId="097A9C8E" w14:textId="77777777" w:rsidR="00C43C8F" w:rsidRDefault="00C43C8F" w:rsidP="00FC19AC">
      <w:pPr>
        <w:pStyle w:val="p3"/>
        <w:spacing w:before="0" w:beforeAutospacing="0" w:after="0" w:afterAutospacing="0" w:line="360" w:lineRule="auto"/>
        <w:rPr>
          <w:lang w:val="en-US"/>
        </w:rPr>
      </w:pPr>
      <w:r w:rsidRPr="00CD0DB3">
        <w:rPr>
          <w:lang w:val="en-US"/>
        </w:rPr>
        <w:t>Temporal analyses further indicated a biphasic safety profile for LSD and MDMA, the only compounds with available follow-up data. Dose–response relationships were evident during the dosing session but were not maintained at follow-up. For LSD, a modest negative follow-up slope was observed, likely reflecting resolution of acute effects rather than a protective effect of higher doses, while MDMA showed no residual dose dependence. Together, these findings indicate that dose-dependent AE burden is predominantly an acute phenomenon, providing reassurance regarding the absence of cumulative or delayed dose-related toxicity within the observation windows studied.</w:t>
      </w:r>
    </w:p>
    <w:p w14:paraId="418B8AAC" w14:textId="77777777" w:rsidR="00FC19AC" w:rsidRPr="00CD0DB3" w:rsidRDefault="00FC19AC" w:rsidP="00FC19AC">
      <w:pPr>
        <w:pStyle w:val="p3"/>
        <w:spacing w:before="0" w:beforeAutospacing="0" w:after="0" w:afterAutospacing="0" w:line="360" w:lineRule="auto"/>
        <w:rPr>
          <w:lang w:val="en-US"/>
        </w:rPr>
      </w:pPr>
    </w:p>
    <w:p w14:paraId="3D22E912" w14:textId="0E2B888E" w:rsidR="00C43C8F" w:rsidRPr="00CD0DB3" w:rsidRDefault="00C43C8F" w:rsidP="00FC19AC">
      <w:pPr>
        <w:pStyle w:val="Titre3"/>
        <w:spacing w:before="0" w:after="0"/>
        <w:rPr>
          <w:lang w:val="en-US"/>
        </w:rPr>
      </w:pPr>
      <w:r w:rsidRPr="00CD0DB3">
        <w:rPr>
          <w:lang w:val="en-US"/>
        </w:rPr>
        <w:t>4.2 Comparison with prior literature</w:t>
      </w:r>
    </w:p>
    <w:p w14:paraId="0C68624B" w14:textId="77777777" w:rsidR="00FC19AC" w:rsidRPr="003D39F1" w:rsidRDefault="00FC19AC" w:rsidP="003D39F1">
      <w:pPr>
        <w:spacing w:line="360" w:lineRule="auto"/>
        <w:rPr>
          <w:color w:val="0E0E0E"/>
          <w:lang w:val="en-US"/>
        </w:rPr>
      </w:pPr>
      <w:commentRangeStart w:id="53"/>
      <w:r w:rsidRPr="003D39F1">
        <w:rPr>
          <w:color w:val="0E0E0E"/>
          <w:lang w:val="en-US"/>
        </w:rPr>
        <w:t xml:space="preserve">Our results therefore reconcile two previously under-integrated dimensions of psychedelic safety: the qualitative adverse event profile associated with each compound, and the quantitative modulation of overall AE burden by dose. </w:t>
      </w:r>
      <w:commentRangeEnd w:id="53"/>
      <w:r w:rsidR="006C245B" w:rsidRPr="003D39F1">
        <w:rPr>
          <w:rStyle w:val="Marquedecommentaire"/>
          <w:color w:val="0E0E0E"/>
          <w:sz w:val="24"/>
          <w:szCs w:val="24"/>
          <w:lang w:val="en-US"/>
        </w:rPr>
        <w:commentReference w:id="53"/>
      </w:r>
      <w:r w:rsidRPr="003D39F1">
        <w:rPr>
          <w:color w:val="0E0E0E"/>
          <w:lang w:val="en-US"/>
        </w:rPr>
        <w:t>Prior literature has largely focused on the former, whereas our findings indicate that the latter operates primarily at a global rather than AE-specific level.</w:t>
      </w:r>
    </w:p>
    <w:p w14:paraId="4396B6CC" w14:textId="77777777" w:rsidR="00FC19AC" w:rsidRPr="003D39F1" w:rsidRDefault="00FC19AC" w:rsidP="003D39F1">
      <w:pPr>
        <w:pStyle w:val="p3"/>
        <w:spacing w:before="0" w:beforeAutospacing="0" w:after="0" w:afterAutospacing="0" w:line="360" w:lineRule="auto"/>
        <w:rPr>
          <w:lang w:val="en-US"/>
        </w:rPr>
      </w:pPr>
    </w:p>
    <w:p w14:paraId="5A19FD60" w14:textId="74E9ACCA" w:rsidR="00C43C8F" w:rsidRDefault="00C43C8F" w:rsidP="00FC19AC">
      <w:pPr>
        <w:pStyle w:val="p3"/>
        <w:spacing w:before="0" w:beforeAutospacing="0" w:after="0" w:afterAutospacing="0" w:line="360" w:lineRule="auto"/>
        <w:rPr>
          <w:lang w:val="en-US"/>
        </w:rPr>
      </w:pPr>
      <w:r w:rsidRPr="00CD0DB3">
        <w:rPr>
          <w:lang w:val="en-US"/>
        </w:rPr>
        <w:lastRenderedPageBreak/>
        <w:t>Previous reviews have described AE incidence in psychedelic trials but did not formally address dose–response relationships. Our findings extend this literature by demonstrating that only selected somatic AEs scale with dose, whereas many autonomic and psychological effects appear largely categorical. This distinction has practical implications for dose optimization, as some AEs may be mitigated by dose adjustment, while others are primarily determined by exposure versus non-exposure. The relative absence of psychological AEs with robust dose gradients further supports the view that experiential intensity is shaped more by set, setting, and individual vulnerability than by incremental dose escalation beyond a psychoactive threshold.</w:t>
      </w:r>
    </w:p>
    <w:p w14:paraId="55E5372C" w14:textId="648FB2D3" w:rsidR="00BD1039" w:rsidRDefault="007F6656" w:rsidP="00FC19AC">
      <w:pPr>
        <w:pStyle w:val="p3"/>
        <w:spacing w:before="0" w:beforeAutospacing="0" w:after="0" w:afterAutospacing="0" w:line="360" w:lineRule="auto"/>
        <w:rPr>
          <w:lang w:val="en-US"/>
        </w:rPr>
      </w:pPr>
      <w:r>
        <w:rPr>
          <w:lang w:val="en-US"/>
        </w:rPr>
        <w:t>Furthermore, we note th</w:t>
      </w:r>
      <w:r w:rsidR="00F6090C">
        <w:rPr>
          <w:lang w:val="en-US"/>
        </w:rPr>
        <w:t>at biphasic curves were distinct for psilocybin, compared to LSD and MDMA</w:t>
      </w:r>
      <w:r w:rsidR="00D71995">
        <w:rPr>
          <w:lang w:val="en-US"/>
        </w:rPr>
        <w:t xml:space="preserve"> during the acute session</w:t>
      </w:r>
      <w:r w:rsidR="00F6090C">
        <w:rPr>
          <w:lang w:val="en-US"/>
        </w:rPr>
        <w:t xml:space="preserve">. </w:t>
      </w:r>
      <w:r w:rsidR="00F6090C" w:rsidRPr="00F6090C">
        <w:rPr>
          <w:lang w:val="en-US"/>
        </w:rPr>
        <w:t>Specifically, lower to moderate doses were associated with higher rates of anxiety-related and distress-related</w:t>
      </w:r>
      <w:r w:rsidR="00D71995">
        <w:rPr>
          <w:lang w:val="en-US"/>
        </w:rPr>
        <w:t xml:space="preserve"> AE</w:t>
      </w:r>
      <w:r w:rsidR="00F6090C" w:rsidRPr="00F6090C">
        <w:rPr>
          <w:lang w:val="en-US"/>
        </w:rPr>
        <w:t>, whereas the highest dose examined was associated with a marked reduction in reported</w:t>
      </w:r>
      <w:r w:rsidR="00D71995">
        <w:rPr>
          <w:lang w:val="en-US"/>
        </w:rPr>
        <w:t xml:space="preserve"> AE</w:t>
      </w:r>
      <w:r w:rsidR="00F6090C" w:rsidRPr="00F6090C">
        <w:rPr>
          <w:lang w:val="en-US"/>
        </w:rPr>
        <w:t>. This pattern is consistent with prior clinical and naturalistic studies suggesting that psychological distress during psychedelic experiences does not increase monotonically with dose, but may peak at intermediate dose ranges</w:t>
      </w:r>
      <w:r w:rsidR="003D39F1">
        <w:rPr>
          <w:lang w:val="en-US"/>
        </w:rPr>
        <w:t xml:space="preserve"> </w:t>
      </w:r>
      <w:r w:rsidR="003D39F1">
        <w:rPr>
          <w:lang w:val="en-US"/>
        </w:rPr>
        <w:fldChar w:fldCharType="begin"/>
      </w:r>
      <w:r w:rsidR="003D39F1">
        <w:rPr>
          <w:lang w:val="en-US"/>
        </w:rPr>
        <w:instrText xml:space="preserve"> ADDIN ZOTERO_ITEM CSL_CITATION {"citationID":"aLnkQfKJ","properties":{"formattedCitation":"(Haijen et al., 2018; Studerus et al., 2011)","plainCitation":"(Haijen et al., 2018; Studerus et al., 2011)","noteIndex":0},"citationItems":[{"id":3171,"uris":["http://zotero.org/users/4564126/items/R7ENFFMP"],"itemData":{"id":3171,"type":"article-journal","container-title":"Frontiers in Pharmacology","DOI":"10.3389/fphar.2018.00897","ISSN":"1663-9812","journalAbbreviation":"Front. Pharmacol.","page":"897","source":"DOI.org (Crossref)","title":"Predicting Responses to Psychedelics: A Prospective Study","title-short":"Predicting Responses to Psychedelics","volume":"9","author":[{"family":"Haijen","given":"Eline C. H. M."},{"family":"Kaelen","given":"Mendel"},{"family":"Roseman","given":"Leor"},{"family":"Timmermann","given":"Christopher"},{"family":"Kettner","given":"Hannes"},{"family":"Russ","given":"Suzanne"},{"family":"Nutt","given":"David"},{"family":"Daws","given":"Richard E."},{"family":"Hampshire","given":"Adam D. G."},{"family":"Lorenz","given":"Romy"},{"family":"Carhart-Harris","given":"Robin L."}],"issued":{"date-parts":[["2018",11,2]]}}},{"id":1055,"uris":["http://zotero.org/users/4564126/items/VPENX5FL"],"itemData":{"id":1055,"type":"article-journal","abstract":"Psilocybin and related hallucinogenic compounds are increasingly used in human research. However, due to limited information about potential subjective side  effects, the controlled medical use of these compounds has remained  controversial. We therefore analysed acute, short- and long-term subjective  effects of psilocybin in healthy humans by pooling raw data from eight  double-blind placebo-controlled experimental studies conducted between 1999 and  2008. The analysis included 110 healthy subjects who had received 1-4 oral doses  of psilocybin (45-315 µg/kg body weight). Although psilocybin dose-dependently  induced profound changes in mood, perception, thought and self-experience, most  subjects described the experience as pleasurable, enriching and non-threatening.  Acute adverse drug reactions, characterized by strong dysphoria and/or  anxiety/panic, occurred only in the two highest dose conditions in a relatively  small proportion of subjects. All acute adverse drug reactions were successfully  managed by providing interpersonal support and did not need psychopharmacological  intervention. Follow-up questionnaires indicated no subsequent drug abuse,  persisting perception disorders, prolonged psychosis or other long-term  impairment of functioning in any of our subjects. The results suggest that the  administration of moderate doses of psilocybin to healthy, high-functioning and  well-prepared subjects in the context of a carefully monitored research  environment is associated with an acceptable level of risk.","container-title":"Journal of psychopharmacology (Oxford, England)","DOI":"10.1177/0269881110382466","ISSN":"1461-7285 0269-8811","issue":"11","journalAbbreviation":"J Psychopharmacol","language":"eng","note":"publisher-place: United States","page":"1434-1452","PMID":"20855349","title":"Acute, subacute and long-term subjective effects of psilocybin in healthy humans: a pooled analysis of experimental studies.","volume":"25","author":[{"family":"Studerus","given":"Erich"},{"family":"Kometer","given":"Michael"},{"family":"Hasler","given":"Felix"},{"family":"Vollenweider","given":"Franz X."}],"issued":{"date-parts":[["2011",11]]}}}],"schema":"https://github.com/citation-style-language/schema/raw/master/csl-citation.json"} </w:instrText>
      </w:r>
      <w:r w:rsidR="003D39F1">
        <w:rPr>
          <w:lang w:val="en-US"/>
        </w:rPr>
        <w:fldChar w:fldCharType="separate"/>
      </w:r>
      <w:r w:rsidR="003D39F1">
        <w:rPr>
          <w:noProof/>
          <w:lang w:val="en-US"/>
        </w:rPr>
        <w:t>(Haijen et al., 2018; Studerus et al., 2011)</w:t>
      </w:r>
      <w:r w:rsidR="003D39F1">
        <w:rPr>
          <w:lang w:val="en-US"/>
        </w:rPr>
        <w:fldChar w:fldCharType="end"/>
      </w:r>
      <w:r w:rsidR="003D39F1">
        <w:rPr>
          <w:lang w:val="en-US"/>
        </w:rPr>
        <w:t xml:space="preserve">. </w:t>
      </w:r>
      <w:r w:rsidR="00F6090C" w:rsidRPr="00F6090C">
        <w:rPr>
          <w:lang w:val="en-US"/>
        </w:rPr>
        <w:t>Importantly, dose has repeatedly been shown to correlate positively with mystical-type or unitive experiences and emotional breakthrough, which in turn are associated with improved tolerability and therapeutic outcomes</w:t>
      </w:r>
      <w:r w:rsidR="003D39F1">
        <w:rPr>
          <w:lang w:val="en-US"/>
        </w:rPr>
        <w:t xml:space="preserve"> </w:t>
      </w:r>
      <w:r w:rsidR="003D39F1">
        <w:rPr>
          <w:lang w:val="en-US"/>
        </w:rPr>
        <w:fldChar w:fldCharType="begin"/>
      </w:r>
      <w:r w:rsidR="003D39F1">
        <w:rPr>
          <w:lang w:val="en-US"/>
        </w:rPr>
        <w:instrText xml:space="preserve"> ADDIN ZOTERO_ITEM CSL_CITATION {"citationID":"RcOY2nN1","properties":{"formattedCitation":"(Griffiths et al., 2016; Roseman et al., 2018)","plainCitation":"(Griffiths et al., 2016; Roseman et al., 2018)","noteIndex":0},"citationItems":[{"id":10,"uris":["http://zotero.org/users/4564126/items/5KIRSWUF"],"itemData":{"id":10,"type":"article-journal","abstract":"Cancer patients often develop chronic, clinically significant symptoms of depression and anxiety. Previous studies suggest that psilocybin may decrease  depression and anxiety in cancer patients. The effects of psilocybin were studied  in 51 cancer patients with life-threatening diagnoses and symptoms of depression  and/or anxiety. This randomized, double-blind, cross-over trial investigated the  effects of a very low (placebo-like) dose (1 or 3 mg/70 kg) vs. a high dose (22  or 30 mg/70 kg) of psilocybin administered in counterbalanced sequence with 5  weeks between sessions and a 6-month follow-up. Instructions to participants and  staff minimized expectancy effects. Participants, staff, and community observers  rated participant moods, attitudes, and behaviors throughout the study. High-dose  psilocybin produced large decreases in clinician- and self-rated measures of  depressed mood and anxiety, along with increases in quality of life, life  meaning, and optimism, and decreases in death anxiety. At 6-month follow-up,  these changes were sustained, with about 80% of participants continuing to show  clinically significant decreases in depressed mood and anxiety. Participants  attributed improvements in attitudes about life/self, mood, relationships, and  spirituality to the high-dose experience, with &gt;80% endorsing moderately or  greater increased well-being/life satisfaction. Community observer ratings showed  corresponding changes. Mystical-type psilocybin experience on session day  mediated the effect of psilocybin dose on therapeutic outcomes. TRIAL  REGISTRATION: ClinicalTrials.gov identifier: NCT00465595.","container-title":"Journal of psychopharmacology (Oxford, England)","DOI":"10.1177/0269881116675513","ISSN":"1461-7285 0269-8811","issue":"12","journalAbbreviation":"J Psychopharmacol","language":"eng","license":"© The Author(s) 2016.","note":"publisher-place: United States","page":"1181-1197","PMID":"27909165","PMCID":"PMC5367557","title":"Psilocybin produces substantial and sustained decreases in depression and anxiety in patients with life-threatening cancer: A randomized double-blind trial.","volume":"30","author":[{"family":"Griffiths","given":"Roland R."},{"family":"Johnson","given":"Matthew W."},{"family":"Carducci","given":"Michael A."},{"family":"Umbricht","given":"Annie"},{"family":"Richards","given":"William A."},{"family":"Richards","given":"Brian D."},{"family":"Cosimano","given":"Mary P."},{"family":"Klinedinst","given":"Margaret A."}],"issued":{"date-parts":[["2016",12]]}}},{"id":706,"uris":["http://zotero.org/users/4564126/items/F7M8MMYY"],"itemData":{"id":706,"type":"article-journal","abstract":"Recent evidence indicates that psilocybin with psychological support may be effective for treating depression. Some studies have found that patients with  depression show heightened amygdala responses to fearful faces and there is  reliable evidence that treatment with SSRIs attenuates amygdala responses (Ma,  2015). We hypothesised that amygdala responses to emotional faces would be  altered post-treatment with psilocybin. In this open-label study, 20 individuals  diagnosed with moderate to severe, treatment-resistant depression, underwent two  separate dosing sessions with psilocybin. Psychological support was provided  before, during and after these sessions and 19 completed fMRI scans one week  prior to the first session and one day after the second and last. Neutral,  fearful and happy faces were presented in the scanner and analyses focused on the  amygdala. Group results revealed rapid and enduring improvements in depressive  symptoms post psilocybin. Increased responses to fearful and happy faces were  observed in the right amygdala post-treatment, and right amygdala increases to  fearful versus neutral faces were predictive of clinical improvements at 1-week.  Psilocybin with psychological support was associated with increased amygdala  responses to emotional stimuli, an opposite effect to previous findings with  SSRIs. This suggests fundamental differences in these treatments' therapeutic  actions, with SSRIs mitigating negative emotions and psilocybin allowing patients  to confront and work through them. Based on the present results, we propose that  psilocybin with psychological support is a treatment approach that potentially  revives emotional responsiveness in depression, enabling patients to reconnect  with their emotions. TRIAL REGISTRATION: ISRCTN, number ISRCTN14426797. This  article is part of the Special Issue entitled 'Psychedelics: New Doors, Altered  Perceptions'.","container-title":"Neuropharmacology","DOI":"10.1016/j.neuropharm.2017.12.041","ISSN":"1873-7064 0028-3908","journalAbbreviation":"Neuropharmacology","language":"eng","license":"Copyright © 2018 The Authors. Published by Elsevier Ltd.. All rights reserved.","note":"publisher-place: England","page":"263-269","PMID":"29288686","title":"Increased amygdala responses to emotional faces after psilocybin for treatment-resistant depression.","volume":"142","author":[{"family":"Roseman","given":"Leor"},{"family":"Demetriou","given":"Lysia"},{"family":"Wall","given":"Matthew B."},{"family":"Nutt","given":"David J."},{"family":"Carhart-Harris","given":"Robin L."}],"issued":{"date-parts":[["2018",11]]}}}],"schema":"https://github.com/citation-style-language/schema/raw/master/csl-citation.json"} </w:instrText>
      </w:r>
      <w:r w:rsidR="003D39F1">
        <w:rPr>
          <w:lang w:val="en-US"/>
        </w:rPr>
        <w:fldChar w:fldCharType="separate"/>
      </w:r>
      <w:r w:rsidR="003D39F1">
        <w:rPr>
          <w:noProof/>
          <w:lang w:val="en-US"/>
        </w:rPr>
        <w:t>(Griffiths et al., 2016; Roseman et al., 2018)</w:t>
      </w:r>
      <w:r w:rsidR="003D39F1">
        <w:rPr>
          <w:lang w:val="en-US"/>
        </w:rPr>
        <w:fldChar w:fldCharType="end"/>
      </w:r>
      <w:r w:rsidR="00F6090C" w:rsidRPr="00F6090C">
        <w:rPr>
          <w:lang w:val="en-US"/>
        </w:rPr>
        <w:t xml:space="preserve">. Together, these findings </w:t>
      </w:r>
      <w:r w:rsidR="00A00B7E">
        <w:rPr>
          <w:lang w:val="en-US"/>
        </w:rPr>
        <w:t xml:space="preserve">could </w:t>
      </w:r>
      <w:r w:rsidR="00F6090C" w:rsidRPr="00F6090C">
        <w:rPr>
          <w:lang w:val="en-US"/>
        </w:rPr>
        <w:t>suggest that adverse experiences during psilocybin administration may be driven less by pharmacological toxicity per se than by dose-dependent psychological dynamics, including resistance, cognitive control, and the degree of ego-dissolution achieved during the acute psychedelic state</w:t>
      </w:r>
      <w:r w:rsidR="003D39F1">
        <w:rPr>
          <w:lang w:val="en-US"/>
        </w:rPr>
        <w:t xml:space="preserve"> </w:t>
      </w:r>
      <w:r w:rsidR="003D39F1">
        <w:rPr>
          <w:lang w:val="en-US"/>
        </w:rPr>
        <w:fldChar w:fldCharType="begin"/>
      </w:r>
      <w:r w:rsidR="003D39F1">
        <w:rPr>
          <w:lang w:val="en-US"/>
        </w:rPr>
        <w:instrText xml:space="preserve"> ADDIN ZOTERO_ITEM CSL_CITATION {"citationID":"zxrQgP0y","properties":{"formattedCitation":"(Lebedev et al., 2015)","plainCitation":"(Lebedev et al., 2015)","noteIndex":0},"citationItems":[{"id":3165,"uris":["http://zotero.org/users/4564126/items/NMEHUAUR"],"itemData":{"id":3165,"type":"article-journal","container-title":"Human Brain Mapping","DOI":"10.1002/hbm.22833","issue":"8","page":"3137–3153","title":"Finding the self by losing the self: Neural correlates of ego-dissolution under psilocybin","volume":"36","author":[{"family":"Lebedev","given":"Alexey V."},{"family":"Lövdén","given":"Martin"},{"family":"Rosenthal","given":"Gadi"},{"family":"Feilding","given":"Amanda"},{"family":"Nutt","given":"David J."},{"family":"Carhart-Harris","given":"Robin L."}],"issued":{"date-parts":[["2015"]]}}}],"schema":"https://github.com/citation-style-language/schema/raw/master/csl-citation.json"} </w:instrText>
      </w:r>
      <w:r w:rsidR="003D39F1">
        <w:rPr>
          <w:lang w:val="en-US"/>
        </w:rPr>
        <w:fldChar w:fldCharType="separate"/>
      </w:r>
      <w:r w:rsidR="003D39F1">
        <w:rPr>
          <w:noProof/>
          <w:lang w:val="en-US"/>
        </w:rPr>
        <w:t>(Lebedev et al., 2015)</w:t>
      </w:r>
      <w:r w:rsidR="003D39F1">
        <w:rPr>
          <w:lang w:val="en-US"/>
        </w:rPr>
        <w:fldChar w:fldCharType="end"/>
      </w:r>
      <w:r w:rsidR="003D39F1">
        <w:rPr>
          <w:lang w:val="en-US"/>
        </w:rPr>
        <w:t>.</w:t>
      </w:r>
    </w:p>
    <w:p w14:paraId="1B9824B1" w14:textId="216E3F44" w:rsidR="0026302F" w:rsidRDefault="0026302F" w:rsidP="00FC19AC">
      <w:pPr>
        <w:pStyle w:val="p3"/>
        <w:spacing w:before="0" w:beforeAutospacing="0" w:after="0" w:afterAutospacing="0" w:line="360" w:lineRule="auto"/>
        <w:rPr>
          <w:lang w:val="en-US"/>
        </w:rPr>
      </w:pPr>
      <w:r w:rsidRPr="0026302F">
        <w:rPr>
          <w:lang w:val="en-US"/>
        </w:rPr>
        <w:t>From a mechanistic perspective, this biphasic pattern aligns with contemporary models of psychedelic action. At lower to moderate doses, psilocybin induces perceptual and emotional destabilization while preserving ego integrity and top-down cognitive control, a state that may amplify psychological conflict and anxiety-related adverse experiences. By contrast, higher doses appear to surpass a critical threshold for hierarchical belief relaxation, leading to more pronounced ego dissolution and reduced defensive control, consistent with the REBUS framework</w:t>
      </w:r>
      <w:r w:rsidR="003D39F1">
        <w:rPr>
          <w:lang w:val="en-US"/>
        </w:rPr>
        <w:t xml:space="preserve"> </w:t>
      </w:r>
      <w:r w:rsidR="003D39F1">
        <w:rPr>
          <w:lang w:val="en-US"/>
        </w:rPr>
        <w:fldChar w:fldCharType="begin"/>
      </w:r>
      <w:r w:rsidR="003D39F1">
        <w:rPr>
          <w:lang w:val="en-US"/>
        </w:rPr>
        <w:instrText xml:space="preserve"> ADDIN ZOTERO_ITEM CSL_CITATION {"citationID":"Y32hns3A","properties":{"formattedCitation":"(R. L. Carhart-Harris &amp; Friston, 2019)","plainCitation":"(R. L. Carhart-Harris &amp; Friston, 2019)","noteIndex":0},"citationItems":[{"id":2027,"uris":["http://zotero.org/users/4564126/items/SAUQJPH7"],"itemData":{"id":2027,"type":"article-journal","abstract":"This paper formulates the action of psychedelics by integrating the free-energy principle and entropic brain hypothesis. We call this formulation relaxed beliefs  under psychedelics (REBUS) and the anarchic brain, founded on the principle  that-via their entropic effect on spontaneous cortical activity-psychedelics work  to relax the precision of high-level priors or beliefs, thereby liberating  bottom-up information flow, particularly via intrinsic sources such as the limbic  system. We assemble evidence for this model and show how it can explain a broad  range of phenomena associated with the psychedelic experience. With regard to  their potential therapeutic use, we propose that psychedelics work to relax the  precision weighting of pathologically overweighted priors underpinning various  expressions of mental illness. We propose that this process entails an increased  sensitization of high-level priors to bottom-up signaling (stemming from  intrinsic sources), and that this heightened sensitivity enables the potential  revision and deweighting of overweighted priors. We end by discussing further  implications of the model, such as that psychedelics can bring about the revision  of other heavily weighted high-level priors, not directly related to mental  health, such as those underlying partisan and/or overly-confident political,  religious, and/or philosophical perspectives. SIGNIFICANCE STATEMENT:  Psychedelics are capturing interest, with efforts underway to bring psilocybin  therapy to marketing authorisation and legal access within a decade, spearheaded  by the findings of a series of phase 2 trials. In this climate, a compelling  unified model of how psychedelics alter brain function to alter consciousness  would have appeal. Towards this end, we have sought to integrate a leading model  of global brain function, hierarchical predictive coding, with an often-cited  model of the acute action of psychedelics, the entropic brain hypothesis. The  resulting synthesis states that psychedelics work to relax high-level priors,  sensitising them to liberated bottom-up information flow, which, with the right  intention, care provision and context, can help guide and cultivate the revision  of entrenched pathological priors.","container-title":"Pharmacological reviews","DOI":"10.1124/pr.118.017160","ISSN":"1521-0081 0031-6997","issue":"3","journalAbbreviation":"Pharmacol Rev","language":"eng","license":"Copyright © 2019 The Author(s).","note":"publisher-place: Netherlands","page":"316-344","PMID":"31221820","PMCID":"PMC6588209","title":"REBUS and the Anarchic Brain: Toward a Unified Model of the Brain Action of Psychedelics.","volume":"71","author":[{"family":"Carhart-Harris","given":"R. L."},{"family":"Friston","given":"K. J."}],"issued":{"date-parts":[["2019",7]]}}}],"schema":"https://github.com/citation-style-language/schema/raw/master/csl-citation.json"} </w:instrText>
      </w:r>
      <w:r w:rsidR="003D39F1">
        <w:rPr>
          <w:lang w:val="en-US"/>
        </w:rPr>
        <w:fldChar w:fldCharType="separate"/>
      </w:r>
      <w:r w:rsidR="003D39F1">
        <w:rPr>
          <w:noProof/>
          <w:lang w:val="en-US"/>
        </w:rPr>
        <w:t>(R. L. Carhart-Harris &amp; Friston, 2019)</w:t>
      </w:r>
      <w:r w:rsidR="003D39F1">
        <w:rPr>
          <w:lang w:val="en-US"/>
        </w:rPr>
        <w:fldChar w:fldCharType="end"/>
      </w:r>
      <w:r w:rsidRPr="0026302F">
        <w:rPr>
          <w:lang w:val="en-US"/>
        </w:rPr>
        <w:t>. Neuroimaging findings support this interpretation, showing dose-dependent reductions in default mode network integrity and increased neural entropy, which are associated with acceptance, unity, and emotional release</w:t>
      </w:r>
      <w:r w:rsidR="003D39F1">
        <w:rPr>
          <w:lang w:val="en-US"/>
        </w:rPr>
        <w:t xml:space="preserve"> </w:t>
      </w:r>
      <w:r w:rsidR="003D39F1">
        <w:rPr>
          <w:lang w:val="en-US"/>
        </w:rPr>
        <w:fldChar w:fldCharType="begin"/>
      </w:r>
      <w:r w:rsidR="003D39F1">
        <w:rPr>
          <w:lang w:val="en-US"/>
        </w:rPr>
        <w:instrText xml:space="preserve"> ADDIN ZOTERO_ITEM CSL_CITATION {"citationID":"AyAZ9y3N","properties":{"formattedCitation":"(Lebedev et al., 2015; Madsen et al., 2019)","plainCitation":"(Lebedev et al., 2015; Madsen et al., 2019)","noteIndex":0},"citationItems":[{"id":3165,"uris":["http://zotero.org/users/4564126/items/NMEHUAUR"],"itemData":{"id":3165,"type":"article-journal","container-title":"Human Brain Mapping","DOI":"10.1002/hbm.22833","issue":"8","page":"3137–3153","title":"Finding the self by losing the self: Neural correlates of ego-dissolution under psilocybin","volume":"36","author":[{"family":"Lebedev","given":"Alexey V."},{"family":"Lövdén","given":"Martin"},{"family":"Rosenthal","given":"Gadi"},{"family":"Feilding","given":"Amanda"},{"family":"Nutt","given":"David J."},{"family":"Carhart-Harris","given":"Robin L."}],"issued":{"date-parts":[["2015"]]}}},{"id":3166,"uris":["http://zotero.org/users/4564126/items/KYB46P8W"],"itemData":{"id":3166,"type":"article-journal","container-title":"Neuropsychopharmacology","DOI":"10.1038/s41386-019-0360-5","issue":"7","page":"1336–1337","title":"Correction: Psychedelic effects of psilocybin correlate with serotonin 2A receptor occupancy and plasma psilocin levels","volume":"44","author":[{"family":"Madsen","given":"Martin K."},{"family":"Fisher","given":"Patrick M."},{"family":"Burmester","given":"Daniel"},{"family":"Dyssegaard","given":"Anne"},{"family":"Stenbæk","given":"Dea S."},{"family":"Kristiansen","given":"Simon"},{"family":"Johansen","given":"Sys"},{"family":"Lehel","given":"Szabolcs"},{"family":"Linnet","given":"Kristian"},{"family":"Svarer","given":"Claus"},{"family":"Erritzoe","given":"David"},{"family":"Ozenne","given":"Brice"},{"family":"Knudsen","given":"Gitte M."}],"issued":{"date-parts":[["2019"]]}}}],"schema":"https://github.com/citation-style-language/schema/raw/master/csl-citation.json"} </w:instrText>
      </w:r>
      <w:r w:rsidR="003D39F1">
        <w:rPr>
          <w:lang w:val="en-US"/>
        </w:rPr>
        <w:fldChar w:fldCharType="separate"/>
      </w:r>
      <w:r w:rsidR="003D39F1">
        <w:rPr>
          <w:noProof/>
          <w:lang w:val="en-US"/>
        </w:rPr>
        <w:t>(Lebedev et al., 2015; Madsen et al., 2019)</w:t>
      </w:r>
      <w:r w:rsidR="003D39F1">
        <w:rPr>
          <w:lang w:val="en-US"/>
        </w:rPr>
        <w:fldChar w:fldCharType="end"/>
      </w:r>
      <w:r w:rsidRPr="0026302F">
        <w:rPr>
          <w:lang w:val="en-US"/>
        </w:rPr>
        <w:t xml:space="preserve">. Consequently, experiences perceived as adverse at </w:t>
      </w:r>
      <w:r w:rsidRPr="0026302F">
        <w:rPr>
          <w:lang w:val="en-US"/>
        </w:rPr>
        <w:lastRenderedPageBreak/>
        <w:t>lower doses may be appraised as tolerable or beneficial at higher doses, resulting in fewer reported adverse effects despite greater experiential intensity.</w:t>
      </w:r>
    </w:p>
    <w:p w14:paraId="7D4661C4" w14:textId="77777777" w:rsidR="003D39F1" w:rsidRPr="00CD0DB3" w:rsidRDefault="003D39F1" w:rsidP="00FC19AC">
      <w:pPr>
        <w:pStyle w:val="p3"/>
        <w:spacing w:before="0" w:beforeAutospacing="0" w:after="0" w:afterAutospacing="0" w:line="360" w:lineRule="auto"/>
        <w:rPr>
          <w:lang w:val="en-US"/>
        </w:rPr>
      </w:pPr>
    </w:p>
    <w:p w14:paraId="321A452F" w14:textId="77777777" w:rsidR="00C43C8F" w:rsidRPr="00CD0DB3" w:rsidRDefault="00C43C8F" w:rsidP="00FC19AC">
      <w:pPr>
        <w:pStyle w:val="Titre3"/>
        <w:spacing w:before="0" w:after="0"/>
        <w:rPr>
          <w:lang w:val="en-US"/>
        </w:rPr>
      </w:pPr>
      <w:r w:rsidRPr="00CD0DB3">
        <w:rPr>
          <w:lang w:val="en-US"/>
        </w:rPr>
        <w:t>4.3 Interpretation of the suicidal ideation signal with psilocybin</w:t>
      </w:r>
    </w:p>
    <w:p w14:paraId="512F8556" w14:textId="46212B2B" w:rsidR="00C43C8F" w:rsidRDefault="00C43C8F" w:rsidP="00FC19AC">
      <w:pPr>
        <w:pStyle w:val="p3"/>
        <w:spacing w:before="0" w:beforeAutospacing="0" w:after="0" w:afterAutospacing="0" w:line="360" w:lineRule="auto"/>
        <w:rPr>
          <w:lang w:val="en-US"/>
        </w:rPr>
      </w:pPr>
      <w:r w:rsidRPr="00CD0DB3">
        <w:rPr>
          <w:lang w:val="en-US"/>
        </w:rPr>
        <w:t xml:space="preserve">A pooled signal for suicidal ideation was observed with psilocybin. This finding warrants cautious interpretation, as it was driven by two large trials in which suicidal ideation was transient, emerged during or shortly after dosing, and did not persist at follow-up or progress to suicidal </w:t>
      </w:r>
      <w:commentRangeStart w:id="54"/>
      <w:proofErr w:type="spellStart"/>
      <w:r w:rsidRPr="00CD0DB3">
        <w:rPr>
          <w:lang w:val="en-US"/>
        </w:rPr>
        <w:t>behaviour</w:t>
      </w:r>
      <w:commentRangeEnd w:id="54"/>
      <w:proofErr w:type="spellEnd"/>
      <w:r w:rsidR="00AA11B1" w:rsidRPr="00CD0DB3">
        <w:rPr>
          <w:rStyle w:val="Marquedecommentaire"/>
          <w:sz w:val="24"/>
          <w:szCs w:val="24"/>
          <w:lang w:val="en-US"/>
        </w:rPr>
        <w:commentReference w:id="54"/>
      </w:r>
      <w:r w:rsidRPr="00CD0DB3">
        <w:rPr>
          <w:lang w:val="en-US"/>
        </w:rPr>
        <w:t xml:space="preserve">. Safety reports indicate that these episodes occurred predominantly in individuals with pre-existing affective vulnerability or during periods of intense emotional </w:t>
      </w:r>
      <w:commentRangeStart w:id="55"/>
      <w:r w:rsidRPr="00CD0DB3">
        <w:rPr>
          <w:lang w:val="en-US"/>
        </w:rPr>
        <w:t>processing</w:t>
      </w:r>
      <w:commentRangeEnd w:id="55"/>
      <w:r w:rsidR="009F20C0" w:rsidRPr="00CD0DB3">
        <w:rPr>
          <w:rStyle w:val="Marquedecommentaire"/>
          <w:sz w:val="24"/>
          <w:szCs w:val="24"/>
          <w:lang w:val="en-US"/>
        </w:rPr>
        <w:commentReference w:id="55"/>
      </w:r>
      <w:r w:rsidRPr="00CD0DB3">
        <w:rPr>
          <w:lang w:val="en-US"/>
        </w:rPr>
        <w:t>. Taken together, these observations suggest that the signal reflects transient affective lability inherent to psilocybin-assisted psychotherapy rather than a sustained increase in suicidality risk.</w:t>
      </w:r>
      <w:r w:rsidR="00352915">
        <w:rPr>
          <w:lang w:val="en-US"/>
        </w:rPr>
        <w:t xml:space="preserve"> Meshkat and colleagues conducted a systematic review on this topic and propose that t</w:t>
      </w:r>
      <w:r w:rsidR="00352915" w:rsidRPr="00352915">
        <w:rPr>
          <w:lang w:val="en-US"/>
        </w:rPr>
        <w:t>he effect of psychedelic therapies on suicide-related outcomes remains inconclusive</w:t>
      </w:r>
      <w:r w:rsidR="00352915">
        <w:rPr>
          <w:lang w:val="en-US"/>
        </w:rPr>
        <w:t xml:space="preserve"> </w:t>
      </w:r>
      <w:r w:rsidR="003D39F1">
        <w:rPr>
          <w:lang w:val="en-US"/>
        </w:rPr>
        <w:fldChar w:fldCharType="begin"/>
      </w:r>
      <w:r w:rsidR="003D39F1">
        <w:rPr>
          <w:lang w:val="en-US"/>
        </w:rPr>
        <w:instrText xml:space="preserve"> ADDIN ZOTERO_ITEM CSL_CITATION {"citationID":"jDNXLVmA","properties":{"formattedCitation":"(Meshkat et al., 2025)","plainCitation":"(Meshkat et al., 2025)","noteIndex":0},"citationItems":[{"id":353,"uris":["http://zotero.org/users/4564126/items/RD2CPWDU"],"itemData":{"id":353,"type":"article-journal","abstract":"Background/Objectives: Suicide accounts for 1.4% of global deaths, and the slow-acting nature of traditional treatments for suicide risk underscores the  need for alternatives. Psychedelic therapies may rapidly reduce suicide risk.  This systematic review evaluates impact of psychedelic therapies on  suicide-related outcomes. Methods: A systematic search of MEDLINE, Embase,  PsycINFO, and ClinicalTrials.gov was conducted up to November 2024. Results: Four  randomized controlled trials (RCTs) evaluated suicidality as a secondary outcome  or safety measure, showing significant reductions in suicidal ideation with  psilocybin (three studies) and MDMA-assisted therapy (MDMA-AT; one study). Effect  sizes, measured by Cohen's d, ranged from =0.52 to 1.25 (p = 0.01 to 0.005), with  no safety issues reported. Five additional RCTs assessed suicidality as a safety  measure, showing reductions in suicidal ideation with psilocybin (two studies)  and MDMA-AT (three studies; p = 0.02 to 0.04). Among 24 non-randomized and  cross-sectional studies, results were mixed. Psilocybin (three studies) reduced  suicidal ideation, with odds ratios (OR) of 0.40-0.75. MDMA-AT (five studies in  PTSD patients) had a pooled effect size of d = 0.61 (95% CI: 0.32-0.89). LSD (six  studies) showed increased odds of suicidality, with odds ratios ranging from 1.15  to 2.08. Studies involving DMT (two studies) and multiple psychedelics (three  studies) showed mixed results, with DMT studies not showing significant effects  on suicidality and studies involving multiple psychedelics showing varying  outcomes, some reporting reductions in suicidal ideation and others showing no  significant change. Conclusions: The effect of psychedelic therapies on  suicide-related outcomes remains inconclusive, highlighting the need for further  trials to clarify safety and therapeutic mechanisms.","container-title":"Journal of clinical medicine","DOI":"10.3390/jcm14051416","ISSN":"2077-0383","issue":"5","journalAbbreviation":"J Clin Med","language":"eng","note":"publisher-place: Switzerland","PMID":"40094838","PMCID":"PMC11900607","title":"Psychedelics and Suicide-Related Outcomes: A Systematic Review.","volume":"14","author":[{"family":"Meshkat","given":"Shakila"},{"family":"Malik","given":"Taha"},{"family":"Zeifman","given":"Richard"},{"family":"Swainson","given":"Jennifer"},{"family":"Zhang","given":"Yanbo"},{"family":"Burback","given":"Lisa"},{"family":"Winkler","given":"Olga"},{"family":"Greenshaw","given":"Andrew J."},{"family":"Claire Reichelt","given":"Amy"},{"family":"Vermetten","given":"Eric"},{"family":"Erritzoe","given":"David"},{"family":"Jha","given":"Manish K."},{"family":"Dunn","given":"Walter"},{"family":"Jetly","given":"Rakesh"},{"family":"Husain","given":"Muhammad Ishrat"},{"family":"Bhat","given":"Venkat"}],"issued":{"date-parts":[["2025",2,20]]}}}],"schema":"https://github.com/citation-style-language/schema/raw/master/csl-citation.json"} </w:instrText>
      </w:r>
      <w:r w:rsidR="003D39F1">
        <w:rPr>
          <w:lang w:val="en-US"/>
        </w:rPr>
        <w:fldChar w:fldCharType="separate"/>
      </w:r>
      <w:r w:rsidR="003D39F1">
        <w:rPr>
          <w:noProof/>
          <w:lang w:val="en-US"/>
        </w:rPr>
        <w:t>(Meshkat et al., 2025)</w:t>
      </w:r>
      <w:r w:rsidR="003D39F1">
        <w:rPr>
          <w:lang w:val="en-US"/>
        </w:rPr>
        <w:fldChar w:fldCharType="end"/>
      </w:r>
      <w:r w:rsidR="003D39F1">
        <w:rPr>
          <w:lang w:val="en-US"/>
        </w:rPr>
        <w:t>.</w:t>
      </w:r>
      <w:r w:rsidRPr="00CD0DB3">
        <w:rPr>
          <w:lang w:val="en-US"/>
        </w:rPr>
        <w:t xml:space="preserve"> Nevertheless, the finding underscores the importance of rigorous psychiatric screening and close monitoring during dosing sessions.</w:t>
      </w:r>
    </w:p>
    <w:p w14:paraId="03AFF330" w14:textId="77777777" w:rsidR="00FC19AC" w:rsidRPr="00CD0DB3" w:rsidRDefault="00FC19AC" w:rsidP="00FC19AC">
      <w:pPr>
        <w:pStyle w:val="p3"/>
        <w:spacing w:before="0" w:beforeAutospacing="0" w:after="0" w:afterAutospacing="0" w:line="360" w:lineRule="auto"/>
        <w:rPr>
          <w:lang w:val="en-US"/>
        </w:rPr>
      </w:pPr>
    </w:p>
    <w:p w14:paraId="546B0820" w14:textId="3E633DEA" w:rsidR="00C43C8F" w:rsidRPr="00CD0DB3" w:rsidRDefault="00C43C8F" w:rsidP="00FC19AC">
      <w:pPr>
        <w:pStyle w:val="Titre3"/>
        <w:spacing w:before="0" w:after="0"/>
        <w:rPr>
          <w:lang w:val="en-US"/>
        </w:rPr>
      </w:pPr>
      <w:r w:rsidRPr="00CD0DB3">
        <w:rPr>
          <w:lang w:val="en-US"/>
        </w:rPr>
        <w:t>4.4 Clinical implications</w:t>
      </w:r>
    </w:p>
    <w:p w14:paraId="78144626" w14:textId="13D28D10" w:rsidR="00FC19AC" w:rsidRPr="00FC19AC" w:rsidRDefault="00FC19AC" w:rsidP="00FC19AC">
      <w:pPr>
        <w:spacing w:line="360" w:lineRule="auto"/>
        <w:rPr>
          <w:lang w:val="en-US" w:eastAsia="en-US"/>
        </w:rPr>
      </w:pPr>
      <w:r w:rsidRPr="00FC19AC">
        <w:rPr>
          <w:lang w:val="en-US" w:eastAsia="en-US"/>
        </w:rPr>
        <w:t>These findings support a personalized approach to psychedelic-assisted therapy that explicitly distinguishes between molecule selection and dose optimization. Molecule choice</w:t>
      </w:r>
      <w:r w:rsidR="009F20C0">
        <w:rPr>
          <w:lang w:val="en-US" w:eastAsia="en-US"/>
        </w:rPr>
        <w:t>, in addition to the evidence behind their differential efficacy across different disorders,</w:t>
      </w:r>
      <w:r w:rsidRPr="00FC19AC">
        <w:rPr>
          <w:lang w:val="en-US" w:eastAsia="en-US"/>
        </w:rPr>
        <w:t xml:space="preserve"> should primarily be guided by the characteristic adverse event profiles identified in pooled analyses, including perceptual, affective, autonomic, and somatic risks that differ markedly between LSD, MDMA, and psilocybin. Dose optimization, by contrast, should focus on managing the intensity of global AE burden during the acute session, particularly for somatic and autonomic effects, rather than attempting to modulate specific psychological adverse events. </w:t>
      </w:r>
      <w:commentRangeStart w:id="56"/>
      <w:r w:rsidRPr="00FC19AC">
        <w:rPr>
          <w:lang w:val="en-US" w:eastAsia="en-US"/>
        </w:rPr>
        <w:t>Follow-up adverse events, which often occur independently of dose scaling, underscore the importance of tailored post-session monitoring and support strategies.</w:t>
      </w:r>
      <w:r>
        <w:rPr>
          <w:lang w:val="en-US" w:eastAsia="en-US"/>
        </w:rPr>
        <w:t xml:space="preserve"> </w:t>
      </w:r>
      <w:commentRangeEnd w:id="56"/>
      <w:r w:rsidR="003828BA" w:rsidRPr="00FC19AC">
        <w:rPr>
          <w:rStyle w:val="Marquedecommentaire"/>
          <w:sz w:val="24"/>
          <w:szCs w:val="24"/>
          <w:lang w:val="en-US" w:eastAsia="en-US"/>
        </w:rPr>
        <w:commentReference w:id="56"/>
      </w:r>
      <w:r w:rsidRPr="00FC19AC">
        <w:rPr>
          <w:lang w:val="en-US" w:eastAsia="en-US"/>
        </w:rPr>
        <w:t>Taken together, these results suggest that aligning molecule selection with patient-specific vulnerabilities and comorbidities, while adjusting dose to balance therapeutic engagement against acute physiological burden, may offer a rational framework for optimizing both safety and tolerability.</w:t>
      </w:r>
    </w:p>
    <w:p w14:paraId="539584BA" w14:textId="77777777" w:rsidR="00FC19AC" w:rsidRDefault="00FC19AC" w:rsidP="00FC19AC">
      <w:pPr>
        <w:pStyle w:val="Titre2"/>
        <w:spacing w:before="0" w:after="0"/>
        <w:rPr>
          <w:b w:val="0"/>
          <w:bCs w:val="0"/>
          <w:lang w:val="en-US"/>
        </w:rPr>
      </w:pPr>
    </w:p>
    <w:p w14:paraId="77EC365C" w14:textId="3DAA9150" w:rsidR="00FC19AC" w:rsidRDefault="00C43C8F" w:rsidP="00FC19AC">
      <w:pPr>
        <w:pStyle w:val="Titre2"/>
        <w:spacing w:before="0" w:after="0"/>
        <w:rPr>
          <w:b w:val="0"/>
          <w:bCs w:val="0"/>
          <w:lang w:val="en-US"/>
        </w:rPr>
      </w:pPr>
      <w:r w:rsidRPr="00CD0DB3">
        <w:rPr>
          <w:b w:val="0"/>
          <w:bCs w:val="0"/>
          <w:lang w:val="en-US"/>
        </w:rPr>
        <w:t>4.5 Strengths and limitations</w:t>
      </w:r>
    </w:p>
    <w:p w14:paraId="534EC60D" w14:textId="7D97666E" w:rsidR="00D67C28" w:rsidRPr="00FC19AC" w:rsidRDefault="000E1D82" w:rsidP="00FC19AC">
      <w:pPr>
        <w:spacing w:line="360" w:lineRule="auto"/>
        <w:rPr>
          <w:lang w:val="en-US"/>
        </w:rPr>
      </w:pPr>
      <w:r w:rsidRPr="00FC19AC">
        <w:rPr>
          <w:lang w:val="en-US"/>
        </w:rPr>
        <w:t>Strengths of this study include its cross-substance design, the use of harmonized adverse event (AE) terminology, and the explicit modeling of both dose–response relationships and temporal dynamics. However, several limitations should be acknowledged. Notably, we observed a divergence between dose–response analyses and pooled drug–placebo odds ratios across substances. Specifically, some AEs exhibited significant pooled odds ratios in the absence of a detectable dose gradient, a pattern consistent with threshold-type effects that emerge once psychedelic exposure occurs. Conversely, other AEs showed significant dose–response slopes but non-significant pooled contrasts, likely reflecting a concentration of events at higher doses with dilution effects introduced by low-dose arms in pooled analyses. These findings underscore the complementary nature of the two analytical approaches: pooled odds ratios capture categorical drug effects within defined time windows, whereas dose–response models characterize how AE risk scales with increasing exposure. Additional limitations include limited dose variability for certain compounds, sparse AE-specific contrasts, heterogeneity in AE reporting, and restricted follow-up duration</w:t>
      </w:r>
      <w:r w:rsidR="00E42CCF">
        <w:rPr>
          <w:lang w:val="en-US"/>
        </w:rPr>
        <w:t xml:space="preserve">, </w:t>
      </w:r>
      <w:r w:rsidRPr="00FC19AC">
        <w:rPr>
          <w:lang w:val="en-US"/>
        </w:rPr>
        <w:t>particularly for psilocybin. Finally, because included trials enrolled highly screened participants, real-world AE incidence may be underestimated, highlighting the need for longer-term and post-trial surveillance to better characterize rare or delayed adverse outcomes.</w:t>
      </w:r>
      <w:bookmarkStart w:id="57" w:name="_yzbantab6026" w:colFirst="0" w:colLast="0"/>
      <w:bookmarkEnd w:id="57"/>
    </w:p>
    <w:p w14:paraId="0D17F80E" w14:textId="77777777" w:rsidR="00D67C28" w:rsidRDefault="00D67C28" w:rsidP="004A7671">
      <w:pPr>
        <w:pStyle w:val="Titre2"/>
        <w:spacing w:before="0" w:after="0" w:line="480" w:lineRule="auto"/>
        <w:rPr>
          <w:lang w:val="en-US"/>
        </w:rPr>
      </w:pPr>
    </w:p>
    <w:p w14:paraId="6451DA39" w14:textId="3C00FDDE" w:rsidR="000829E4" w:rsidRPr="007A17FC" w:rsidRDefault="00542108" w:rsidP="00CD0DB3">
      <w:pPr>
        <w:pStyle w:val="Titre2"/>
        <w:spacing w:before="0" w:after="0" w:line="480" w:lineRule="auto"/>
        <w:rPr>
          <w:lang w:val="en-US"/>
        </w:rPr>
      </w:pPr>
      <w:r w:rsidRPr="007A17FC">
        <w:rPr>
          <w:lang w:val="en-US"/>
        </w:rPr>
        <w:t>5. Declarations</w:t>
      </w:r>
    </w:p>
    <w:p w14:paraId="332D9E7D" w14:textId="77777777" w:rsidR="000829E4" w:rsidRPr="007A17FC" w:rsidRDefault="00542108" w:rsidP="00CD0DB3">
      <w:pPr>
        <w:pStyle w:val="Titre3"/>
        <w:spacing w:before="0" w:after="0" w:line="480" w:lineRule="auto"/>
        <w:rPr>
          <w:lang w:val="en-US"/>
        </w:rPr>
      </w:pPr>
      <w:bookmarkStart w:id="58" w:name="_gq70ek6qqr1e" w:colFirst="0" w:colLast="0"/>
      <w:bookmarkEnd w:id="58"/>
      <w:r w:rsidRPr="007A17FC">
        <w:rPr>
          <w:lang w:val="en-US"/>
        </w:rPr>
        <w:t>5.1. Funding</w:t>
      </w:r>
    </w:p>
    <w:p w14:paraId="7825FCD2" w14:textId="77777777" w:rsidR="000829E4" w:rsidRPr="007A17FC" w:rsidRDefault="00542108" w:rsidP="00CD0DB3">
      <w:pPr>
        <w:spacing w:line="480" w:lineRule="auto"/>
        <w:rPr>
          <w:lang w:val="en-US"/>
        </w:rPr>
      </w:pPr>
      <w:r w:rsidRPr="007A17FC">
        <w:rPr>
          <w:lang w:val="en-US"/>
        </w:rPr>
        <w:t>M.E. is supported by a fellowship from Fireside Project.</w:t>
      </w:r>
    </w:p>
    <w:p w14:paraId="6460F534" w14:textId="77777777" w:rsidR="000829E4" w:rsidRPr="007A17FC" w:rsidRDefault="00542108" w:rsidP="00CD0DB3">
      <w:pPr>
        <w:spacing w:line="480" w:lineRule="auto"/>
        <w:rPr>
          <w:lang w:val="en-US"/>
        </w:rPr>
      </w:pPr>
      <w:r w:rsidRPr="007A17FC">
        <w:rPr>
          <w:highlight w:val="yellow"/>
          <w:lang w:val="en-US"/>
        </w:rPr>
        <w:t>Other authors to be completed.</w:t>
      </w:r>
    </w:p>
    <w:p w14:paraId="76ABC1E6" w14:textId="77777777" w:rsidR="000829E4" w:rsidRPr="007A17FC" w:rsidRDefault="00542108" w:rsidP="00CD0DB3">
      <w:pPr>
        <w:pStyle w:val="Titre3"/>
        <w:spacing w:before="0" w:after="0" w:line="480" w:lineRule="auto"/>
        <w:rPr>
          <w:lang w:val="en-US"/>
        </w:rPr>
      </w:pPr>
      <w:bookmarkStart w:id="59" w:name="_6vym7nb4mv53" w:colFirst="0" w:colLast="0"/>
      <w:bookmarkEnd w:id="59"/>
      <w:r w:rsidRPr="007A17FC">
        <w:rPr>
          <w:lang w:val="en-US"/>
        </w:rPr>
        <w:t>5.2. Conflicts of Interest / Declaration of Competing Interests</w:t>
      </w:r>
    </w:p>
    <w:p w14:paraId="363A97FB" w14:textId="77777777" w:rsidR="000829E4" w:rsidRPr="007A17FC" w:rsidRDefault="00542108" w:rsidP="00CD0DB3">
      <w:pPr>
        <w:spacing w:line="480" w:lineRule="auto"/>
        <w:rPr>
          <w:lang w:val="en-US"/>
        </w:rPr>
      </w:pPr>
      <w:r w:rsidRPr="007A17FC">
        <w:rPr>
          <w:lang w:val="en-US"/>
        </w:rPr>
        <w:t xml:space="preserve">F.S. is co-founder of </w:t>
      </w:r>
      <w:proofErr w:type="spellStart"/>
      <w:r w:rsidRPr="007A17FC">
        <w:rPr>
          <w:lang w:val="en-US"/>
        </w:rPr>
        <w:t>BeSound</w:t>
      </w:r>
      <w:proofErr w:type="spellEnd"/>
      <w:r w:rsidRPr="007A17FC">
        <w:rPr>
          <w:lang w:val="en-US"/>
        </w:rPr>
        <w:t xml:space="preserve"> SAS, Nested Minds LTD, and </w:t>
      </w:r>
      <w:proofErr w:type="spellStart"/>
      <w:r w:rsidRPr="007A17FC">
        <w:rPr>
          <w:lang w:val="en-US"/>
        </w:rPr>
        <w:t>ReWire</w:t>
      </w:r>
      <w:proofErr w:type="spellEnd"/>
      <w:r w:rsidRPr="007A17FC">
        <w:rPr>
          <w:lang w:val="en-US"/>
        </w:rPr>
        <w:t xml:space="preserve"> </w:t>
      </w:r>
      <w:proofErr w:type="spellStart"/>
      <w:r w:rsidRPr="007A17FC">
        <w:rPr>
          <w:lang w:val="en-US"/>
        </w:rPr>
        <w:t>Neurotechnologies</w:t>
      </w:r>
      <w:proofErr w:type="spellEnd"/>
      <w:r w:rsidRPr="007A17FC">
        <w:rPr>
          <w:lang w:val="en-US"/>
        </w:rPr>
        <w:t xml:space="preserve"> Inc., holds ownership shares, and has received compensation from these companies. In the past years, </w:t>
      </w:r>
      <w:r w:rsidRPr="007A17FC">
        <w:rPr>
          <w:lang w:val="en-US"/>
        </w:rPr>
        <w:lastRenderedPageBreak/>
        <w:t xml:space="preserve">his work has been funded by the European Commission, Joy Ventures, Tiny Blue Dot Foundation, Mordechai Walder Foundation, and the French Ministry of Armed Forces (AID). </w:t>
      </w:r>
    </w:p>
    <w:p w14:paraId="00E542BE" w14:textId="77777777" w:rsidR="000829E4" w:rsidRPr="007A17FC" w:rsidRDefault="00542108" w:rsidP="00CD0DB3">
      <w:pPr>
        <w:spacing w:line="480" w:lineRule="auto"/>
        <w:rPr>
          <w:lang w:val="en-US"/>
        </w:rPr>
      </w:pPr>
      <w:r w:rsidRPr="007A17FC">
        <w:rPr>
          <w:highlight w:val="yellow"/>
          <w:lang w:val="en-US"/>
        </w:rPr>
        <w:t>Other authors to be completed.</w:t>
      </w:r>
    </w:p>
    <w:p w14:paraId="763E1C3B" w14:textId="77777777" w:rsidR="000829E4" w:rsidRPr="007A17FC" w:rsidRDefault="00542108" w:rsidP="00CD0DB3">
      <w:pPr>
        <w:pStyle w:val="Titre3"/>
        <w:spacing w:before="0" w:after="0" w:line="480" w:lineRule="auto"/>
        <w:rPr>
          <w:lang w:val="en-US"/>
        </w:rPr>
      </w:pPr>
      <w:bookmarkStart w:id="60" w:name="_sku5ssk2njjb" w:colFirst="0" w:colLast="0"/>
      <w:bookmarkEnd w:id="60"/>
      <w:r w:rsidRPr="007A17FC">
        <w:rPr>
          <w:lang w:val="en-US"/>
        </w:rPr>
        <w:t>5.3. Ethics Approval</w:t>
      </w:r>
    </w:p>
    <w:p w14:paraId="47CDFFE4" w14:textId="77777777" w:rsidR="000829E4" w:rsidRPr="007A17FC" w:rsidRDefault="00542108" w:rsidP="00CD0DB3">
      <w:pPr>
        <w:spacing w:line="480" w:lineRule="auto"/>
        <w:rPr>
          <w:lang w:val="en-US"/>
        </w:rPr>
      </w:pPr>
      <w:r w:rsidRPr="007A17FC">
        <w:rPr>
          <w:lang w:val="en-US"/>
        </w:rPr>
        <w:t>Not applicable for this meta-analysis?</w:t>
      </w:r>
    </w:p>
    <w:p w14:paraId="44DEA7F8" w14:textId="77777777" w:rsidR="000829E4" w:rsidRPr="007A17FC" w:rsidRDefault="00542108" w:rsidP="00CD0DB3">
      <w:pPr>
        <w:pStyle w:val="Titre3"/>
        <w:spacing w:before="0" w:after="0" w:line="480" w:lineRule="auto"/>
        <w:rPr>
          <w:lang w:val="en-US"/>
        </w:rPr>
      </w:pPr>
      <w:bookmarkStart w:id="61" w:name="_hq444kjn02n1" w:colFirst="0" w:colLast="0"/>
      <w:bookmarkEnd w:id="61"/>
      <w:r w:rsidRPr="007A17FC">
        <w:rPr>
          <w:lang w:val="en-US"/>
        </w:rPr>
        <w:t>5.4. Data Availability Statement</w:t>
      </w:r>
    </w:p>
    <w:p w14:paraId="2CDE9C47" w14:textId="77777777" w:rsidR="000829E4" w:rsidRPr="007A17FC" w:rsidRDefault="00542108" w:rsidP="00CD0DB3">
      <w:pPr>
        <w:spacing w:line="480" w:lineRule="auto"/>
        <w:rPr>
          <w:lang w:val="en-US"/>
        </w:rPr>
      </w:pPr>
      <w:r w:rsidRPr="007A17FC">
        <w:rPr>
          <w:lang w:val="en-US"/>
        </w:rPr>
        <w:t xml:space="preserve">All analysis code, data extraction templates, and figure-generation scripts used in this study are openly available at the project’s GitHub repository: \url{https://github.com/mickaeleskinazi/metaanalysis-psychedelics}. The repository includes harmonized datasets, preprocessing pipelines, statistical models (meta-analysis, dose–response modeling), and LaTeX export utilities. Raw trial-level data were derived from publicly available clinical publications and supplementary </w:t>
      </w:r>
      <w:proofErr w:type="gramStart"/>
      <w:r w:rsidRPr="007A17FC">
        <w:rPr>
          <w:lang w:val="en-US"/>
        </w:rPr>
        <w:t>materials, and</w:t>
      </w:r>
      <w:proofErr w:type="gramEnd"/>
      <w:r w:rsidRPr="007A17FC">
        <w:rPr>
          <w:lang w:val="en-US"/>
        </w:rPr>
        <w:t xml:space="preserve"> are available in structured format (CSV/XLSX) in the repository's \</w:t>
      </w:r>
      <w:proofErr w:type="spellStart"/>
      <w:r w:rsidRPr="007A17FC">
        <w:rPr>
          <w:lang w:val="en-US"/>
        </w:rPr>
        <w:t>texttt</w:t>
      </w:r>
      <w:proofErr w:type="spellEnd"/>
      <w:r w:rsidRPr="007A17FC">
        <w:rPr>
          <w:lang w:val="en-US"/>
        </w:rPr>
        <w:t>{data/} directory.</w:t>
      </w:r>
    </w:p>
    <w:p w14:paraId="731E18B2" w14:textId="77777777" w:rsidR="000829E4" w:rsidRPr="007A17FC" w:rsidRDefault="00542108" w:rsidP="00CD0DB3">
      <w:pPr>
        <w:spacing w:line="480" w:lineRule="auto"/>
        <w:rPr>
          <w:lang w:val="en-US"/>
        </w:rPr>
      </w:pPr>
      <w:r w:rsidRPr="007A17FC">
        <w:rPr>
          <w:lang w:val="en-US"/>
        </w:rPr>
        <w:t>Researchers and clinicians are encouraged to consult or reuse the codebase to replicate, extend, or adapt the methodology for related applications. All scripts are written in R (v4.3+) and use standard open-source packages. For transparency and reproducibility, each figure and table in the manuscript can be traced to a corresponding R script in the \</w:t>
      </w:r>
      <w:proofErr w:type="spellStart"/>
      <w:r w:rsidRPr="007A17FC">
        <w:rPr>
          <w:lang w:val="en-US"/>
        </w:rPr>
        <w:t>texttt</w:t>
      </w:r>
      <w:proofErr w:type="spellEnd"/>
      <w:r w:rsidRPr="007A17FC">
        <w:rPr>
          <w:lang w:val="en-US"/>
        </w:rPr>
        <w:t>{scripts/} or \</w:t>
      </w:r>
      <w:proofErr w:type="spellStart"/>
      <w:r w:rsidRPr="007A17FC">
        <w:rPr>
          <w:lang w:val="en-US"/>
        </w:rPr>
        <w:t>texttt</w:t>
      </w:r>
      <w:proofErr w:type="spellEnd"/>
      <w:r w:rsidRPr="007A17FC">
        <w:rPr>
          <w:lang w:val="en-US"/>
        </w:rPr>
        <w:t>{results/} directories.</w:t>
      </w:r>
    </w:p>
    <w:p w14:paraId="64A65AC0" w14:textId="77777777" w:rsidR="000829E4" w:rsidRPr="007A17FC" w:rsidRDefault="00542108">
      <w:pPr>
        <w:rPr>
          <w:lang w:val="en-US"/>
        </w:rPr>
      </w:pPr>
      <w:r w:rsidRPr="007A17FC">
        <w:rPr>
          <w:lang w:val="en-US"/>
        </w:rPr>
        <w:t>The repository is maintained under a CC-BY 4.0 license.</w:t>
      </w:r>
    </w:p>
    <w:p w14:paraId="5CF45BC7" w14:textId="77777777" w:rsidR="000829E4" w:rsidRPr="007A17FC" w:rsidRDefault="00542108">
      <w:pPr>
        <w:pStyle w:val="Titre3"/>
        <w:rPr>
          <w:lang w:val="en-US"/>
        </w:rPr>
      </w:pPr>
      <w:bookmarkStart w:id="62" w:name="_g6sby5s8m278" w:colFirst="0" w:colLast="0"/>
      <w:bookmarkEnd w:id="62"/>
      <w:r w:rsidRPr="007A17FC">
        <w:rPr>
          <w:lang w:val="en-US"/>
        </w:rPr>
        <w:t>5.5. Author Contributions</w:t>
      </w:r>
    </w:p>
    <w:p w14:paraId="2571CDF1" w14:textId="77777777" w:rsidR="000829E4" w:rsidRPr="007A17FC" w:rsidRDefault="00542108">
      <w:pPr>
        <w:rPr>
          <w:lang w:val="en-US"/>
        </w:rPr>
      </w:pPr>
      <w:r w:rsidRPr="007A17FC">
        <w:rPr>
          <w:lang w:val="en-US"/>
        </w:rPr>
        <w:t xml:space="preserve">M.E. and </w:t>
      </w:r>
      <w:proofErr w:type="gramStart"/>
      <w:r w:rsidRPr="007A17FC">
        <w:rPr>
          <w:lang w:val="en-US"/>
        </w:rPr>
        <w:t>M.S :</w:t>
      </w:r>
      <w:proofErr w:type="gramEnd"/>
      <w:r w:rsidRPr="007A17FC">
        <w:rPr>
          <w:lang w:val="en-US"/>
        </w:rPr>
        <w:t xml:space="preserve"> Conceptualization, Methodology, Formal Analysis, Data Curation, Writing – Original Draft, Visualization. F.S.: Writing – Review &amp; Editing. </w:t>
      </w:r>
    </w:p>
    <w:p w14:paraId="19F65891" w14:textId="77777777" w:rsidR="000829E4" w:rsidRPr="007A17FC" w:rsidRDefault="00542108">
      <w:pPr>
        <w:rPr>
          <w:highlight w:val="yellow"/>
          <w:lang w:val="en-US"/>
        </w:rPr>
      </w:pPr>
      <w:r w:rsidRPr="007A17FC">
        <w:rPr>
          <w:highlight w:val="yellow"/>
          <w:lang w:val="en-US"/>
        </w:rPr>
        <w:t>Other authors to be completed.</w:t>
      </w:r>
    </w:p>
    <w:p w14:paraId="1AB06721" w14:textId="77777777" w:rsidR="000829E4" w:rsidRPr="007A17FC" w:rsidRDefault="00542108">
      <w:pPr>
        <w:pStyle w:val="Titre3"/>
        <w:rPr>
          <w:lang w:val="en-US"/>
        </w:rPr>
      </w:pPr>
      <w:bookmarkStart w:id="63" w:name="_y8ivilllshji" w:colFirst="0" w:colLast="0"/>
      <w:bookmarkEnd w:id="63"/>
      <w:r w:rsidRPr="007A17FC">
        <w:rPr>
          <w:lang w:val="en-US"/>
        </w:rPr>
        <w:lastRenderedPageBreak/>
        <w:t>5.6. Acknowledgments</w:t>
      </w:r>
    </w:p>
    <w:p w14:paraId="37BB6BFB" w14:textId="06500CDF" w:rsidR="00E42CCF" w:rsidRPr="00E42CCF" w:rsidRDefault="00E42CCF" w:rsidP="00E42CCF">
      <w:pPr>
        <w:rPr>
          <w:b/>
          <w:bCs/>
          <w:lang w:val="en-US"/>
        </w:rPr>
      </w:pPr>
      <w:bookmarkStart w:id="64" w:name="_ywj8guxxhdx6" w:colFirst="0" w:colLast="0"/>
      <w:bookmarkEnd w:id="64"/>
      <w:r w:rsidRPr="00E42CCF">
        <w:rPr>
          <w:b/>
          <w:bCs/>
          <w:lang w:val="en-US"/>
        </w:rPr>
        <w:t>5.7. References</w:t>
      </w:r>
    </w:p>
    <w:p w14:paraId="185F4D71" w14:textId="68F982B8" w:rsidR="00E42CCF" w:rsidRPr="00E42CCF" w:rsidRDefault="00E42CCF" w:rsidP="00E42CCF">
      <w:pPr>
        <w:pStyle w:val="Bibliographie"/>
        <w:rPr>
          <w:sz w:val="28"/>
          <w:lang w:val="en-US" w:eastAsia="en-US"/>
        </w:rPr>
      </w:pPr>
      <w:r>
        <w:rPr>
          <w:b/>
          <w:bCs/>
          <w:sz w:val="28"/>
          <w:szCs w:val="28"/>
          <w:lang w:val="en-US"/>
        </w:rPr>
        <w:fldChar w:fldCharType="begin"/>
      </w:r>
      <w:r>
        <w:rPr>
          <w:b/>
          <w:bCs/>
          <w:sz w:val="28"/>
          <w:szCs w:val="28"/>
          <w:lang w:val="en-US"/>
        </w:rPr>
        <w:instrText xml:space="preserve"> ADDIN ZOTERO_BIBL {"uncited":[],"omitted":[],"custom":[]} CSL_BIBLIOGRAPHY </w:instrText>
      </w:r>
      <w:r>
        <w:rPr>
          <w:b/>
          <w:bCs/>
          <w:sz w:val="28"/>
          <w:szCs w:val="28"/>
          <w:lang w:val="en-US"/>
        </w:rPr>
        <w:fldChar w:fldCharType="separate"/>
      </w:r>
      <w:r w:rsidRPr="00E42CCF">
        <w:rPr>
          <w:sz w:val="28"/>
          <w:lang w:val="en-US" w:eastAsia="en-US"/>
        </w:rPr>
        <w:t xml:space="preserve">Back, A. L., Freeman-Young, T. K., Morgan, L., Sethi, T., Baker, K. K., Myers, S., McGregor, B. A., Harvey, K., Tai, M., Kollefrath, A., Thomas, B. J., Sorta, D., Kaelen, M., Kelmendi, B., &amp; Gooley, T. A. (2024). Psilocybin Therapy for Clinicians With Symptoms of Depression From Frontline Care During the COVID-19 Pandemic : A Randomized Clinical Trial. </w:t>
      </w:r>
      <w:r w:rsidRPr="00E42CCF">
        <w:rPr>
          <w:i/>
          <w:iCs/>
          <w:sz w:val="28"/>
          <w:lang w:val="en-US" w:eastAsia="en-US"/>
        </w:rPr>
        <w:t>JAMA Network Open</w:t>
      </w:r>
      <w:r w:rsidRPr="00E42CCF">
        <w:rPr>
          <w:sz w:val="28"/>
          <w:lang w:val="en-US" w:eastAsia="en-US"/>
        </w:rPr>
        <w:t xml:space="preserve">, </w:t>
      </w:r>
      <w:r w:rsidRPr="00E42CCF">
        <w:rPr>
          <w:i/>
          <w:iCs/>
          <w:sz w:val="28"/>
          <w:lang w:val="en-US" w:eastAsia="en-US"/>
        </w:rPr>
        <w:t>7</w:t>
      </w:r>
      <w:r w:rsidRPr="00E42CCF">
        <w:rPr>
          <w:sz w:val="28"/>
          <w:lang w:val="en-US" w:eastAsia="en-US"/>
        </w:rPr>
        <w:t>(12), e2449026. https://doi.org/10.1001/jamanetworkopen.2024.49026</w:t>
      </w:r>
    </w:p>
    <w:p w14:paraId="1B2A9695" w14:textId="77777777" w:rsidR="00E42CCF" w:rsidRPr="00E42CCF" w:rsidRDefault="00E42CCF" w:rsidP="00E42CCF">
      <w:pPr>
        <w:pStyle w:val="Bibliographie"/>
        <w:rPr>
          <w:sz w:val="28"/>
          <w:lang w:val="en-US" w:eastAsia="en-US"/>
        </w:rPr>
      </w:pPr>
      <w:r w:rsidRPr="00E42CCF">
        <w:rPr>
          <w:sz w:val="28"/>
          <w:lang w:val="en-US" w:eastAsia="en-US"/>
        </w:rPr>
        <w:t xml:space="preserve">Bogenschutz, M. P., Ross, S., Bhatt, S., Baron, T., Forcehimes, A. A., Laska, E., Mennenga, S. E., O’Donnell, K., Owens, L. T., Podrebarac, S., Rotrosen, J., Tonigan, J. S., &amp; Worth, L. (2022). Percentage of Heavy Drinking Days Following Psilocybin-Assisted Psychotherapy vs Placebo in the Treatment of Adult Patients With Alcohol Use Disorder : A Randomized Clinical Trial. </w:t>
      </w:r>
      <w:r w:rsidRPr="00E42CCF">
        <w:rPr>
          <w:i/>
          <w:iCs/>
          <w:sz w:val="28"/>
          <w:lang w:val="en-US" w:eastAsia="en-US"/>
        </w:rPr>
        <w:t>JAMA Psychiatry</w:t>
      </w:r>
      <w:r w:rsidRPr="00E42CCF">
        <w:rPr>
          <w:sz w:val="28"/>
          <w:lang w:val="en-US" w:eastAsia="en-US"/>
        </w:rPr>
        <w:t xml:space="preserve">, </w:t>
      </w:r>
      <w:r w:rsidRPr="00E42CCF">
        <w:rPr>
          <w:i/>
          <w:iCs/>
          <w:sz w:val="28"/>
          <w:lang w:val="en-US" w:eastAsia="en-US"/>
        </w:rPr>
        <w:t>79</w:t>
      </w:r>
      <w:r w:rsidRPr="00E42CCF">
        <w:rPr>
          <w:sz w:val="28"/>
          <w:lang w:val="en-US" w:eastAsia="en-US"/>
        </w:rPr>
        <w:t>(10), 953. https://doi.org/10.1001/jamapsychiatry.2022.2096</w:t>
      </w:r>
    </w:p>
    <w:p w14:paraId="4BDFA440" w14:textId="77777777" w:rsidR="00E42CCF" w:rsidRPr="00E42CCF" w:rsidRDefault="00E42CCF" w:rsidP="00E42CCF">
      <w:pPr>
        <w:pStyle w:val="Bibliographie"/>
        <w:rPr>
          <w:sz w:val="28"/>
          <w:lang w:val="de-CH" w:eastAsia="en-US"/>
        </w:rPr>
      </w:pPr>
      <w:r w:rsidRPr="00E42CCF">
        <w:rPr>
          <w:sz w:val="28"/>
          <w:lang w:val="en-US" w:eastAsia="en-US"/>
        </w:rPr>
        <w:t xml:space="preserve">Bouso, J. C., Doblin, R., Farré, M., Alcázar, M. Á., &amp; Gómez-Jarabo, G. (2008). MDMA-Assisted Psychotherapy Using Low Doses in a Small Sample of Women with Chronic Posttraumatic Stress Disorder. </w:t>
      </w:r>
      <w:r w:rsidRPr="00E42CCF">
        <w:rPr>
          <w:i/>
          <w:iCs/>
          <w:sz w:val="28"/>
          <w:lang w:val="de-CH" w:eastAsia="en-US"/>
        </w:rPr>
        <w:t>Journal of Psychoactive Drugs</w:t>
      </w:r>
      <w:r w:rsidRPr="00E42CCF">
        <w:rPr>
          <w:sz w:val="28"/>
          <w:lang w:val="de-CH" w:eastAsia="en-US"/>
        </w:rPr>
        <w:t xml:space="preserve">, </w:t>
      </w:r>
      <w:r w:rsidRPr="00E42CCF">
        <w:rPr>
          <w:i/>
          <w:iCs/>
          <w:sz w:val="28"/>
          <w:lang w:val="de-CH" w:eastAsia="en-US"/>
        </w:rPr>
        <w:t>40</w:t>
      </w:r>
      <w:r w:rsidRPr="00E42CCF">
        <w:rPr>
          <w:sz w:val="28"/>
          <w:lang w:val="de-CH" w:eastAsia="en-US"/>
        </w:rPr>
        <w:t>(3), 225‑236. https://doi.org/10.1080/02791072.2008.10400637</w:t>
      </w:r>
    </w:p>
    <w:p w14:paraId="5DAD0816" w14:textId="77777777" w:rsidR="00E42CCF" w:rsidRPr="00E42CCF" w:rsidRDefault="00E42CCF" w:rsidP="00E42CCF">
      <w:pPr>
        <w:pStyle w:val="Bibliographie"/>
        <w:rPr>
          <w:sz w:val="28"/>
          <w:lang w:val="de-CH" w:eastAsia="en-US"/>
        </w:rPr>
      </w:pPr>
      <w:r w:rsidRPr="00E42CCF">
        <w:rPr>
          <w:sz w:val="28"/>
          <w:lang w:val="de-CH" w:eastAsia="en-US"/>
        </w:rPr>
        <w:lastRenderedPageBreak/>
        <w:t xml:space="preserve">Breeksema, J. J., Kuin, B. W., Kamphuis, J., van den Brink, W., Vermetten, E., &amp; Schoevers, R. A. (2022). Adverse events in clinical treatments with serotonergic psychedelics and MDMA: A mixed-methods systematic review. </w:t>
      </w:r>
      <w:r w:rsidRPr="00E42CCF">
        <w:rPr>
          <w:i/>
          <w:iCs/>
          <w:sz w:val="28"/>
          <w:lang w:val="de-CH" w:eastAsia="en-US"/>
        </w:rPr>
        <w:t>Journal of Psychopharmacology (Oxford, England)</w:t>
      </w:r>
      <w:r w:rsidRPr="00E42CCF">
        <w:rPr>
          <w:sz w:val="28"/>
          <w:lang w:val="de-CH" w:eastAsia="en-US"/>
        </w:rPr>
        <w:t xml:space="preserve">, </w:t>
      </w:r>
      <w:r w:rsidRPr="00E42CCF">
        <w:rPr>
          <w:i/>
          <w:iCs/>
          <w:sz w:val="28"/>
          <w:lang w:val="de-CH" w:eastAsia="en-US"/>
        </w:rPr>
        <w:t>36</w:t>
      </w:r>
      <w:r w:rsidRPr="00E42CCF">
        <w:rPr>
          <w:sz w:val="28"/>
          <w:lang w:val="de-CH" w:eastAsia="en-US"/>
        </w:rPr>
        <w:t>(10), 1100‑1117. https://doi.org/10.1177/02698811221116926</w:t>
      </w:r>
    </w:p>
    <w:p w14:paraId="521C0FDA" w14:textId="77777777" w:rsidR="00E42CCF" w:rsidRPr="00E42CCF" w:rsidRDefault="00E42CCF" w:rsidP="00E42CCF">
      <w:pPr>
        <w:pStyle w:val="Bibliographie"/>
        <w:rPr>
          <w:sz w:val="28"/>
          <w:lang w:val="de-CH" w:eastAsia="en-US"/>
        </w:rPr>
      </w:pPr>
      <w:r w:rsidRPr="00E42CCF">
        <w:rPr>
          <w:sz w:val="28"/>
          <w:lang w:val="de-CH" w:eastAsia="en-US"/>
        </w:rPr>
        <w:t xml:space="preserve">Carhart-Harris, R., Giribaldi, B., Watts, R., Baker-Jones, M., Murphy-Beiner, A., Murphy, R., Martell, J., Blemings, A., Erritzoe, D., &amp; Nutt, D. J. (2021). Trial of Psilocybin versus Escitalopram for Depression. </w:t>
      </w:r>
      <w:r w:rsidRPr="00E42CCF">
        <w:rPr>
          <w:i/>
          <w:iCs/>
          <w:sz w:val="28"/>
          <w:lang w:val="de-CH" w:eastAsia="en-US"/>
        </w:rPr>
        <w:t>The New England Journal of Medicine</w:t>
      </w:r>
      <w:r w:rsidRPr="00E42CCF">
        <w:rPr>
          <w:sz w:val="28"/>
          <w:lang w:val="de-CH" w:eastAsia="en-US"/>
        </w:rPr>
        <w:t xml:space="preserve">, </w:t>
      </w:r>
      <w:r w:rsidRPr="00E42CCF">
        <w:rPr>
          <w:i/>
          <w:iCs/>
          <w:sz w:val="28"/>
          <w:lang w:val="de-CH" w:eastAsia="en-US"/>
        </w:rPr>
        <w:t>384</w:t>
      </w:r>
      <w:r w:rsidRPr="00E42CCF">
        <w:rPr>
          <w:sz w:val="28"/>
          <w:lang w:val="de-CH" w:eastAsia="en-US"/>
        </w:rPr>
        <w:t>(15), 1402‑1411. https://doi.org/10.1056/NEJMoa2032994</w:t>
      </w:r>
    </w:p>
    <w:p w14:paraId="19991290" w14:textId="77777777" w:rsidR="00E42CCF" w:rsidRPr="00E42CCF" w:rsidRDefault="00E42CCF" w:rsidP="00E42CCF">
      <w:pPr>
        <w:pStyle w:val="Bibliographie"/>
        <w:rPr>
          <w:sz w:val="28"/>
          <w:lang w:val="de-CH" w:eastAsia="en-US"/>
        </w:rPr>
      </w:pPr>
      <w:r w:rsidRPr="00E42CCF">
        <w:rPr>
          <w:sz w:val="28"/>
          <w:lang w:val="de-CH" w:eastAsia="en-US"/>
        </w:rPr>
        <w:t xml:space="preserve">Carhart-Harris, R. L., Bolstridge, M., Rucker, J., Day, C. M. J., Erritzoe, D., Kaelen, M., Bloomfield, M., Rickard, J. A., Forbes, B., Feilding, A., Taylor, D., Pilling, S., Curran, V. H., &amp; Nutt, D. J. (2016). Psilocybin with psychological support for treatment-resistant depression : An open-label feasibility study. </w:t>
      </w:r>
      <w:r w:rsidRPr="00E42CCF">
        <w:rPr>
          <w:i/>
          <w:iCs/>
          <w:sz w:val="28"/>
          <w:lang w:val="de-CH" w:eastAsia="en-US"/>
        </w:rPr>
        <w:t>The Lancet. Psychiatry</w:t>
      </w:r>
      <w:r w:rsidRPr="00E42CCF">
        <w:rPr>
          <w:sz w:val="28"/>
          <w:lang w:val="de-CH" w:eastAsia="en-US"/>
        </w:rPr>
        <w:t xml:space="preserve">, </w:t>
      </w:r>
      <w:r w:rsidRPr="00E42CCF">
        <w:rPr>
          <w:i/>
          <w:iCs/>
          <w:sz w:val="28"/>
          <w:lang w:val="de-CH" w:eastAsia="en-US"/>
        </w:rPr>
        <w:t>3</w:t>
      </w:r>
      <w:r w:rsidRPr="00E42CCF">
        <w:rPr>
          <w:sz w:val="28"/>
          <w:lang w:val="de-CH" w:eastAsia="en-US"/>
        </w:rPr>
        <w:t>(7), 619‑627. https://doi.org/10.1016/S2215-0366(16)30065-7</w:t>
      </w:r>
    </w:p>
    <w:p w14:paraId="2069D52A" w14:textId="77777777" w:rsidR="00E42CCF" w:rsidRPr="00E42CCF" w:rsidRDefault="00E42CCF" w:rsidP="00E42CCF">
      <w:pPr>
        <w:pStyle w:val="Bibliographie"/>
        <w:rPr>
          <w:sz w:val="28"/>
          <w:lang w:val="fr-FR" w:eastAsia="en-US"/>
        </w:rPr>
      </w:pPr>
      <w:r w:rsidRPr="00E42CCF">
        <w:rPr>
          <w:sz w:val="28"/>
          <w:lang w:val="de-CH" w:eastAsia="en-US"/>
        </w:rPr>
        <w:t xml:space="preserve">Carhart-Harris, R. L., &amp; Friston, K. J. (2019). </w:t>
      </w:r>
      <w:r w:rsidRPr="00E42CCF">
        <w:rPr>
          <w:sz w:val="28"/>
          <w:lang w:val="fr-FR" w:eastAsia="en-US"/>
        </w:rPr>
        <w:t xml:space="preserve">REBUS and the Anarchic Brain : Toward a Unified Model of the Brain Action of Psychedelics. </w:t>
      </w:r>
      <w:r w:rsidRPr="00E42CCF">
        <w:rPr>
          <w:i/>
          <w:iCs/>
          <w:sz w:val="28"/>
          <w:lang w:val="fr-FR" w:eastAsia="en-US"/>
        </w:rPr>
        <w:t>Pharmacological Reviews</w:t>
      </w:r>
      <w:r w:rsidRPr="00E42CCF">
        <w:rPr>
          <w:sz w:val="28"/>
          <w:lang w:val="fr-FR" w:eastAsia="en-US"/>
        </w:rPr>
        <w:t xml:space="preserve">, </w:t>
      </w:r>
      <w:r w:rsidRPr="00E42CCF">
        <w:rPr>
          <w:i/>
          <w:iCs/>
          <w:sz w:val="28"/>
          <w:lang w:val="fr-FR" w:eastAsia="en-US"/>
        </w:rPr>
        <w:t>71</w:t>
      </w:r>
      <w:r w:rsidRPr="00E42CCF">
        <w:rPr>
          <w:sz w:val="28"/>
          <w:lang w:val="fr-FR" w:eastAsia="en-US"/>
        </w:rPr>
        <w:t>(3), 316‑344. https://doi.org/10.1124/pr.118.017160</w:t>
      </w:r>
    </w:p>
    <w:p w14:paraId="17235E3D" w14:textId="77777777" w:rsidR="00E42CCF" w:rsidRPr="00E42CCF" w:rsidRDefault="00E42CCF" w:rsidP="00E42CCF">
      <w:pPr>
        <w:pStyle w:val="Bibliographie"/>
        <w:rPr>
          <w:sz w:val="28"/>
          <w:lang w:val="fr-FR" w:eastAsia="en-US"/>
        </w:rPr>
      </w:pPr>
      <w:r w:rsidRPr="00E42CCF">
        <w:rPr>
          <w:sz w:val="28"/>
          <w:lang w:val="fr-FR" w:eastAsia="en-US"/>
        </w:rPr>
        <w:lastRenderedPageBreak/>
        <w:t xml:space="preserve">Colcott, J., Guerin, A. A., Carter, O., Meikle, S., &amp; Bedi, G. (2024). Side-effects of mdma-assisted psychotherapy : A systematic review and meta-analysis. </w:t>
      </w:r>
      <w:r w:rsidRPr="00E42CCF">
        <w:rPr>
          <w:i/>
          <w:iCs/>
          <w:sz w:val="28"/>
          <w:lang w:val="fr-FR" w:eastAsia="en-US"/>
        </w:rPr>
        <w:t>Neuropsychopharmacology : Official Publication of the American College of Neuropsychopharmacology</w:t>
      </w:r>
      <w:r w:rsidRPr="00E42CCF">
        <w:rPr>
          <w:sz w:val="28"/>
          <w:lang w:val="fr-FR" w:eastAsia="en-US"/>
        </w:rPr>
        <w:t xml:space="preserve">, </w:t>
      </w:r>
      <w:r w:rsidRPr="00E42CCF">
        <w:rPr>
          <w:i/>
          <w:iCs/>
          <w:sz w:val="28"/>
          <w:lang w:val="fr-FR" w:eastAsia="en-US"/>
        </w:rPr>
        <w:t>49</w:t>
      </w:r>
      <w:r w:rsidRPr="00E42CCF">
        <w:rPr>
          <w:sz w:val="28"/>
          <w:lang w:val="fr-FR" w:eastAsia="en-US"/>
        </w:rPr>
        <w:t>(8), 1208‑1226. https://doi.org/10.1038/s41386-024-01865-8</w:t>
      </w:r>
    </w:p>
    <w:p w14:paraId="42E3038E" w14:textId="77777777" w:rsidR="00E42CCF" w:rsidRPr="00E42CCF" w:rsidRDefault="00E42CCF" w:rsidP="00E42CCF">
      <w:pPr>
        <w:pStyle w:val="Bibliographie"/>
        <w:rPr>
          <w:sz w:val="28"/>
          <w:lang w:val="fr-FR" w:eastAsia="en-US"/>
        </w:rPr>
      </w:pPr>
      <w:r w:rsidRPr="00E42CCF">
        <w:rPr>
          <w:sz w:val="28"/>
          <w:lang w:val="fr-FR" w:eastAsia="en-US"/>
        </w:rPr>
        <w:t xml:space="preserve">Crippa, A., &amp; Orsini, N. (2016). Dose-response meta-analysis of differences in means. </w:t>
      </w:r>
      <w:r w:rsidRPr="00E42CCF">
        <w:rPr>
          <w:i/>
          <w:iCs/>
          <w:sz w:val="28"/>
          <w:lang w:val="fr-FR" w:eastAsia="en-US"/>
        </w:rPr>
        <w:t>BMC Medical Research Methodology</w:t>
      </w:r>
      <w:r w:rsidRPr="00E42CCF">
        <w:rPr>
          <w:sz w:val="28"/>
          <w:lang w:val="fr-FR" w:eastAsia="en-US"/>
        </w:rPr>
        <w:t xml:space="preserve">, </w:t>
      </w:r>
      <w:r w:rsidRPr="00E42CCF">
        <w:rPr>
          <w:i/>
          <w:iCs/>
          <w:sz w:val="28"/>
          <w:lang w:val="fr-FR" w:eastAsia="en-US"/>
        </w:rPr>
        <w:t>16</w:t>
      </w:r>
      <w:r w:rsidRPr="00E42CCF">
        <w:rPr>
          <w:sz w:val="28"/>
          <w:lang w:val="fr-FR" w:eastAsia="en-US"/>
        </w:rPr>
        <w:t>, 91. https://doi.org/10.1186/s12874-016-0183-8</w:t>
      </w:r>
    </w:p>
    <w:p w14:paraId="1A0C3DAC" w14:textId="77777777" w:rsidR="00E42CCF" w:rsidRPr="00E42CCF" w:rsidRDefault="00E42CCF" w:rsidP="00E42CCF">
      <w:pPr>
        <w:pStyle w:val="Bibliographie"/>
        <w:rPr>
          <w:sz w:val="28"/>
          <w:lang w:val="fr-FR" w:eastAsia="en-US"/>
        </w:rPr>
      </w:pPr>
      <w:r w:rsidRPr="00E42CCF">
        <w:rPr>
          <w:sz w:val="28"/>
          <w:lang w:val="fr-FR" w:eastAsia="en-US"/>
        </w:rPr>
        <w:t xml:space="preserve">Dos Santos, R. G., Osório, F. de L., Rocha, J. M., Rossi, G. N., Bouso, J. C., Rodrigues, L. S., de Oliveira Silveira, G., Yonamine, M., &amp; Hallak, J. E. C. (2021). Ayahuasca Improves Self-perception of Speech Performance in Subjects With Social Anxiety Disorder : A Pilot, Proof-of-Concept, Randomized, Placebo-Controlled  Trial. </w:t>
      </w:r>
      <w:r w:rsidRPr="00E42CCF">
        <w:rPr>
          <w:i/>
          <w:iCs/>
          <w:sz w:val="28"/>
          <w:lang w:val="fr-FR" w:eastAsia="en-US"/>
        </w:rPr>
        <w:t>Journal of Clinical Psychopharmacology</w:t>
      </w:r>
      <w:r w:rsidRPr="00E42CCF">
        <w:rPr>
          <w:sz w:val="28"/>
          <w:lang w:val="fr-FR" w:eastAsia="en-US"/>
        </w:rPr>
        <w:t xml:space="preserve">, </w:t>
      </w:r>
      <w:r w:rsidRPr="00E42CCF">
        <w:rPr>
          <w:i/>
          <w:iCs/>
          <w:sz w:val="28"/>
          <w:lang w:val="fr-FR" w:eastAsia="en-US"/>
        </w:rPr>
        <w:t>41</w:t>
      </w:r>
      <w:r w:rsidRPr="00E42CCF">
        <w:rPr>
          <w:sz w:val="28"/>
          <w:lang w:val="fr-FR" w:eastAsia="en-US"/>
        </w:rPr>
        <w:t>(5), 540‑550. https://doi.org/10.1097/JCP.0000000000001428</w:t>
      </w:r>
    </w:p>
    <w:p w14:paraId="62A6B637" w14:textId="77777777" w:rsidR="00E42CCF" w:rsidRPr="00E42CCF" w:rsidRDefault="00E42CCF" w:rsidP="00E42CCF">
      <w:pPr>
        <w:pStyle w:val="Bibliographie"/>
        <w:rPr>
          <w:sz w:val="28"/>
          <w:lang w:val="fr-FR" w:eastAsia="en-US"/>
        </w:rPr>
      </w:pPr>
      <w:r w:rsidRPr="00E42CCF">
        <w:rPr>
          <w:sz w:val="28"/>
          <w:lang w:val="fr-FR" w:eastAsia="en-US"/>
        </w:rPr>
        <w:t xml:space="preserve">dos Santos, R. G., &amp; Hallak, J. E. C. (2025). Ayahuasca : Pharmacology, safety, and therapeutic effects. </w:t>
      </w:r>
      <w:r w:rsidRPr="00E42CCF">
        <w:rPr>
          <w:i/>
          <w:iCs/>
          <w:sz w:val="28"/>
          <w:lang w:val="fr-FR" w:eastAsia="en-US"/>
        </w:rPr>
        <w:t>CNS Spectrums</w:t>
      </w:r>
      <w:r w:rsidRPr="00E42CCF">
        <w:rPr>
          <w:sz w:val="28"/>
          <w:lang w:val="fr-FR" w:eastAsia="en-US"/>
        </w:rPr>
        <w:t>. https://doi.org/10.1017/s109285292400213x</w:t>
      </w:r>
    </w:p>
    <w:p w14:paraId="30A947CE" w14:textId="77777777" w:rsidR="00E42CCF" w:rsidRPr="0032425B" w:rsidRDefault="00E42CCF" w:rsidP="00E42CCF">
      <w:pPr>
        <w:pStyle w:val="Bibliographie"/>
        <w:rPr>
          <w:sz w:val="28"/>
          <w:lang w:val="en-CA" w:eastAsia="en-US"/>
        </w:rPr>
      </w:pPr>
      <w:r w:rsidRPr="00E42CCF">
        <w:rPr>
          <w:sz w:val="28"/>
          <w:lang w:val="fr-FR" w:eastAsia="en-US"/>
        </w:rPr>
        <w:t xml:space="preserve">Fleiss, J. L. (1994). </w:t>
      </w:r>
      <w:r w:rsidRPr="00E42CCF">
        <w:rPr>
          <w:i/>
          <w:iCs/>
          <w:sz w:val="28"/>
          <w:lang w:val="fr-FR" w:eastAsia="en-US"/>
        </w:rPr>
        <w:t>Statistical Methods for Rates and Proportions</w:t>
      </w:r>
      <w:r w:rsidRPr="00E42CCF">
        <w:rPr>
          <w:sz w:val="28"/>
          <w:lang w:val="fr-FR" w:eastAsia="en-US"/>
        </w:rPr>
        <w:t xml:space="preserve"> (2</w:t>
      </w:r>
      <w:r w:rsidRPr="00E42CCF">
        <w:rPr>
          <w:sz w:val="28"/>
          <w:vertAlign w:val="superscript"/>
          <w:lang w:val="fr-FR" w:eastAsia="en-US"/>
        </w:rPr>
        <w:t>e</w:t>
      </w:r>
      <w:r w:rsidRPr="00E42CCF">
        <w:rPr>
          <w:sz w:val="28"/>
          <w:lang w:val="fr-FR" w:eastAsia="en-US"/>
        </w:rPr>
        <w:t xml:space="preserve"> éd.). </w:t>
      </w:r>
      <w:r w:rsidRPr="0032425B">
        <w:rPr>
          <w:sz w:val="28"/>
          <w:lang w:val="en-CA" w:eastAsia="en-US"/>
        </w:rPr>
        <w:t>Wiley.</w:t>
      </w:r>
    </w:p>
    <w:p w14:paraId="69346BEC" w14:textId="77777777" w:rsidR="00E42CCF" w:rsidRPr="00E42CCF" w:rsidRDefault="00E42CCF" w:rsidP="00E42CCF">
      <w:pPr>
        <w:pStyle w:val="Bibliographie"/>
        <w:rPr>
          <w:sz w:val="28"/>
          <w:lang w:val="de-CH" w:eastAsia="en-US"/>
        </w:rPr>
      </w:pPr>
      <w:r w:rsidRPr="0032425B">
        <w:rPr>
          <w:sz w:val="28"/>
          <w:lang w:val="en-CA" w:eastAsia="en-US"/>
        </w:rPr>
        <w:lastRenderedPageBreak/>
        <w:t xml:space="preserve">Gasparrini, A., Armstrong, B., &amp; Kenward, M. G. (2012). Multivariate meta-analysis for non-linear and other multi-parameter associations. </w:t>
      </w:r>
      <w:r w:rsidRPr="00E42CCF">
        <w:rPr>
          <w:i/>
          <w:iCs/>
          <w:sz w:val="28"/>
          <w:lang w:val="de-CH" w:eastAsia="en-US"/>
        </w:rPr>
        <w:t>Statistics in Medicine</w:t>
      </w:r>
      <w:r w:rsidRPr="00E42CCF">
        <w:rPr>
          <w:sz w:val="28"/>
          <w:lang w:val="de-CH" w:eastAsia="en-US"/>
        </w:rPr>
        <w:t xml:space="preserve">, </w:t>
      </w:r>
      <w:r w:rsidRPr="00E42CCF">
        <w:rPr>
          <w:i/>
          <w:iCs/>
          <w:sz w:val="28"/>
          <w:lang w:val="de-CH" w:eastAsia="en-US"/>
        </w:rPr>
        <w:t>31</w:t>
      </w:r>
      <w:r w:rsidRPr="00E42CCF">
        <w:rPr>
          <w:sz w:val="28"/>
          <w:lang w:val="de-CH" w:eastAsia="en-US"/>
        </w:rPr>
        <w:t>(29), 3821‑3839. https://doi.org/10.1002/sim.5471</w:t>
      </w:r>
    </w:p>
    <w:p w14:paraId="1B1D1E85" w14:textId="77777777" w:rsidR="00E42CCF" w:rsidRPr="00E42CCF" w:rsidRDefault="00E42CCF" w:rsidP="00E42CCF">
      <w:pPr>
        <w:pStyle w:val="Bibliographie"/>
        <w:rPr>
          <w:sz w:val="28"/>
          <w:lang w:val="fr-FR" w:eastAsia="en-US"/>
        </w:rPr>
      </w:pPr>
      <w:r w:rsidRPr="00E42CCF">
        <w:rPr>
          <w:sz w:val="28"/>
          <w:lang w:val="de-CH" w:eastAsia="en-US"/>
        </w:rPr>
        <w:t xml:space="preserve">Gasser, P., Holstein, D., Michel, Y., Doblin, R., Yazar-Klosinski, B., Passie, T., &amp; Brenneisen, R. (2014). Safety and efficacy of lysergic acid diethylamide-assisted psychotherapy for anxiety associated with life-threatening diseases. </w:t>
      </w:r>
      <w:r w:rsidRPr="00E42CCF">
        <w:rPr>
          <w:i/>
          <w:iCs/>
          <w:sz w:val="28"/>
          <w:lang w:val="fr-FR" w:eastAsia="en-US"/>
        </w:rPr>
        <w:t>The Journal of Nervous and Mental Disease</w:t>
      </w:r>
      <w:r w:rsidRPr="00E42CCF">
        <w:rPr>
          <w:sz w:val="28"/>
          <w:lang w:val="fr-FR" w:eastAsia="en-US"/>
        </w:rPr>
        <w:t xml:space="preserve">, </w:t>
      </w:r>
      <w:r w:rsidRPr="00E42CCF">
        <w:rPr>
          <w:i/>
          <w:iCs/>
          <w:sz w:val="28"/>
          <w:lang w:val="fr-FR" w:eastAsia="en-US"/>
        </w:rPr>
        <w:t>202</w:t>
      </w:r>
      <w:r w:rsidRPr="00E42CCF">
        <w:rPr>
          <w:sz w:val="28"/>
          <w:lang w:val="fr-FR" w:eastAsia="en-US"/>
        </w:rPr>
        <w:t>(7), 513‑520. https://doi.org/10.1097/NMD.0000000000000113</w:t>
      </w:r>
    </w:p>
    <w:p w14:paraId="4728895E" w14:textId="77777777" w:rsidR="00E42CCF" w:rsidRPr="0032425B" w:rsidRDefault="00E42CCF" w:rsidP="00E42CCF">
      <w:pPr>
        <w:pStyle w:val="Bibliographie"/>
        <w:rPr>
          <w:sz w:val="28"/>
          <w:lang w:val="en-CA" w:eastAsia="en-US"/>
        </w:rPr>
      </w:pPr>
      <w:r w:rsidRPr="00E42CCF">
        <w:rPr>
          <w:sz w:val="28"/>
          <w:lang w:val="fr-FR" w:eastAsia="en-US"/>
        </w:rPr>
        <w:t xml:space="preserve">Goodwin, G. M., Aaronson, S. T., Alvarez, O., Arden, P. C., Baker, A., Bennett, J. C., Bird, C., Blom, R. E., Brennan, C., Brusch, D., Burke, L., Campbell-Coker, K., Carhart-Harris, R., Cattell, J., Daniel, A., DeBattista, C., Dunlop, B. W., Eisen, K., Feifel, D., … </w:t>
      </w:r>
      <w:r w:rsidRPr="0032425B">
        <w:rPr>
          <w:sz w:val="28"/>
          <w:lang w:val="en-CA" w:eastAsia="en-US"/>
        </w:rPr>
        <w:t xml:space="preserve">Malievskaia, E. (2022). Single-Dose Psilocybin for a Treatment-Resistant Episode of Major Depression. </w:t>
      </w:r>
      <w:r w:rsidRPr="0032425B">
        <w:rPr>
          <w:i/>
          <w:iCs/>
          <w:sz w:val="28"/>
          <w:lang w:val="en-CA" w:eastAsia="en-US"/>
        </w:rPr>
        <w:t>The New England Journal of Medicine</w:t>
      </w:r>
      <w:r w:rsidRPr="0032425B">
        <w:rPr>
          <w:sz w:val="28"/>
          <w:lang w:val="en-CA" w:eastAsia="en-US"/>
        </w:rPr>
        <w:t xml:space="preserve">, </w:t>
      </w:r>
      <w:r w:rsidRPr="0032425B">
        <w:rPr>
          <w:i/>
          <w:iCs/>
          <w:sz w:val="28"/>
          <w:lang w:val="en-CA" w:eastAsia="en-US"/>
        </w:rPr>
        <w:t>387</w:t>
      </w:r>
      <w:r w:rsidRPr="0032425B">
        <w:rPr>
          <w:sz w:val="28"/>
          <w:lang w:val="en-CA" w:eastAsia="en-US"/>
        </w:rPr>
        <w:t>(18), 1637‑1648. https://doi.org/10.1056/NEJMoa2206443</w:t>
      </w:r>
    </w:p>
    <w:p w14:paraId="792AA5B3" w14:textId="77777777" w:rsidR="00E42CCF" w:rsidRPr="00E42CCF" w:rsidRDefault="00E42CCF" w:rsidP="00E42CCF">
      <w:pPr>
        <w:pStyle w:val="Bibliographie"/>
        <w:rPr>
          <w:sz w:val="28"/>
          <w:lang w:val="de-CH" w:eastAsia="en-US"/>
        </w:rPr>
      </w:pPr>
      <w:r w:rsidRPr="0032425B">
        <w:rPr>
          <w:sz w:val="28"/>
          <w:lang w:val="en-CA" w:eastAsia="en-US"/>
        </w:rPr>
        <w:t xml:space="preserve">Griffiths, R. R., Johnson, M. W., Carducci, M. A., Umbricht, A., Richards, W. A., Richards, B. D., Cosimano, M. P., &amp; Klinedinst, M. A. (2016). Psilocybin produces substantial and sustained decreases in depression and anxiety in patients with life-threatening cancer : A randomized double-blind trial. </w:t>
      </w:r>
      <w:r w:rsidRPr="00E42CCF">
        <w:rPr>
          <w:i/>
          <w:iCs/>
          <w:sz w:val="28"/>
          <w:lang w:val="de-CH" w:eastAsia="en-US"/>
        </w:rPr>
        <w:lastRenderedPageBreak/>
        <w:t>Journal of Psychopharmacology (Oxford, England)</w:t>
      </w:r>
      <w:r w:rsidRPr="00E42CCF">
        <w:rPr>
          <w:sz w:val="28"/>
          <w:lang w:val="de-CH" w:eastAsia="en-US"/>
        </w:rPr>
        <w:t xml:space="preserve">, </w:t>
      </w:r>
      <w:r w:rsidRPr="00E42CCF">
        <w:rPr>
          <w:i/>
          <w:iCs/>
          <w:sz w:val="28"/>
          <w:lang w:val="de-CH" w:eastAsia="en-US"/>
        </w:rPr>
        <w:t>30</w:t>
      </w:r>
      <w:r w:rsidRPr="00E42CCF">
        <w:rPr>
          <w:sz w:val="28"/>
          <w:lang w:val="de-CH" w:eastAsia="en-US"/>
        </w:rPr>
        <w:t>(12), 1181‑1197. https://doi.org/10.1177/0269881116675513</w:t>
      </w:r>
    </w:p>
    <w:p w14:paraId="7423B9F6" w14:textId="77777777" w:rsidR="00E42CCF" w:rsidRPr="00E42CCF" w:rsidRDefault="00E42CCF" w:rsidP="00E42CCF">
      <w:pPr>
        <w:pStyle w:val="Bibliographie"/>
        <w:rPr>
          <w:sz w:val="28"/>
          <w:lang w:val="de-CH" w:eastAsia="en-US"/>
        </w:rPr>
      </w:pPr>
      <w:r w:rsidRPr="00E42CCF">
        <w:rPr>
          <w:sz w:val="28"/>
          <w:lang w:val="de-CH" w:eastAsia="en-US"/>
        </w:rPr>
        <w:t xml:space="preserve">Gründer, G., Mertens, L. J., Jungaberle, A., Jungaberle, H., &amp; Spangemacher, M. (2025). Compassionate use of psilocybin for treatment-resistant depression in Germany. </w:t>
      </w:r>
      <w:r w:rsidRPr="00E42CCF">
        <w:rPr>
          <w:i/>
          <w:iCs/>
          <w:sz w:val="28"/>
          <w:lang w:val="de-CH" w:eastAsia="en-US"/>
        </w:rPr>
        <w:t>The Lancet Psychiatry</w:t>
      </w:r>
      <w:r w:rsidRPr="00E42CCF">
        <w:rPr>
          <w:sz w:val="28"/>
          <w:lang w:val="de-CH" w:eastAsia="en-US"/>
        </w:rPr>
        <w:t>. https://doi.org/10.1016/S2215-0366(25)00277-9</w:t>
      </w:r>
    </w:p>
    <w:p w14:paraId="19A20ED3" w14:textId="77777777" w:rsidR="00E42CCF" w:rsidRPr="00E42CCF" w:rsidRDefault="00E42CCF" w:rsidP="00E42CCF">
      <w:pPr>
        <w:pStyle w:val="Bibliographie"/>
        <w:rPr>
          <w:sz w:val="28"/>
          <w:lang w:val="de-CH" w:eastAsia="en-US"/>
        </w:rPr>
      </w:pPr>
      <w:r w:rsidRPr="00E42CCF">
        <w:rPr>
          <w:sz w:val="28"/>
          <w:lang w:val="de-CH" w:eastAsia="en-US"/>
        </w:rPr>
        <w:t xml:space="preserve">Haijen, E. C. H. M., Kaelen, M., Roseman, L., Timmermann, C., Kettner, H., Russ, S., Nutt, D., Daws, R. E., Hampshire, A. D. G., Lorenz, R., &amp; Carhart-Harris, R. L. (2018). Predicting Responses to Psychedelics : A Prospective Study. </w:t>
      </w:r>
      <w:r w:rsidRPr="00E42CCF">
        <w:rPr>
          <w:i/>
          <w:iCs/>
          <w:sz w:val="28"/>
          <w:lang w:val="de-CH" w:eastAsia="en-US"/>
        </w:rPr>
        <w:t>Frontiers in Pharmacology</w:t>
      </w:r>
      <w:r w:rsidRPr="00E42CCF">
        <w:rPr>
          <w:sz w:val="28"/>
          <w:lang w:val="de-CH" w:eastAsia="en-US"/>
        </w:rPr>
        <w:t xml:space="preserve">, </w:t>
      </w:r>
      <w:r w:rsidRPr="00E42CCF">
        <w:rPr>
          <w:i/>
          <w:iCs/>
          <w:sz w:val="28"/>
          <w:lang w:val="de-CH" w:eastAsia="en-US"/>
        </w:rPr>
        <w:t>9</w:t>
      </w:r>
      <w:r w:rsidRPr="00E42CCF">
        <w:rPr>
          <w:sz w:val="28"/>
          <w:lang w:val="de-CH" w:eastAsia="en-US"/>
        </w:rPr>
        <w:t>, 897. https://doi.org/10.3389/fphar.2018.00897</w:t>
      </w:r>
    </w:p>
    <w:p w14:paraId="791F8340" w14:textId="77777777" w:rsidR="00E42CCF" w:rsidRPr="00E42CCF" w:rsidRDefault="00E42CCF" w:rsidP="00E42CCF">
      <w:pPr>
        <w:pStyle w:val="Bibliographie"/>
        <w:rPr>
          <w:sz w:val="28"/>
          <w:lang w:val="de-CH" w:eastAsia="en-US"/>
        </w:rPr>
      </w:pPr>
      <w:r w:rsidRPr="00E42CCF">
        <w:rPr>
          <w:sz w:val="28"/>
          <w:lang w:val="de-CH" w:eastAsia="en-US"/>
        </w:rPr>
        <w:t xml:space="preserve">Hinkle, J. T., Graziosi, M., Nayak, S. M., &amp; Yaden, D. B. (2024). Adverse Events in Studies of Classic Psychedelics : A Systematic Review and Meta-Analysis. </w:t>
      </w:r>
      <w:r w:rsidRPr="00E42CCF">
        <w:rPr>
          <w:i/>
          <w:iCs/>
          <w:sz w:val="28"/>
          <w:lang w:val="de-CH" w:eastAsia="en-US"/>
        </w:rPr>
        <w:t>JAMA Psychiatry</w:t>
      </w:r>
      <w:r w:rsidRPr="00E42CCF">
        <w:rPr>
          <w:sz w:val="28"/>
          <w:lang w:val="de-CH" w:eastAsia="en-US"/>
        </w:rPr>
        <w:t xml:space="preserve">, </w:t>
      </w:r>
      <w:r w:rsidRPr="00E42CCF">
        <w:rPr>
          <w:i/>
          <w:iCs/>
          <w:sz w:val="28"/>
          <w:lang w:val="de-CH" w:eastAsia="en-US"/>
        </w:rPr>
        <w:t>81</w:t>
      </w:r>
      <w:r w:rsidRPr="00E42CCF">
        <w:rPr>
          <w:sz w:val="28"/>
          <w:lang w:val="de-CH" w:eastAsia="en-US"/>
        </w:rPr>
        <w:t>(12), 1225‑1235. https://doi.org/10.1001/jamapsychiatry.2024.2546</w:t>
      </w:r>
    </w:p>
    <w:p w14:paraId="48FB1CD8" w14:textId="77777777" w:rsidR="00E42CCF" w:rsidRPr="00E42CCF" w:rsidRDefault="00E42CCF" w:rsidP="00E42CCF">
      <w:pPr>
        <w:pStyle w:val="Bibliographie"/>
        <w:rPr>
          <w:sz w:val="28"/>
          <w:lang w:val="de-CH" w:eastAsia="en-US"/>
        </w:rPr>
      </w:pPr>
      <w:r w:rsidRPr="00E42CCF">
        <w:rPr>
          <w:sz w:val="28"/>
          <w:lang w:val="de-CH" w:eastAsia="en-US"/>
        </w:rPr>
        <w:t xml:space="preserve">Højlund, M., Kafali, H. Y., Kırmızı, B., Fusar-Poli, P., Correll, C. U., Cortese, S., Sabé, M., Fiedorowicz, J., Saraf, G., Zein, J., Berk, M., Husain, M. I., Rosenblat, J. D., Rubaiyat, R., Corace, K., Wong, S., Hatcher, S., Kaluzienski, M., Yatham, L. N., … Solmi, M. (2025). Efficacy, all-cause discontinuation, and safety of serotonergic psychedelics and MDMA to treat </w:t>
      </w:r>
      <w:r w:rsidRPr="00E42CCF">
        <w:rPr>
          <w:sz w:val="28"/>
          <w:lang w:val="de-CH" w:eastAsia="en-US"/>
        </w:rPr>
        <w:lastRenderedPageBreak/>
        <w:t xml:space="preserve">mental disorders : A living systematic review with meta-analysis. </w:t>
      </w:r>
      <w:r w:rsidRPr="00E42CCF">
        <w:rPr>
          <w:i/>
          <w:iCs/>
          <w:sz w:val="28"/>
          <w:lang w:val="de-CH" w:eastAsia="en-US"/>
        </w:rPr>
        <w:t>European Neuropsychopharmacology</w:t>
      </w:r>
      <w:r w:rsidRPr="00E42CCF">
        <w:rPr>
          <w:sz w:val="28"/>
          <w:lang w:val="de-CH" w:eastAsia="en-US"/>
        </w:rPr>
        <w:t xml:space="preserve">, </w:t>
      </w:r>
      <w:r w:rsidRPr="00E42CCF">
        <w:rPr>
          <w:i/>
          <w:iCs/>
          <w:sz w:val="28"/>
          <w:lang w:val="de-CH" w:eastAsia="en-US"/>
        </w:rPr>
        <w:t>101</w:t>
      </w:r>
      <w:r w:rsidRPr="00E42CCF">
        <w:rPr>
          <w:sz w:val="28"/>
          <w:lang w:val="de-CH" w:eastAsia="en-US"/>
        </w:rPr>
        <w:t>, 41‑55. https://doi.org/10.1016/j.euroneuro.2025.09.011</w:t>
      </w:r>
    </w:p>
    <w:p w14:paraId="648E6834" w14:textId="77777777" w:rsidR="00E42CCF" w:rsidRPr="00E42CCF" w:rsidRDefault="00E42CCF" w:rsidP="00E42CCF">
      <w:pPr>
        <w:pStyle w:val="Bibliographie"/>
        <w:rPr>
          <w:sz w:val="28"/>
          <w:lang w:val="de-CH" w:eastAsia="en-US"/>
        </w:rPr>
      </w:pPr>
      <w:r w:rsidRPr="00E42CCF">
        <w:rPr>
          <w:sz w:val="28"/>
          <w:lang w:val="de-CH" w:eastAsia="en-US"/>
        </w:rPr>
        <w:t xml:space="preserve">Hollister, L. E., Shelton, J., &amp; Krieger, G. (1969). A Controlled Comparison of Lysergic Acid Diethylamide (LSD) and Dextroamphetamine in Alcoholics. </w:t>
      </w:r>
      <w:r w:rsidRPr="00E42CCF">
        <w:rPr>
          <w:i/>
          <w:iCs/>
          <w:sz w:val="28"/>
          <w:lang w:val="de-CH" w:eastAsia="en-US"/>
        </w:rPr>
        <w:t>American Journal of Psychiatry</w:t>
      </w:r>
      <w:r w:rsidRPr="00E42CCF">
        <w:rPr>
          <w:sz w:val="28"/>
          <w:lang w:val="de-CH" w:eastAsia="en-US"/>
        </w:rPr>
        <w:t xml:space="preserve">, </w:t>
      </w:r>
      <w:r w:rsidRPr="00E42CCF">
        <w:rPr>
          <w:i/>
          <w:iCs/>
          <w:sz w:val="28"/>
          <w:lang w:val="de-CH" w:eastAsia="en-US"/>
        </w:rPr>
        <w:t>125</w:t>
      </w:r>
      <w:r w:rsidRPr="00E42CCF">
        <w:rPr>
          <w:sz w:val="28"/>
          <w:lang w:val="de-CH" w:eastAsia="en-US"/>
        </w:rPr>
        <w:t>(10), 1352‑1357. https://doi.org/10.1176/ajp.125.10.1352</w:t>
      </w:r>
    </w:p>
    <w:p w14:paraId="464075A5" w14:textId="77777777" w:rsidR="00E42CCF" w:rsidRPr="00E42CCF" w:rsidRDefault="00E42CCF" w:rsidP="00E42CCF">
      <w:pPr>
        <w:pStyle w:val="Bibliographie"/>
        <w:rPr>
          <w:sz w:val="28"/>
          <w:lang w:val="de-CH" w:eastAsia="en-US"/>
        </w:rPr>
      </w:pPr>
      <w:r w:rsidRPr="00E42CCF">
        <w:rPr>
          <w:sz w:val="28"/>
          <w:lang w:val="de-CH" w:eastAsia="en-US"/>
        </w:rPr>
        <w:t xml:space="preserve">Holze, F., Gasser, P., Müller, F., Dolder, P. C., &amp; Liechti, M. E. (2023). Lysergic Acid Diethylamide-Assisted Therapy in Patients With Anxiety With and Without a Life-Threatening Illness : A Randomized, Double-Blind,  Placebo-Controlled Phase II Study. </w:t>
      </w:r>
      <w:r w:rsidRPr="00E42CCF">
        <w:rPr>
          <w:i/>
          <w:iCs/>
          <w:sz w:val="28"/>
          <w:lang w:val="de-CH" w:eastAsia="en-US"/>
        </w:rPr>
        <w:t>Biological Psychiatry</w:t>
      </w:r>
      <w:r w:rsidRPr="00E42CCF">
        <w:rPr>
          <w:sz w:val="28"/>
          <w:lang w:val="de-CH" w:eastAsia="en-US"/>
        </w:rPr>
        <w:t xml:space="preserve">, </w:t>
      </w:r>
      <w:r w:rsidRPr="00E42CCF">
        <w:rPr>
          <w:i/>
          <w:iCs/>
          <w:sz w:val="28"/>
          <w:lang w:val="de-CH" w:eastAsia="en-US"/>
        </w:rPr>
        <w:t>93</w:t>
      </w:r>
      <w:r w:rsidRPr="00E42CCF">
        <w:rPr>
          <w:sz w:val="28"/>
          <w:lang w:val="de-CH" w:eastAsia="en-US"/>
        </w:rPr>
        <w:t>(3), 215‑223. https://doi.org/10.1016/j.biopsych.2022.08.025</w:t>
      </w:r>
    </w:p>
    <w:p w14:paraId="31EE2438" w14:textId="77777777" w:rsidR="00E42CCF" w:rsidRPr="00E42CCF" w:rsidRDefault="00E42CCF" w:rsidP="00E42CCF">
      <w:pPr>
        <w:pStyle w:val="Bibliographie"/>
        <w:rPr>
          <w:sz w:val="28"/>
          <w:lang w:val="de-CH" w:eastAsia="en-US"/>
        </w:rPr>
      </w:pPr>
      <w:r w:rsidRPr="00E42CCF">
        <w:rPr>
          <w:sz w:val="28"/>
          <w:lang w:val="de-CH" w:eastAsia="en-US"/>
        </w:rPr>
        <w:t xml:space="preserve">Lebedev, A. V., Lövdén, M., Rosenthal, G., Feilding, A., Nutt, D. J., &amp; Carhart-Harris, R. L. (2015). Finding the self by losing the self : Neural correlates of ego-dissolution under psilocybin. </w:t>
      </w:r>
      <w:r w:rsidRPr="00E42CCF">
        <w:rPr>
          <w:i/>
          <w:iCs/>
          <w:sz w:val="28"/>
          <w:lang w:val="de-CH" w:eastAsia="en-US"/>
        </w:rPr>
        <w:t>Human Brain Mapping</w:t>
      </w:r>
      <w:r w:rsidRPr="00E42CCF">
        <w:rPr>
          <w:sz w:val="28"/>
          <w:lang w:val="de-CH" w:eastAsia="en-US"/>
        </w:rPr>
        <w:t xml:space="preserve">, </w:t>
      </w:r>
      <w:r w:rsidRPr="00E42CCF">
        <w:rPr>
          <w:i/>
          <w:iCs/>
          <w:sz w:val="28"/>
          <w:lang w:val="de-CH" w:eastAsia="en-US"/>
        </w:rPr>
        <w:t>36</w:t>
      </w:r>
      <w:r w:rsidRPr="00E42CCF">
        <w:rPr>
          <w:sz w:val="28"/>
          <w:lang w:val="de-CH" w:eastAsia="en-US"/>
        </w:rPr>
        <w:t>(8), 3137‑3153. https://doi.org/10.1002/hbm.22833</w:t>
      </w:r>
    </w:p>
    <w:p w14:paraId="17F033B1" w14:textId="77777777" w:rsidR="00E42CCF" w:rsidRPr="00E42CCF" w:rsidRDefault="00E42CCF" w:rsidP="00E42CCF">
      <w:pPr>
        <w:pStyle w:val="Bibliographie"/>
        <w:rPr>
          <w:sz w:val="28"/>
          <w:lang w:val="de-CH" w:eastAsia="en-US"/>
        </w:rPr>
      </w:pPr>
      <w:r w:rsidRPr="00E42CCF">
        <w:rPr>
          <w:sz w:val="28"/>
          <w:lang w:val="de-CH" w:eastAsia="en-US"/>
        </w:rPr>
        <w:t xml:space="preserve">Luquiens, A., Belahda, D., Graux, C., Igounenc, N., Serrand, C., Rochefort, P., Mura, T., &amp; Sergent, F. (2025). Psilocybin in alcohol use disorder and comorbid depressive symptoms : Results from a feasibility randomized clinical trial. </w:t>
      </w:r>
      <w:r w:rsidRPr="00E42CCF">
        <w:rPr>
          <w:i/>
          <w:iCs/>
          <w:sz w:val="28"/>
          <w:lang w:val="de-CH" w:eastAsia="en-US"/>
        </w:rPr>
        <w:t>Addiction</w:t>
      </w:r>
      <w:r w:rsidRPr="00E42CCF">
        <w:rPr>
          <w:sz w:val="28"/>
          <w:lang w:val="de-CH" w:eastAsia="en-US"/>
        </w:rPr>
        <w:t>, add.70152. https://doi.org/10.1111/add.70152</w:t>
      </w:r>
    </w:p>
    <w:p w14:paraId="74FBBB61" w14:textId="77777777" w:rsidR="00E42CCF" w:rsidRPr="00E42CCF" w:rsidRDefault="00E42CCF" w:rsidP="00E42CCF">
      <w:pPr>
        <w:pStyle w:val="Bibliographie"/>
        <w:rPr>
          <w:sz w:val="28"/>
          <w:lang w:val="de-CH" w:eastAsia="en-US"/>
        </w:rPr>
      </w:pPr>
      <w:r w:rsidRPr="00E42CCF">
        <w:rPr>
          <w:sz w:val="28"/>
          <w:lang w:val="de-CH" w:eastAsia="en-US"/>
        </w:rPr>
        <w:lastRenderedPageBreak/>
        <w:t xml:space="preserve">Madsen, M. K., Fisher, P. M., Burmester, D., Dyssegaard, A., Stenbæk, D. S., Kristiansen, S., Johansen, S., Lehel, S., Linnet, K., Svarer, C., Erritzoe, D., Ozenne, B., &amp; Knudsen, G. M. (2019). Correction : Psychedelic effects of psilocybin correlate with serotonin 2A receptor occupancy and plasma psilocin levels. </w:t>
      </w:r>
      <w:r w:rsidRPr="00E42CCF">
        <w:rPr>
          <w:i/>
          <w:iCs/>
          <w:sz w:val="28"/>
          <w:lang w:val="de-CH" w:eastAsia="en-US"/>
        </w:rPr>
        <w:t>Neuropsychopharmacology</w:t>
      </w:r>
      <w:r w:rsidRPr="00E42CCF">
        <w:rPr>
          <w:sz w:val="28"/>
          <w:lang w:val="de-CH" w:eastAsia="en-US"/>
        </w:rPr>
        <w:t xml:space="preserve">, </w:t>
      </w:r>
      <w:r w:rsidRPr="00E42CCF">
        <w:rPr>
          <w:i/>
          <w:iCs/>
          <w:sz w:val="28"/>
          <w:lang w:val="de-CH" w:eastAsia="en-US"/>
        </w:rPr>
        <w:t>44</w:t>
      </w:r>
      <w:r w:rsidRPr="00E42CCF">
        <w:rPr>
          <w:sz w:val="28"/>
          <w:lang w:val="de-CH" w:eastAsia="en-US"/>
        </w:rPr>
        <w:t>(7), 1336‑1337. https://doi.org/10.1038/s41386-019-0360-5</w:t>
      </w:r>
    </w:p>
    <w:p w14:paraId="78506D46" w14:textId="77777777" w:rsidR="00E42CCF" w:rsidRPr="00E42CCF" w:rsidRDefault="00E42CCF" w:rsidP="00E42CCF">
      <w:pPr>
        <w:pStyle w:val="Bibliographie"/>
        <w:rPr>
          <w:sz w:val="28"/>
          <w:lang w:val="fr-FR" w:eastAsia="en-US"/>
        </w:rPr>
      </w:pPr>
      <w:r w:rsidRPr="00E42CCF">
        <w:rPr>
          <w:sz w:val="28"/>
          <w:lang w:val="de-CH" w:eastAsia="en-US"/>
        </w:rPr>
        <w:t xml:space="preserve">Meshkat, S., Malik, T., Zeifman, R., Swainson, J., Zhang, Y., Burback, L., Winkler, O., Greenshaw, A. J., Claire Reichelt, A., Vermetten, E., Erritzoe, D., Jha, M. K., Dunn, W., Jetly, R., Husain, M. I., &amp; Bhat, V. (2025). </w:t>
      </w:r>
      <w:r w:rsidRPr="00E42CCF">
        <w:rPr>
          <w:sz w:val="28"/>
          <w:lang w:val="fr-FR" w:eastAsia="en-US"/>
        </w:rPr>
        <w:t xml:space="preserve">Psychedelics and Suicide-Related Outcomes : A Systematic Review. </w:t>
      </w:r>
      <w:r w:rsidRPr="00E42CCF">
        <w:rPr>
          <w:i/>
          <w:iCs/>
          <w:sz w:val="28"/>
          <w:lang w:val="fr-FR" w:eastAsia="en-US"/>
        </w:rPr>
        <w:t>Journal of Clinical Medicine</w:t>
      </w:r>
      <w:r w:rsidRPr="00E42CCF">
        <w:rPr>
          <w:sz w:val="28"/>
          <w:lang w:val="fr-FR" w:eastAsia="en-US"/>
        </w:rPr>
        <w:t xml:space="preserve">, </w:t>
      </w:r>
      <w:r w:rsidRPr="00E42CCF">
        <w:rPr>
          <w:i/>
          <w:iCs/>
          <w:sz w:val="28"/>
          <w:lang w:val="fr-FR" w:eastAsia="en-US"/>
        </w:rPr>
        <w:t>14</w:t>
      </w:r>
      <w:r w:rsidRPr="00E42CCF">
        <w:rPr>
          <w:sz w:val="28"/>
          <w:lang w:val="fr-FR" w:eastAsia="en-US"/>
        </w:rPr>
        <w:t>(5). https://doi.org/10.3390/jcm14051416</w:t>
      </w:r>
    </w:p>
    <w:p w14:paraId="407D0BFE" w14:textId="77777777" w:rsidR="00E42CCF" w:rsidRPr="00E42CCF" w:rsidRDefault="00E42CCF" w:rsidP="00E42CCF">
      <w:pPr>
        <w:pStyle w:val="Bibliographie"/>
        <w:rPr>
          <w:sz w:val="28"/>
          <w:lang w:val="fr-FR" w:eastAsia="en-US"/>
        </w:rPr>
      </w:pPr>
      <w:r w:rsidRPr="00E42CCF">
        <w:rPr>
          <w:sz w:val="28"/>
          <w:lang w:val="fr-FR" w:eastAsia="en-US"/>
        </w:rPr>
        <w:t xml:space="preserve">Mitchell, J. M., Bogenschutz, M., Lilienstein, A., Harrison, C., Kleiman, S., Parker-Guilbert, K., Ot’alora G, M., Garas, W., Paleos, C., Gorman, I., Nicholas, C., Mithoefer, M., Carlin, S., Poulter, B., Mithoefer, A., Quevedo, S., Wells, G., Klaire, S. S., van der Kolk, B., … Doblin, R. (2021). MDMA-assisted therapy for severe PTSD: a randomized, double-blind, placebo-controlled phase 3 study. </w:t>
      </w:r>
      <w:r w:rsidRPr="00E42CCF">
        <w:rPr>
          <w:i/>
          <w:iCs/>
          <w:sz w:val="28"/>
          <w:lang w:val="fr-FR" w:eastAsia="en-US"/>
        </w:rPr>
        <w:t>Nature Medicine</w:t>
      </w:r>
      <w:r w:rsidRPr="00E42CCF">
        <w:rPr>
          <w:sz w:val="28"/>
          <w:lang w:val="fr-FR" w:eastAsia="en-US"/>
        </w:rPr>
        <w:t xml:space="preserve">, </w:t>
      </w:r>
      <w:r w:rsidRPr="00E42CCF">
        <w:rPr>
          <w:i/>
          <w:iCs/>
          <w:sz w:val="28"/>
          <w:lang w:val="fr-FR" w:eastAsia="en-US"/>
        </w:rPr>
        <w:t>27</w:t>
      </w:r>
      <w:r w:rsidRPr="00E42CCF">
        <w:rPr>
          <w:sz w:val="28"/>
          <w:lang w:val="fr-FR" w:eastAsia="en-US"/>
        </w:rPr>
        <w:t>(6), 1025‑1033. https://doi.org/10.1038/s41591-021-01336-3</w:t>
      </w:r>
    </w:p>
    <w:p w14:paraId="1841E8F7" w14:textId="77777777" w:rsidR="00E42CCF" w:rsidRPr="0032425B" w:rsidRDefault="00E42CCF" w:rsidP="00E42CCF">
      <w:pPr>
        <w:pStyle w:val="Bibliographie"/>
        <w:rPr>
          <w:sz w:val="28"/>
          <w:lang w:val="en-CA" w:eastAsia="en-US"/>
        </w:rPr>
      </w:pPr>
      <w:r w:rsidRPr="0032425B">
        <w:rPr>
          <w:sz w:val="28"/>
          <w:lang w:val="en-CA" w:eastAsia="en-US"/>
        </w:rPr>
        <w:lastRenderedPageBreak/>
        <w:t xml:space="preserve">Mitchell, J. M. &amp; others. (2023). MDMA-assisted therapy for moderate to severe PTSD: confirmatory phase 3 trial. </w:t>
      </w:r>
      <w:r w:rsidRPr="0032425B">
        <w:rPr>
          <w:i/>
          <w:iCs/>
          <w:sz w:val="28"/>
          <w:lang w:val="en-CA" w:eastAsia="en-US"/>
        </w:rPr>
        <w:t>Nature Medicine</w:t>
      </w:r>
      <w:r w:rsidRPr="0032425B">
        <w:rPr>
          <w:sz w:val="28"/>
          <w:lang w:val="en-CA" w:eastAsia="en-US"/>
        </w:rPr>
        <w:t xml:space="preserve">, </w:t>
      </w:r>
      <w:r w:rsidRPr="0032425B">
        <w:rPr>
          <w:i/>
          <w:iCs/>
          <w:sz w:val="28"/>
          <w:lang w:val="en-CA" w:eastAsia="en-US"/>
        </w:rPr>
        <w:t>29</w:t>
      </w:r>
      <w:r w:rsidRPr="0032425B">
        <w:rPr>
          <w:sz w:val="28"/>
          <w:lang w:val="en-CA" w:eastAsia="en-US"/>
        </w:rPr>
        <w:t>(9), 2238‑2247. https://doi.org/10.1038/s41591-023-02504-7</w:t>
      </w:r>
    </w:p>
    <w:p w14:paraId="33930F77" w14:textId="77777777" w:rsidR="00E42CCF" w:rsidRPr="0032425B" w:rsidRDefault="00E42CCF" w:rsidP="00E42CCF">
      <w:pPr>
        <w:pStyle w:val="Bibliographie"/>
        <w:rPr>
          <w:sz w:val="28"/>
          <w:lang w:val="en-CA" w:eastAsia="en-US"/>
        </w:rPr>
      </w:pPr>
      <w:r w:rsidRPr="0032425B">
        <w:rPr>
          <w:sz w:val="28"/>
          <w:lang w:val="en-CA" w:eastAsia="en-US"/>
        </w:rPr>
        <w:t xml:space="preserve">Mithoefer, M. C., Feduccia, A. A., Jerome, L., Mithoefer, A., Wagner, M., Walsh, Z., Hamilton, S., Yazar-Klosinski, B., Emerson, A., &amp; Doblin, R. (2019). MDMA-assisted psychotherapy for treatment of PTSD: study design and rationale for phase 3 trials based on pooled analysis of six phase 2 randomized controlled  trials. </w:t>
      </w:r>
      <w:r w:rsidRPr="0032425B">
        <w:rPr>
          <w:i/>
          <w:iCs/>
          <w:sz w:val="28"/>
          <w:lang w:val="en-CA" w:eastAsia="en-US"/>
        </w:rPr>
        <w:t>Psychopharmacology</w:t>
      </w:r>
      <w:r w:rsidRPr="0032425B">
        <w:rPr>
          <w:sz w:val="28"/>
          <w:lang w:val="en-CA" w:eastAsia="en-US"/>
        </w:rPr>
        <w:t xml:space="preserve">, </w:t>
      </w:r>
      <w:r w:rsidRPr="0032425B">
        <w:rPr>
          <w:i/>
          <w:iCs/>
          <w:sz w:val="28"/>
          <w:lang w:val="en-CA" w:eastAsia="en-US"/>
        </w:rPr>
        <w:t>236</w:t>
      </w:r>
      <w:r w:rsidRPr="0032425B">
        <w:rPr>
          <w:sz w:val="28"/>
          <w:lang w:val="en-CA" w:eastAsia="en-US"/>
        </w:rPr>
        <w:t>(9), 2735‑2745. https://doi.org/10.1007/s00213-019-05249-5</w:t>
      </w:r>
    </w:p>
    <w:p w14:paraId="2BC529DD" w14:textId="77777777" w:rsidR="00E42CCF" w:rsidRPr="0032425B" w:rsidRDefault="00E42CCF" w:rsidP="00E42CCF">
      <w:pPr>
        <w:pStyle w:val="Bibliographie"/>
        <w:rPr>
          <w:sz w:val="28"/>
          <w:lang w:val="en-CA" w:eastAsia="en-US"/>
        </w:rPr>
      </w:pPr>
      <w:r w:rsidRPr="0032425B">
        <w:rPr>
          <w:sz w:val="28"/>
          <w:lang w:val="en-CA" w:eastAsia="en-US"/>
        </w:rPr>
        <w:t xml:space="preserve">Mithoefer, M. C., Mithoefer, A. T., Feduccia, A. A., Jerome, L., Wagner, M., Wymer, J., Holland, J., Hamilton, S., Yazar-Klosinski, B., Emerson, A., &amp; Doblin, R. (2018). 3,4-methylenedioxymethamphetamine (MDMA)-assisted psychotherapy for post-traumatic stress disorder in military veterans, firefighters, and police officers : A randomised, double-blind, dose-response, phase 2 clinical trial. </w:t>
      </w:r>
      <w:r w:rsidRPr="0032425B">
        <w:rPr>
          <w:i/>
          <w:iCs/>
          <w:sz w:val="28"/>
          <w:lang w:val="en-CA" w:eastAsia="en-US"/>
        </w:rPr>
        <w:t>The Lancet Psychiatry</w:t>
      </w:r>
      <w:r w:rsidRPr="0032425B">
        <w:rPr>
          <w:sz w:val="28"/>
          <w:lang w:val="en-CA" w:eastAsia="en-US"/>
        </w:rPr>
        <w:t xml:space="preserve">, </w:t>
      </w:r>
      <w:r w:rsidRPr="0032425B">
        <w:rPr>
          <w:i/>
          <w:iCs/>
          <w:sz w:val="28"/>
          <w:lang w:val="en-CA" w:eastAsia="en-US"/>
        </w:rPr>
        <w:t>5</w:t>
      </w:r>
      <w:r w:rsidRPr="0032425B">
        <w:rPr>
          <w:sz w:val="28"/>
          <w:lang w:val="en-CA" w:eastAsia="en-US"/>
        </w:rPr>
        <w:t>(6), 486‑497. https://doi.org/10.1016/S2215-0366(18)30135-4</w:t>
      </w:r>
    </w:p>
    <w:p w14:paraId="45E3D0C3" w14:textId="77777777" w:rsidR="00E42CCF" w:rsidRPr="0032425B" w:rsidRDefault="00E42CCF" w:rsidP="00E42CCF">
      <w:pPr>
        <w:pStyle w:val="Bibliographie"/>
        <w:rPr>
          <w:sz w:val="28"/>
          <w:lang w:val="en-CA" w:eastAsia="en-US"/>
        </w:rPr>
      </w:pPr>
      <w:r w:rsidRPr="0032425B">
        <w:rPr>
          <w:sz w:val="28"/>
          <w:lang w:val="en-CA" w:eastAsia="en-US"/>
        </w:rPr>
        <w:t xml:space="preserve">Mithoefer, M. C., Wagner, M. T., Mithoefer, A. T., Jerome, L., &amp; Doblin, R. (2011). The safety and efficacy of ±3,4-methylenedioxymethamphetamine-assisted psychotherapy in subjects with chronic, treatment-resistant posttraumatic stress disorder : The first randomized controlled pilot study. </w:t>
      </w:r>
      <w:r w:rsidRPr="0032425B">
        <w:rPr>
          <w:i/>
          <w:iCs/>
          <w:sz w:val="28"/>
          <w:lang w:val="en-CA" w:eastAsia="en-US"/>
        </w:rPr>
        <w:lastRenderedPageBreak/>
        <w:t>Journal of Psychopharmacology</w:t>
      </w:r>
      <w:r w:rsidRPr="0032425B">
        <w:rPr>
          <w:sz w:val="28"/>
          <w:lang w:val="en-CA" w:eastAsia="en-US"/>
        </w:rPr>
        <w:t xml:space="preserve">, </w:t>
      </w:r>
      <w:r w:rsidRPr="0032425B">
        <w:rPr>
          <w:i/>
          <w:iCs/>
          <w:sz w:val="28"/>
          <w:lang w:val="en-CA" w:eastAsia="en-US"/>
        </w:rPr>
        <w:t>25</w:t>
      </w:r>
      <w:r w:rsidRPr="0032425B">
        <w:rPr>
          <w:sz w:val="28"/>
          <w:lang w:val="en-CA" w:eastAsia="en-US"/>
        </w:rPr>
        <w:t>(4), 439‑452. https://doi.org/10.1177/0269881110378371</w:t>
      </w:r>
    </w:p>
    <w:p w14:paraId="4FCC9BA3" w14:textId="77777777" w:rsidR="00E42CCF" w:rsidRPr="0032425B" w:rsidRDefault="00E42CCF" w:rsidP="00E42CCF">
      <w:pPr>
        <w:pStyle w:val="Bibliographie"/>
        <w:rPr>
          <w:sz w:val="28"/>
          <w:lang w:val="en-CA" w:eastAsia="en-US"/>
        </w:rPr>
      </w:pPr>
      <w:r w:rsidRPr="0032425B">
        <w:rPr>
          <w:sz w:val="28"/>
          <w:lang w:val="en-CA" w:eastAsia="en-US"/>
        </w:rPr>
        <w:t xml:space="preserve">Müller, F., Zaczek, H., Becker, A. M., Ley, L., Borgwardt, S., Jesus, J. S. de, Loh, N., Kohut, J., Auernig, M., Boehlke, C., &amp; Liechti, M. E. (2025). Efficacy and safety of low- versus high-dose-LSD-assisted therapy in patients with major depression : A randomized trial. </w:t>
      </w:r>
      <w:r w:rsidRPr="0032425B">
        <w:rPr>
          <w:i/>
          <w:iCs/>
          <w:sz w:val="28"/>
          <w:lang w:val="en-CA" w:eastAsia="en-US"/>
        </w:rPr>
        <w:t>Med</w:t>
      </w:r>
      <w:r w:rsidRPr="0032425B">
        <w:rPr>
          <w:sz w:val="28"/>
          <w:lang w:val="en-CA" w:eastAsia="en-US"/>
        </w:rPr>
        <w:t xml:space="preserve">, </w:t>
      </w:r>
      <w:r w:rsidRPr="0032425B">
        <w:rPr>
          <w:i/>
          <w:iCs/>
          <w:sz w:val="28"/>
          <w:lang w:val="en-CA" w:eastAsia="en-US"/>
        </w:rPr>
        <w:t>6</w:t>
      </w:r>
      <w:r w:rsidRPr="0032425B">
        <w:rPr>
          <w:sz w:val="28"/>
          <w:lang w:val="en-CA" w:eastAsia="en-US"/>
        </w:rPr>
        <w:t>(9), 100725. https://doi.org/10.1016/j.medj.2025.100725</w:t>
      </w:r>
    </w:p>
    <w:p w14:paraId="777B8B09" w14:textId="77777777" w:rsidR="00E42CCF" w:rsidRPr="00E42CCF" w:rsidRDefault="00E42CCF" w:rsidP="00E42CCF">
      <w:pPr>
        <w:pStyle w:val="Bibliographie"/>
        <w:rPr>
          <w:sz w:val="28"/>
          <w:lang w:val="de-CH" w:eastAsia="en-US"/>
        </w:rPr>
      </w:pPr>
      <w:r w:rsidRPr="00E42CCF">
        <w:rPr>
          <w:sz w:val="28"/>
          <w:lang w:val="de-CH" w:eastAsia="en-US"/>
        </w:rPr>
        <w:t xml:space="preserve">Oehen, P., Traber, R., Widmer, V., &amp; Schnyder, U. (2013). A randomized, controlled pilot study of MDMA (±3,4-Methylenedioxymethamphetamine)-assisted psychotherapy for treatment of resistant, chronic Post-Traumatic Stress Disorder (PTSD). </w:t>
      </w:r>
      <w:r w:rsidRPr="00E42CCF">
        <w:rPr>
          <w:i/>
          <w:iCs/>
          <w:sz w:val="28"/>
          <w:lang w:val="de-CH" w:eastAsia="en-US"/>
        </w:rPr>
        <w:t>Journal of Psychopharmacology</w:t>
      </w:r>
      <w:r w:rsidRPr="00E42CCF">
        <w:rPr>
          <w:sz w:val="28"/>
          <w:lang w:val="de-CH" w:eastAsia="en-US"/>
        </w:rPr>
        <w:t xml:space="preserve">, </w:t>
      </w:r>
      <w:r w:rsidRPr="00E42CCF">
        <w:rPr>
          <w:i/>
          <w:iCs/>
          <w:sz w:val="28"/>
          <w:lang w:val="de-CH" w:eastAsia="en-US"/>
        </w:rPr>
        <w:t>27</w:t>
      </w:r>
      <w:r w:rsidRPr="00E42CCF">
        <w:rPr>
          <w:sz w:val="28"/>
          <w:lang w:val="de-CH" w:eastAsia="en-US"/>
        </w:rPr>
        <w:t>(1), 40‑52. https://doi.org/10.1177/0269881112464827</w:t>
      </w:r>
    </w:p>
    <w:p w14:paraId="5991DBC4" w14:textId="77777777" w:rsidR="00E42CCF" w:rsidRPr="00E42CCF" w:rsidRDefault="00E42CCF" w:rsidP="00E42CCF">
      <w:pPr>
        <w:pStyle w:val="Bibliographie"/>
        <w:rPr>
          <w:sz w:val="28"/>
          <w:lang w:val="fr-FR" w:eastAsia="en-US"/>
        </w:rPr>
      </w:pPr>
      <w:r w:rsidRPr="00E42CCF">
        <w:rPr>
          <w:sz w:val="28"/>
          <w:lang w:val="de-CH" w:eastAsia="en-US"/>
        </w:rPr>
        <w:t xml:space="preserve">Ot’alora G, M., Grigsby, J., Poulter, B., Van Derveer, J. W. 3rd, Giron, S. G., Jerome, L., Feduccia, A. A., Hamilton, S., Yazar-Klosinski, B., Emerson, A., Mithoefer, M. C., &amp; Doblin, R. (2018). 3,4-Methylenedioxymethamphetamine-assisted psychotherapy for treatment of chronic posttraumatic stress disorder : A randomized phase 2 controlled trial. </w:t>
      </w:r>
      <w:r w:rsidRPr="00E42CCF">
        <w:rPr>
          <w:i/>
          <w:iCs/>
          <w:sz w:val="28"/>
          <w:lang w:val="fr-FR" w:eastAsia="en-US"/>
        </w:rPr>
        <w:t>Journal of Psychopharmacology (Oxford, England)</w:t>
      </w:r>
      <w:r w:rsidRPr="00E42CCF">
        <w:rPr>
          <w:sz w:val="28"/>
          <w:lang w:val="fr-FR" w:eastAsia="en-US"/>
        </w:rPr>
        <w:t xml:space="preserve">, </w:t>
      </w:r>
      <w:r w:rsidRPr="00E42CCF">
        <w:rPr>
          <w:i/>
          <w:iCs/>
          <w:sz w:val="28"/>
          <w:lang w:val="fr-FR" w:eastAsia="en-US"/>
        </w:rPr>
        <w:t>32</w:t>
      </w:r>
      <w:r w:rsidRPr="00E42CCF">
        <w:rPr>
          <w:sz w:val="28"/>
          <w:lang w:val="fr-FR" w:eastAsia="en-US"/>
        </w:rPr>
        <w:t>(12), 1295‑1307. https://doi.org/10.1177/0269881118806297</w:t>
      </w:r>
    </w:p>
    <w:p w14:paraId="4BA8E603" w14:textId="77777777" w:rsidR="00E42CCF" w:rsidRPr="00E42CCF" w:rsidRDefault="00E42CCF" w:rsidP="00E42CCF">
      <w:pPr>
        <w:pStyle w:val="Bibliographie"/>
        <w:rPr>
          <w:sz w:val="28"/>
          <w:lang w:val="fr-FR" w:eastAsia="en-US"/>
        </w:rPr>
      </w:pPr>
      <w:r w:rsidRPr="00E42CCF">
        <w:rPr>
          <w:sz w:val="28"/>
          <w:lang w:val="fr-FR" w:eastAsia="en-US"/>
        </w:rPr>
        <w:lastRenderedPageBreak/>
        <w:t xml:space="preserve">Pacey, I. (s. d.). </w:t>
      </w:r>
      <w:r w:rsidRPr="00E42CCF">
        <w:rPr>
          <w:i/>
          <w:iCs/>
          <w:sz w:val="28"/>
          <w:lang w:val="fr-FR" w:eastAsia="en-US"/>
        </w:rPr>
        <w:t>Randomized, double-blind, controlled of MDMA-assisted psychotherapy in 12 subjects with PTSD [WWW Document]</w:t>
      </w:r>
      <w:r w:rsidRPr="00E42CCF">
        <w:rPr>
          <w:sz w:val="28"/>
          <w:lang w:val="fr-FR" w:eastAsia="en-US"/>
        </w:rPr>
        <w:t xml:space="preserve"> (No. NCT01958593). https://clinicaltrials.gov/study/NCT01958593</w:t>
      </w:r>
    </w:p>
    <w:p w14:paraId="298CEBF0" w14:textId="77777777" w:rsidR="00E42CCF" w:rsidRPr="00E42CCF" w:rsidRDefault="00E42CCF" w:rsidP="00E42CCF">
      <w:pPr>
        <w:pStyle w:val="Bibliographie"/>
        <w:rPr>
          <w:sz w:val="28"/>
          <w:lang w:val="fr-FR" w:eastAsia="en-US"/>
        </w:rPr>
      </w:pPr>
      <w:r w:rsidRPr="00E42CCF">
        <w:rPr>
          <w:sz w:val="28"/>
          <w:lang w:val="fr-FR" w:eastAsia="en-US"/>
        </w:rPr>
        <w:t xml:space="preserve">Palhano-Fontes, F., Barreto, D., Onias, H., Andrade, K. C., Novaes, M. M., Pessoa, J. A., Mota-Rolim, S. A., Osório, F. L., Sanches, R., Dos Santos, R. G., Tófoli, L. F., de Oliveira Silveira, G., Yonamine, M., Riba, J., Santos, F. R., Silva-Junior, A. A., Alchieri, J. C., Galvão-Coelho, N. L., Lobão-Soares, B., … Araújo, D. B. (2019). Rapid antidepressant effects of the psychedelic ayahuasca in treatment-resistant depression : A randomized placebo-controlled trial. </w:t>
      </w:r>
      <w:r w:rsidRPr="00E42CCF">
        <w:rPr>
          <w:i/>
          <w:iCs/>
          <w:sz w:val="28"/>
          <w:lang w:val="fr-FR" w:eastAsia="en-US"/>
        </w:rPr>
        <w:t>Psychological Medicine</w:t>
      </w:r>
      <w:r w:rsidRPr="00E42CCF">
        <w:rPr>
          <w:sz w:val="28"/>
          <w:lang w:val="fr-FR" w:eastAsia="en-US"/>
        </w:rPr>
        <w:t xml:space="preserve">, </w:t>
      </w:r>
      <w:r w:rsidRPr="00E42CCF">
        <w:rPr>
          <w:i/>
          <w:iCs/>
          <w:sz w:val="28"/>
          <w:lang w:val="fr-FR" w:eastAsia="en-US"/>
        </w:rPr>
        <w:t>49</w:t>
      </w:r>
      <w:r w:rsidRPr="00E42CCF">
        <w:rPr>
          <w:sz w:val="28"/>
          <w:lang w:val="fr-FR" w:eastAsia="en-US"/>
        </w:rPr>
        <w:t>(4), 655‑663. https://doi.org/10.1017/S0033291718001356</w:t>
      </w:r>
    </w:p>
    <w:p w14:paraId="1E4430C7" w14:textId="77777777" w:rsidR="00E42CCF" w:rsidRPr="00E42CCF" w:rsidRDefault="00E42CCF" w:rsidP="00E42CCF">
      <w:pPr>
        <w:pStyle w:val="Bibliographie"/>
        <w:rPr>
          <w:sz w:val="28"/>
          <w:lang w:val="fr-FR" w:eastAsia="en-US"/>
        </w:rPr>
      </w:pPr>
      <w:r w:rsidRPr="00E42CCF">
        <w:rPr>
          <w:sz w:val="28"/>
          <w:lang w:val="fr-FR" w:eastAsia="en-US"/>
        </w:rPr>
        <w:t xml:space="preserve">Perez, N., Langlest, F., Mallet, L., De Pieri, M., Sentissi, O., Thorens, G., Seragnoli, F., Zullino, D., Kirschner, M., Kaiser, S., Solmi, M., &amp; Sabé, M. (2023). Psilocybin-assisted therapy for depression : A systematic review and dose-response meta-analysis of human studies. </w:t>
      </w:r>
      <w:r w:rsidRPr="00E42CCF">
        <w:rPr>
          <w:i/>
          <w:iCs/>
          <w:sz w:val="28"/>
          <w:lang w:val="fr-FR" w:eastAsia="en-US"/>
        </w:rPr>
        <w:t>European Neuropsychopharmacology : The Journal of the European College of Neuropsychopharmacology</w:t>
      </w:r>
      <w:r w:rsidRPr="00E42CCF">
        <w:rPr>
          <w:sz w:val="28"/>
          <w:lang w:val="fr-FR" w:eastAsia="en-US"/>
        </w:rPr>
        <w:t xml:space="preserve">, </w:t>
      </w:r>
      <w:r w:rsidRPr="00E42CCF">
        <w:rPr>
          <w:i/>
          <w:iCs/>
          <w:sz w:val="28"/>
          <w:lang w:val="fr-FR" w:eastAsia="en-US"/>
        </w:rPr>
        <w:t>76</w:t>
      </w:r>
      <w:r w:rsidRPr="00E42CCF">
        <w:rPr>
          <w:sz w:val="28"/>
          <w:lang w:val="fr-FR" w:eastAsia="en-US"/>
        </w:rPr>
        <w:t>, 61‑76. https://doi.org/10.1016/j.euroneuro.2023.07.011</w:t>
      </w:r>
    </w:p>
    <w:p w14:paraId="39100CEC" w14:textId="77777777" w:rsidR="00E42CCF" w:rsidRPr="00E42CCF" w:rsidRDefault="00E42CCF" w:rsidP="00E42CCF">
      <w:pPr>
        <w:pStyle w:val="Bibliographie"/>
        <w:rPr>
          <w:sz w:val="28"/>
          <w:lang w:val="fr-FR" w:eastAsia="en-US"/>
        </w:rPr>
      </w:pPr>
      <w:r w:rsidRPr="00E42CCF">
        <w:rPr>
          <w:sz w:val="28"/>
          <w:lang w:val="fr-FR" w:eastAsia="en-US"/>
        </w:rPr>
        <w:t xml:space="preserve">R Core Team. (2023). </w:t>
      </w:r>
      <w:r w:rsidRPr="00E42CCF">
        <w:rPr>
          <w:i/>
          <w:iCs/>
          <w:sz w:val="28"/>
          <w:lang w:val="fr-FR" w:eastAsia="en-US"/>
        </w:rPr>
        <w:t>R: A Language and Environment for Statistical Computing</w:t>
      </w:r>
      <w:r w:rsidRPr="00E42CCF">
        <w:rPr>
          <w:sz w:val="28"/>
          <w:lang w:val="fr-FR" w:eastAsia="en-US"/>
        </w:rPr>
        <w:t>. R Foundation for Statistical Computing. https://www.R-project.org/</w:t>
      </w:r>
    </w:p>
    <w:p w14:paraId="37CC9047" w14:textId="77777777" w:rsidR="00E42CCF" w:rsidRPr="00E42CCF" w:rsidRDefault="00E42CCF" w:rsidP="00E42CCF">
      <w:pPr>
        <w:pStyle w:val="Bibliographie"/>
        <w:rPr>
          <w:sz w:val="28"/>
          <w:lang w:val="fr-FR" w:eastAsia="en-US"/>
        </w:rPr>
      </w:pPr>
      <w:r w:rsidRPr="00E42CCF">
        <w:rPr>
          <w:sz w:val="28"/>
          <w:lang w:val="fr-FR" w:eastAsia="en-US"/>
        </w:rPr>
        <w:lastRenderedPageBreak/>
        <w:t xml:space="preserve">Raison, C. L., Sanacora, G., Woolley, J., Heinzerling, K., Dunlop, B. W., Brown, R. T., Kakar, R., Hassman, M., Trivedi, R. P., Robison, R., Gukasyan, N., Nayak, S. M., Hu, X., O’Donnell, K. C., Kelmendi, B., Sloshower, J., Penn, A. D., Bradley, E., Kelly, D. F., … Griffiths, R. R. (2023). Single-Dose Psilocybin Treatment for Major Depressive Disorder : A Randomized Clinical Trial. </w:t>
      </w:r>
      <w:r w:rsidRPr="00E42CCF">
        <w:rPr>
          <w:i/>
          <w:iCs/>
          <w:sz w:val="28"/>
          <w:lang w:val="fr-FR" w:eastAsia="en-US"/>
        </w:rPr>
        <w:t>JAMA</w:t>
      </w:r>
      <w:r w:rsidRPr="00E42CCF">
        <w:rPr>
          <w:sz w:val="28"/>
          <w:lang w:val="fr-FR" w:eastAsia="en-US"/>
        </w:rPr>
        <w:t xml:space="preserve">, </w:t>
      </w:r>
      <w:r w:rsidRPr="00E42CCF">
        <w:rPr>
          <w:i/>
          <w:iCs/>
          <w:sz w:val="28"/>
          <w:lang w:val="fr-FR" w:eastAsia="en-US"/>
        </w:rPr>
        <w:t>330</w:t>
      </w:r>
      <w:r w:rsidRPr="00E42CCF">
        <w:rPr>
          <w:sz w:val="28"/>
          <w:lang w:val="fr-FR" w:eastAsia="en-US"/>
        </w:rPr>
        <w:t>(9), 843. https://doi.org/10.1001/jama.2023.14530</w:t>
      </w:r>
    </w:p>
    <w:p w14:paraId="3DC7C5C4" w14:textId="77777777" w:rsidR="00E42CCF" w:rsidRPr="0032425B" w:rsidRDefault="00E42CCF" w:rsidP="00E42CCF">
      <w:pPr>
        <w:pStyle w:val="Bibliographie"/>
        <w:rPr>
          <w:sz w:val="28"/>
          <w:lang w:val="en-CA" w:eastAsia="en-US"/>
        </w:rPr>
      </w:pPr>
      <w:r w:rsidRPr="00E42CCF">
        <w:rPr>
          <w:sz w:val="28"/>
          <w:lang w:val="de-CH" w:eastAsia="en-US"/>
        </w:rPr>
        <w:t xml:space="preserve">Rieser, N. M., Bitar, R., Halm, S., Rossgoderer, C., Gubser, L. P., Thévenaz, M., Kreis, Y., Von Rotz, R., Nordt, C., Visentini, M., Moujaes, F., Engeli, E. J. E., Ort, A., Seifritz, E., Vollenweider, F. X., Herdener, M., &amp; Preller, K. H. (2025). </w:t>
      </w:r>
      <w:r w:rsidRPr="0032425B">
        <w:rPr>
          <w:sz w:val="28"/>
          <w:lang w:val="en-CA" w:eastAsia="en-US"/>
        </w:rPr>
        <w:t xml:space="preserve">Psilocybin-assisted therapy for relapse prevention in alcohol use disorder : A phase 2 randomized clinical trial. </w:t>
      </w:r>
      <w:r w:rsidRPr="0032425B">
        <w:rPr>
          <w:i/>
          <w:iCs/>
          <w:sz w:val="28"/>
          <w:lang w:val="en-CA" w:eastAsia="en-US"/>
        </w:rPr>
        <w:t>eClinicalMedicine</w:t>
      </w:r>
      <w:r w:rsidRPr="0032425B">
        <w:rPr>
          <w:sz w:val="28"/>
          <w:lang w:val="en-CA" w:eastAsia="en-US"/>
        </w:rPr>
        <w:t xml:space="preserve">, </w:t>
      </w:r>
      <w:r w:rsidRPr="0032425B">
        <w:rPr>
          <w:i/>
          <w:iCs/>
          <w:sz w:val="28"/>
          <w:lang w:val="en-CA" w:eastAsia="en-US"/>
        </w:rPr>
        <w:t>82</w:t>
      </w:r>
      <w:r w:rsidRPr="0032425B">
        <w:rPr>
          <w:sz w:val="28"/>
          <w:lang w:val="en-CA" w:eastAsia="en-US"/>
        </w:rPr>
        <w:t>, 103149. https://doi.org/10.1016/j.eclinm.2025.103149</w:t>
      </w:r>
    </w:p>
    <w:p w14:paraId="33FABF1B" w14:textId="77777777" w:rsidR="00E42CCF" w:rsidRPr="00E42CCF" w:rsidRDefault="00E42CCF" w:rsidP="00E42CCF">
      <w:pPr>
        <w:pStyle w:val="Bibliographie"/>
        <w:rPr>
          <w:sz w:val="28"/>
          <w:lang w:val="de-CH" w:eastAsia="en-US"/>
        </w:rPr>
      </w:pPr>
      <w:r w:rsidRPr="0032425B">
        <w:rPr>
          <w:sz w:val="28"/>
          <w:lang w:val="en-CA" w:eastAsia="en-US"/>
        </w:rPr>
        <w:t xml:space="preserve">Robison, R., Barrow, R., Conant, C., Foster, E., Freedman, J. M., Jacobsen, P. L., Jemison, J., Karas, S. M., Karlin, D. R., Solomon, T. M., Halperin Wernli, M., &amp; Fava, M. (2025). Single Treatment With MM120 (Lysergide) in Generalized Anxiety Disorder : A Randomized Clinical Trial. </w:t>
      </w:r>
      <w:r w:rsidRPr="00E42CCF">
        <w:rPr>
          <w:i/>
          <w:iCs/>
          <w:sz w:val="28"/>
          <w:lang w:val="de-CH" w:eastAsia="en-US"/>
        </w:rPr>
        <w:t>JAMA</w:t>
      </w:r>
      <w:r w:rsidRPr="00E42CCF">
        <w:rPr>
          <w:sz w:val="28"/>
          <w:lang w:val="de-CH" w:eastAsia="en-US"/>
        </w:rPr>
        <w:t xml:space="preserve">, </w:t>
      </w:r>
      <w:r w:rsidRPr="00E42CCF">
        <w:rPr>
          <w:i/>
          <w:iCs/>
          <w:sz w:val="28"/>
          <w:lang w:val="de-CH" w:eastAsia="en-US"/>
        </w:rPr>
        <w:t>334</w:t>
      </w:r>
      <w:r w:rsidRPr="00E42CCF">
        <w:rPr>
          <w:sz w:val="28"/>
          <w:lang w:val="de-CH" w:eastAsia="en-US"/>
        </w:rPr>
        <w:t>(15), 1358. https://doi.org/10.1001/jama.2025.13481</w:t>
      </w:r>
    </w:p>
    <w:p w14:paraId="35822C8D" w14:textId="77777777" w:rsidR="00E42CCF" w:rsidRPr="00E42CCF" w:rsidRDefault="00E42CCF" w:rsidP="00E42CCF">
      <w:pPr>
        <w:pStyle w:val="Bibliographie"/>
        <w:rPr>
          <w:sz w:val="28"/>
          <w:lang w:val="de-CH" w:eastAsia="en-US"/>
        </w:rPr>
      </w:pPr>
      <w:r w:rsidRPr="00E42CCF">
        <w:rPr>
          <w:sz w:val="28"/>
          <w:lang w:val="de-CH" w:eastAsia="en-US"/>
        </w:rPr>
        <w:t xml:space="preserve">Roseman, L., Demetriou, L., Wall, M. B., Nutt, D. J., &amp; Carhart-Harris, R. L. (2018). Increased amygdala responses to emotional faces after psilocybin for </w:t>
      </w:r>
      <w:r w:rsidRPr="00E42CCF">
        <w:rPr>
          <w:sz w:val="28"/>
          <w:lang w:val="de-CH" w:eastAsia="en-US"/>
        </w:rPr>
        <w:lastRenderedPageBreak/>
        <w:t xml:space="preserve">treatment-resistant depression. </w:t>
      </w:r>
      <w:r w:rsidRPr="00E42CCF">
        <w:rPr>
          <w:i/>
          <w:iCs/>
          <w:sz w:val="28"/>
          <w:lang w:val="de-CH" w:eastAsia="en-US"/>
        </w:rPr>
        <w:t>Neuropharmacology</w:t>
      </w:r>
      <w:r w:rsidRPr="00E42CCF">
        <w:rPr>
          <w:sz w:val="28"/>
          <w:lang w:val="de-CH" w:eastAsia="en-US"/>
        </w:rPr>
        <w:t xml:space="preserve">, </w:t>
      </w:r>
      <w:r w:rsidRPr="00E42CCF">
        <w:rPr>
          <w:i/>
          <w:iCs/>
          <w:sz w:val="28"/>
          <w:lang w:val="de-CH" w:eastAsia="en-US"/>
        </w:rPr>
        <w:t>142</w:t>
      </w:r>
      <w:r w:rsidRPr="00E42CCF">
        <w:rPr>
          <w:sz w:val="28"/>
          <w:lang w:val="de-CH" w:eastAsia="en-US"/>
        </w:rPr>
        <w:t>, 263‑269. https://doi.org/10.1016/j.neuropharm.2017.12.041</w:t>
      </w:r>
    </w:p>
    <w:p w14:paraId="5DF3EA79" w14:textId="77777777" w:rsidR="00E42CCF" w:rsidRPr="00E42CCF" w:rsidRDefault="00E42CCF" w:rsidP="00E42CCF">
      <w:pPr>
        <w:pStyle w:val="Bibliographie"/>
        <w:rPr>
          <w:sz w:val="28"/>
          <w:lang w:val="de-CH" w:eastAsia="en-US"/>
        </w:rPr>
      </w:pPr>
      <w:r w:rsidRPr="00E42CCF">
        <w:rPr>
          <w:sz w:val="28"/>
          <w:lang w:val="de-CH" w:eastAsia="en-US"/>
        </w:rPr>
        <w:t xml:space="preserve">Ross, S., Bossis, A., Guss, J., Agin-Liebes, G., Malone, T., Cohen, B., Mennenga, S. E., Belser, A., Kalliontzi, K., Babb, J., Su, Z., Corby, P., &amp; Schmidt, B. L. (2016). Rapid and sustained symptom reduction following psilocybin treatment for anxiety and depression in patients with life-threatening cancer : A randomized controlled  trial. </w:t>
      </w:r>
      <w:r w:rsidRPr="00E42CCF">
        <w:rPr>
          <w:i/>
          <w:iCs/>
          <w:sz w:val="28"/>
          <w:lang w:val="de-CH" w:eastAsia="en-US"/>
        </w:rPr>
        <w:t>Journal of Psychopharmacology (Oxford, England)</w:t>
      </w:r>
      <w:r w:rsidRPr="00E42CCF">
        <w:rPr>
          <w:sz w:val="28"/>
          <w:lang w:val="de-CH" w:eastAsia="en-US"/>
        </w:rPr>
        <w:t xml:space="preserve">, </w:t>
      </w:r>
      <w:r w:rsidRPr="00E42CCF">
        <w:rPr>
          <w:i/>
          <w:iCs/>
          <w:sz w:val="28"/>
          <w:lang w:val="de-CH" w:eastAsia="en-US"/>
        </w:rPr>
        <w:t>30</w:t>
      </w:r>
      <w:r w:rsidRPr="00E42CCF">
        <w:rPr>
          <w:sz w:val="28"/>
          <w:lang w:val="de-CH" w:eastAsia="en-US"/>
        </w:rPr>
        <w:t>(12), 1165‑1180. https://doi.org/10.1177/0269881116675512</w:t>
      </w:r>
    </w:p>
    <w:p w14:paraId="71770835" w14:textId="77777777" w:rsidR="00E42CCF" w:rsidRPr="00E42CCF" w:rsidRDefault="00E42CCF" w:rsidP="00E42CCF">
      <w:pPr>
        <w:pStyle w:val="Bibliographie"/>
        <w:rPr>
          <w:sz w:val="28"/>
          <w:lang w:val="it-CH" w:eastAsia="en-US"/>
        </w:rPr>
      </w:pPr>
      <w:r w:rsidRPr="00E42CCF">
        <w:rPr>
          <w:sz w:val="28"/>
          <w:lang w:val="de-CH" w:eastAsia="en-US"/>
        </w:rPr>
        <w:t xml:space="preserve">Sarparast, A., Thomas, K., Malcolm, B., &amp; Stauffer, C. S. (2022). Drug-drug interactions between psychiatric medications and MDMA or psilocybin : A systematic review. </w:t>
      </w:r>
      <w:r w:rsidRPr="00E42CCF">
        <w:rPr>
          <w:i/>
          <w:iCs/>
          <w:sz w:val="28"/>
          <w:lang w:val="it-CH" w:eastAsia="en-US"/>
        </w:rPr>
        <w:t>Psychopharmacology</w:t>
      </w:r>
      <w:r w:rsidRPr="00E42CCF">
        <w:rPr>
          <w:sz w:val="28"/>
          <w:lang w:val="it-CH" w:eastAsia="en-US"/>
        </w:rPr>
        <w:t xml:space="preserve">, </w:t>
      </w:r>
      <w:r w:rsidRPr="00E42CCF">
        <w:rPr>
          <w:i/>
          <w:iCs/>
          <w:sz w:val="28"/>
          <w:lang w:val="it-CH" w:eastAsia="en-US"/>
        </w:rPr>
        <w:t>239</w:t>
      </w:r>
      <w:r w:rsidRPr="00E42CCF">
        <w:rPr>
          <w:sz w:val="28"/>
          <w:lang w:val="it-CH" w:eastAsia="en-US"/>
        </w:rPr>
        <w:t>(6), 1945‑1976. https://doi.org/10.1007/s00213-022-06083-y</w:t>
      </w:r>
    </w:p>
    <w:p w14:paraId="7E82DACD" w14:textId="77777777" w:rsidR="00E42CCF" w:rsidRPr="00E42CCF" w:rsidRDefault="00E42CCF" w:rsidP="00E42CCF">
      <w:pPr>
        <w:pStyle w:val="Bibliographie"/>
        <w:rPr>
          <w:sz w:val="28"/>
          <w:lang w:val="fr-FR" w:eastAsia="en-US"/>
        </w:rPr>
      </w:pPr>
      <w:r w:rsidRPr="00E42CCF">
        <w:rPr>
          <w:sz w:val="28"/>
          <w:lang w:val="it-CH" w:eastAsia="en-US"/>
        </w:rPr>
        <w:t xml:space="preserve">Scala, M., Fabbri, C., Fusar-Poli, P., Di Lorenzo, G., Ferrara, M., Amerio, A., Fusar-Poli, L., Pichiecchio, A., Asteggiano, C., Menchetti, M., De Ronchi, D., Fanelli, G., &amp; Serretti, A. (2024). </w:t>
      </w:r>
      <w:r w:rsidRPr="00E42CCF">
        <w:rPr>
          <w:sz w:val="28"/>
          <w:lang w:val="fr-FR" w:eastAsia="en-US"/>
        </w:rPr>
        <w:t xml:space="preserve">The revival of psilocybin between scientific excitement, evidence of efficacy, and real-world challenges. </w:t>
      </w:r>
      <w:r w:rsidRPr="00E42CCF">
        <w:rPr>
          <w:i/>
          <w:iCs/>
          <w:sz w:val="28"/>
          <w:lang w:val="fr-FR" w:eastAsia="en-US"/>
        </w:rPr>
        <w:t>CNS Spectrums</w:t>
      </w:r>
      <w:r w:rsidRPr="00E42CCF">
        <w:rPr>
          <w:sz w:val="28"/>
          <w:lang w:val="fr-FR" w:eastAsia="en-US"/>
        </w:rPr>
        <w:t xml:space="preserve">, </w:t>
      </w:r>
      <w:r w:rsidRPr="00E42CCF">
        <w:rPr>
          <w:i/>
          <w:iCs/>
          <w:sz w:val="28"/>
          <w:lang w:val="fr-FR" w:eastAsia="en-US"/>
        </w:rPr>
        <w:t>29</w:t>
      </w:r>
      <w:r w:rsidRPr="00E42CCF">
        <w:rPr>
          <w:sz w:val="28"/>
          <w:lang w:val="fr-FR" w:eastAsia="en-US"/>
        </w:rPr>
        <w:t>(6), 570‑584. https://doi.org/10.1017/S1092852924002268</w:t>
      </w:r>
    </w:p>
    <w:p w14:paraId="7D10ECEB" w14:textId="77777777" w:rsidR="00E42CCF" w:rsidRPr="00E42CCF" w:rsidRDefault="00E42CCF" w:rsidP="00E42CCF">
      <w:pPr>
        <w:pStyle w:val="Bibliographie"/>
        <w:rPr>
          <w:sz w:val="28"/>
          <w:lang w:val="fr-FR" w:eastAsia="en-US"/>
        </w:rPr>
      </w:pPr>
      <w:r w:rsidRPr="00E42CCF">
        <w:rPr>
          <w:sz w:val="28"/>
          <w:lang w:val="fr-FR" w:eastAsia="en-US"/>
        </w:rPr>
        <w:t xml:space="preserve">Solmi, M., Chen, C., Daure, C., Buot, A., Ljuslin, M., Verroust, V., Mallet, L., Khazaal, Y., Rothen, S., Thorens, G., Zullino, D., Gobbi, G., Rosenblat, J., Husain, M. I., De Gregorio, D., Castle, D., &amp; Sabé, M. (2022). A century of </w:t>
      </w:r>
      <w:r w:rsidRPr="00E42CCF">
        <w:rPr>
          <w:sz w:val="28"/>
          <w:lang w:val="fr-FR" w:eastAsia="en-US"/>
        </w:rPr>
        <w:lastRenderedPageBreak/>
        <w:t xml:space="preserve">research on psychedelics : A scientometric analysis on trends and knowledge maps of hallucinogens, entactogens, entheogens and dissociative drugs. </w:t>
      </w:r>
      <w:r w:rsidRPr="00E42CCF">
        <w:rPr>
          <w:i/>
          <w:iCs/>
          <w:sz w:val="28"/>
          <w:lang w:val="fr-FR" w:eastAsia="en-US"/>
        </w:rPr>
        <w:t>European Neuropsychopharmacology : The Journal of the European College of Neuropsychopharmacology</w:t>
      </w:r>
      <w:r w:rsidRPr="00E42CCF">
        <w:rPr>
          <w:sz w:val="28"/>
          <w:lang w:val="fr-FR" w:eastAsia="en-US"/>
        </w:rPr>
        <w:t xml:space="preserve">, </w:t>
      </w:r>
      <w:r w:rsidRPr="00E42CCF">
        <w:rPr>
          <w:i/>
          <w:iCs/>
          <w:sz w:val="28"/>
          <w:lang w:val="fr-FR" w:eastAsia="en-US"/>
        </w:rPr>
        <w:t>64</w:t>
      </w:r>
      <w:r w:rsidRPr="00E42CCF">
        <w:rPr>
          <w:sz w:val="28"/>
          <w:lang w:val="fr-FR" w:eastAsia="en-US"/>
        </w:rPr>
        <w:t>, 44‑60. https://doi.org/10.1016/j.euroneuro.2022.09.004</w:t>
      </w:r>
    </w:p>
    <w:p w14:paraId="0D5DFCB8" w14:textId="77777777" w:rsidR="00E42CCF" w:rsidRPr="00E42CCF" w:rsidRDefault="00E42CCF" w:rsidP="00E42CCF">
      <w:pPr>
        <w:pStyle w:val="Bibliographie"/>
        <w:rPr>
          <w:sz w:val="28"/>
          <w:lang w:val="fr-FR" w:eastAsia="en-US"/>
        </w:rPr>
      </w:pPr>
      <w:r w:rsidRPr="00E42CCF">
        <w:rPr>
          <w:sz w:val="28"/>
          <w:lang w:val="de-CH" w:eastAsia="en-US"/>
        </w:rPr>
        <w:t xml:space="preserve">Studerus, E., Kometer, M., Hasler, F., &amp; Vollenweider, F. X. (2011). </w:t>
      </w:r>
      <w:r w:rsidRPr="00E42CCF">
        <w:rPr>
          <w:sz w:val="28"/>
          <w:lang w:val="fr-FR" w:eastAsia="en-US"/>
        </w:rPr>
        <w:t xml:space="preserve">Acute, subacute and long-term subjective effects of psilocybin in healthy humans : A pooled analysis of experimental studies. </w:t>
      </w:r>
      <w:r w:rsidRPr="00E42CCF">
        <w:rPr>
          <w:i/>
          <w:iCs/>
          <w:sz w:val="28"/>
          <w:lang w:val="fr-FR" w:eastAsia="en-US"/>
        </w:rPr>
        <w:t>Journal of Psychopharmacology (Oxford, England)</w:t>
      </w:r>
      <w:r w:rsidRPr="00E42CCF">
        <w:rPr>
          <w:sz w:val="28"/>
          <w:lang w:val="fr-FR" w:eastAsia="en-US"/>
        </w:rPr>
        <w:t xml:space="preserve">, </w:t>
      </w:r>
      <w:r w:rsidRPr="00E42CCF">
        <w:rPr>
          <w:i/>
          <w:iCs/>
          <w:sz w:val="28"/>
          <w:lang w:val="fr-FR" w:eastAsia="en-US"/>
        </w:rPr>
        <w:t>25</w:t>
      </w:r>
      <w:r w:rsidRPr="00E42CCF">
        <w:rPr>
          <w:sz w:val="28"/>
          <w:lang w:val="fr-FR" w:eastAsia="en-US"/>
        </w:rPr>
        <w:t>(11), 1434‑1452. https://doi.org/10.1177/0269881110382466</w:t>
      </w:r>
    </w:p>
    <w:p w14:paraId="69B4D05E" w14:textId="77777777" w:rsidR="00E42CCF" w:rsidRPr="00E42CCF" w:rsidRDefault="00E42CCF" w:rsidP="00E42CCF">
      <w:pPr>
        <w:pStyle w:val="Bibliographie"/>
        <w:rPr>
          <w:sz w:val="28"/>
          <w:lang w:val="fr-FR" w:eastAsia="en-US"/>
        </w:rPr>
      </w:pPr>
      <w:r w:rsidRPr="00E42CCF">
        <w:rPr>
          <w:sz w:val="28"/>
          <w:lang w:val="fr-FR" w:eastAsia="en-US"/>
        </w:rPr>
        <w:t xml:space="preserve">Tomsovic, M., &amp; Edwards, R. V. (1970). Lysergide Treatment of Schizophrenic and Nonschizophrenic Alcoholics; A Controlled Evaluation. </w:t>
      </w:r>
      <w:r w:rsidRPr="00E42CCF">
        <w:rPr>
          <w:i/>
          <w:iCs/>
          <w:sz w:val="28"/>
          <w:lang w:val="fr-FR" w:eastAsia="en-US"/>
        </w:rPr>
        <w:t>Quarterly Journal of Studies on Alcohol</w:t>
      </w:r>
      <w:r w:rsidRPr="00E42CCF">
        <w:rPr>
          <w:sz w:val="28"/>
          <w:lang w:val="fr-FR" w:eastAsia="en-US"/>
        </w:rPr>
        <w:t xml:space="preserve">, </w:t>
      </w:r>
      <w:r w:rsidRPr="00E42CCF">
        <w:rPr>
          <w:i/>
          <w:iCs/>
          <w:sz w:val="28"/>
          <w:lang w:val="fr-FR" w:eastAsia="en-US"/>
        </w:rPr>
        <w:t>31</w:t>
      </w:r>
      <w:r w:rsidRPr="00E42CCF">
        <w:rPr>
          <w:sz w:val="28"/>
          <w:lang w:val="fr-FR" w:eastAsia="en-US"/>
        </w:rPr>
        <w:t>(4), 932‑949. https://doi.org/10.15288/qjsa.1970.31.932</w:t>
      </w:r>
    </w:p>
    <w:p w14:paraId="58AAA8D2" w14:textId="77777777" w:rsidR="00E42CCF" w:rsidRPr="00E42CCF" w:rsidRDefault="00E42CCF" w:rsidP="00E42CCF">
      <w:pPr>
        <w:pStyle w:val="Bibliographie"/>
        <w:rPr>
          <w:sz w:val="28"/>
          <w:lang w:val="de-CH" w:eastAsia="en-US"/>
        </w:rPr>
      </w:pPr>
      <w:r w:rsidRPr="00E42CCF">
        <w:rPr>
          <w:sz w:val="28"/>
          <w:lang w:val="de-CH" w:eastAsia="en-US"/>
        </w:rPr>
        <w:t xml:space="preserve">Viechtbauer, W. (2010). Conducting Meta-Analyses in R with the metafor Package. </w:t>
      </w:r>
      <w:r w:rsidRPr="00E42CCF">
        <w:rPr>
          <w:i/>
          <w:iCs/>
          <w:sz w:val="28"/>
          <w:lang w:val="de-CH" w:eastAsia="en-US"/>
        </w:rPr>
        <w:t>Journal of Statistical Software</w:t>
      </w:r>
      <w:r w:rsidRPr="00E42CCF">
        <w:rPr>
          <w:sz w:val="28"/>
          <w:lang w:val="de-CH" w:eastAsia="en-US"/>
        </w:rPr>
        <w:t xml:space="preserve">, </w:t>
      </w:r>
      <w:r w:rsidRPr="00E42CCF">
        <w:rPr>
          <w:i/>
          <w:iCs/>
          <w:sz w:val="28"/>
          <w:lang w:val="de-CH" w:eastAsia="en-US"/>
        </w:rPr>
        <w:t>36</w:t>
      </w:r>
      <w:r w:rsidRPr="00E42CCF">
        <w:rPr>
          <w:sz w:val="28"/>
          <w:lang w:val="de-CH" w:eastAsia="en-US"/>
        </w:rPr>
        <w:t>(3), 1‑48. https://doi.org/10.18637/jss.v036.i03</w:t>
      </w:r>
    </w:p>
    <w:p w14:paraId="261B781A" w14:textId="77777777" w:rsidR="00E42CCF" w:rsidRPr="00E42CCF" w:rsidRDefault="00E42CCF" w:rsidP="00E42CCF">
      <w:pPr>
        <w:pStyle w:val="Bibliographie"/>
        <w:rPr>
          <w:sz w:val="28"/>
          <w:lang w:val="fr-FR" w:eastAsia="en-US"/>
        </w:rPr>
      </w:pPr>
      <w:r w:rsidRPr="00E42CCF">
        <w:rPr>
          <w:sz w:val="28"/>
          <w:lang w:val="de-CH" w:eastAsia="en-US"/>
        </w:rPr>
        <w:t xml:space="preserve">Vizeli, P., Studerus, E., Holze, F., Schmid, Y., Dolder, P. C., Ley, L., Straumann, I., Becker, A. M., Müller, F., Arikci, D., &amp; Liechti, M. E. (2024). </w:t>
      </w:r>
      <w:r w:rsidRPr="00E42CCF">
        <w:rPr>
          <w:sz w:val="28"/>
          <w:lang w:val="fr-FR" w:eastAsia="en-US"/>
        </w:rPr>
        <w:t xml:space="preserve">Pharmacological and non-pharmacological predictors of the LSD experience </w:t>
      </w:r>
      <w:r w:rsidRPr="00E42CCF">
        <w:rPr>
          <w:sz w:val="28"/>
          <w:lang w:val="fr-FR" w:eastAsia="en-US"/>
        </w:rPr>
        <w:lastRenderedPageBreak/>
        <w:t xml:space="preserve">in healthy participants. </w:t>
      </w:r>
      <w:r w:rsidRPr="00E42CCF">
        <w:rPr>
          <w:i/>
          <w:iCs/>
          <w:sz w:val="28"/>
          <w:lang w:val="fr-FR" w:eastAsia="en-US"/>
        </w:rPr>
        <w:t>Translational Psychiatry</w:t>
      </w:r>
      <w:r w:rsidRPr="00E42CCF">
        <w:rPr>
          <w:sz w:val="28"/>
          <w:lang w:val="fr-FR" w:eastAsia="en-US"/>
        </w:rPr>
        <w:t xml:space="preserve">, </w:t>
      </w:r>
      <w:r w:rsidRPr="00E42CCF">
        <w:rPr>
          <w:i/>
          <w:iCs/>
          <w:sz w:val="28"/>
          <w:lang w:val="fr-FR" w:eastAsia="en-US"/>
        </w:rPr>
        <w:t>14</w:t>
      </w:r>
      <w:r w:rsidRPr="00E42CCF">
        <w:rPr>
          <w:sz w:val="28"/>
          <w:lang w:val="fr-FR" w:eastAsia="en-US"/>
        </w:rPr>
        <w:t>(1), 357. https://doi.org/10.1038/s41398-024-03074-9</w:t>
      </w:r>
    </w:p>
    <w:p w14:paraId="06DB41EF" w14:textId="77777777" w:rsidR="00E42CCF" w:rsidRPr="0032425B" w:rsidRDefault="00E42CCF" w:rsidP="00E42CCF">
      <w:pPr>
        <w:pStyle w:val="Bibliographie"/>
        <w:rPr>
          <w:sz w:val="28"/>
          <w:lang w:val="en-CA" w:eastAsia="en-US"/>
        </w:rPr>
      </w:pPr>
      <w:r w:rsidRPr="00E42CCF">
        <w:rPr>
          <w:sz w:val="28"/>
          <w:lang w:val="de-CH" w:eastAsia="en-US"/>
        </w:rPr>
        <w:t xml:space="preserve">Von Rotz, R., Schindowski, E. M., Jungwirth, J., Schuldt, A., Rieser, N. M., Zahoranszky, K., Seifritz, E., Nowak, A., Nowak, P., Jäncke, L., Preller, K. H., &amp; Vollenweider, F. X. (2023). </w:t>
      </w:r>
      <w:r w:rsidRPr="0032425B">
        <w:rPr>
          <w:sz w:val="28"/>
          <w:lang w:val="en-CA" w:eastAsia="en-US"/>
        </w:rPr>
        <w:t xml:space="preserve">Single-dose psilocybin-assisted therapy in major depressive disorder : A placebo-controlled, double-blind, randomised clinical trial. </w:t>
      </w:r>
      <w:r w:rsidRPr="0032425B">
        <w:rPr>
          <w:i/>
          <w:iCs/>
          <w:sz w:val="28"/>
          <w:lang w:val="en-CA" w:eastAsia="en-US"/>
        </w:rPr>
        <w:t>eClinicalMedicine</w:t>
      </w:r>
      <w:r w:rsidRPr="0032425B">
        <w:rPr>
          <w:sz w:val="28"/>
          <w:lang w:val="en-CA" w:eastAsia="en-US"/>
        </w:rPr>
        <w:t xml:space="preserve">, </w:t>
      </w:r>
      <w:r w:rsidRPr="0032425B">
        <w:rPr>
          <w:i/>
          <w:iCs/>
          <w:sz w:val="28"/>
          <w:lang w:val="en-CA" w:eastAsia="en-US"/>
        </w:rPr>
        <w:t>56</w:t>
      </w:r>
      <w:r w:rsidRPr="0032425B">
        <w:rPr>
          <w:sz w:val="28"/>
          <w:lang w:val="en-CA" w:eastAsia="en-US"/>
        </w:rPr>
        <w:t>, 101809. https://doi.org/10.1016/j.eclinm.2022.101809</w:t>
      </w:r>
    </w:p>
    <w:p w14:paraId="247D220D" w14:textId="77777777" w:rsidR="00E42CCF" w:rsidRPr="00E42CCF" w:rsidRDefault="00E42CCF" w:rsidP="00E42CCF">
      <w:pPr>
        <w:pStyle w:val="Bibliographie"/>
        <w:rPr>
          <w:sz w:val="28"/>
          <w:lang w:val="de-CH" w:eastAsia="en-US"/>
        </w:rPr>
      </w:pPr>
      <w:r w:rsidRPr="00E42CCF">
        <w:rPr>
          <w:sz w:val="28"/>
          <w:lang w:val="de-CH" w:eastAsia="en-US"/>
        </w:rPr>
        <w:t xml:space="preserve">Wickham, H. (2016). ggplot2 : Elegant Graphics for Data Analysis. </w:t>
      </w:r>
      <w:r w:rsidRPr="00E42CCF">
        <w:rPr>
          <w:i/>
          <w:iCs/>
          <w:sz w:val="28"/>
          <w:lang w:val="de-CH" w:eastAsia="en-US"/>
        </w:rPr>
        <w:t>Springer</w:t>
      </w:r>
      <w:r w:rsidRPr="00E42CCF">
        <w:rPr>
          <w:sz w:val="28"/>
          <w:lang w:val="de-CH" w:eastAsia="en-US"/>
        </w:rPr>
        <w:t>.</w:t>
      </w:r>
    </w:p>
    <w:p w14:paraId="6F901759" w14:textId="77777777" w:rsidR="00E42CCF" w:rsidRPr="00E42CCF" w:rsidRDefault="00E42CCF" w:rsidP="00E42CCF">
      <w:pPr>
        <w:pStyle w:val="Bibliographie"/>
        <w:rPr>
          <w:sz w:val="28"/>
          <w:lang w:val="de-CH" w:eastAsia="en-US"/>
        </w:rPr>
      </w:pPr>
      <w:r w:rsidRPr="00E42CCF">
        <w:rPr>
          <w:sz w:val="28"/>
          <w:lang w:val="de-CH" w:eastAsia="en-US"/>
        </w:rPr>
        <w:t xml:space="preserve">Wickham, H., François, R., Henry, L., Müller, K., &amp; Vaughan, D. (2025). </w:t>
      </w:r>
      <w:r w:rsidRPr="00E42CCF">
        <w:rPr>
          <w:i/>
          <w:iCs/>
          <w:sz w:val="28"/>
          <w:lang w:val="de-CH" w:eastAsia="en-US"/>
        </w:rPr>
        <w:t>dplyr : A Grammar of Data Manipulation</w:t>
      </w:r>
      <w:r w:rsidRPr="00E42CCF">
        <w:rPr>
          <w:sz w:val="28"/>
          <w:lang w:val="de-CH" w:eastAsia="en-US"/>
        </w:rPr>
        <w:t>. https://dplyr.tidyverse.org</w:t>
      </w:r>
    </w:p>
    <w:p w14:paraId="05DCAE3E" w14:textId="77777777" w:rsidR="00E42CCF" w:rsidRPr="00E42CCF" w:rsidRDefault="00E42CCF" w:rsidP="00E42CCF">
      <w:pPr>
        <w:pStyle w:val="Bibliographie"/>
        <w:rPr>
          <w:sz w:val="28"/>
          <w:lang w:val="fr-FR" w:eastAsia="en-US"/>
        </w:rPr>
      </w:pPr>
      <w:r w:rsidRPr="00E42CCF">
        <w:rPr>
          <w:sz w:val="28"/>
          <w:lang w:val="de-CH" w:eastAsia="en-US"/>
        </w:rPr>
        <w:t xml:space="preserve">Wolfson, P. E., Andries, J., Feduccia, A. A., Jerome, L., Wang, J. B., Williams, E., Carlin, S. C., Sola, E., Hamilton, S., Yazar-Klosinski, B., Emerson, A., Mithoefer, M. C., &amp; Doblin, R. (2020). MDMA-assisted psychotherapy for treatment of anxiety and other psychological distress related to life-threatening illnesses : A randomized pilot study. </w:t>
      </w:r>
      <w:r w:rsidRPr="00E42CCF">
        <w:rPr>
          <w:i/>
          <w:iCs/>
          <w:sz w:val="28"/>
          <w:lang w:val="fr-FR" w:eastAsia="en-US"/>
        </w:rPr>
        <w:t>Scientific Reports</w:t>
      </w:r>
      <w:r w:rsidRPr="00E42CCF">
        <w:rPr>
          <w:sz w:val="28"/>
          <w:lang w:val="fr-FR" w:eastAsia="en-US"/>
        </w:rPr>
        <w:t xml:space="preserve">, </w:t>
      </w:r>
      <w:r w:rsidRPr="00E42CCF">
        <w:rPr>
          <w:i/>
          <w:iCs/>
          <w:sz w:val="28"/>
          <w:lang w:val="fr-FR" w:eastAsia="en-US"/>
        </w:rPr>
        <w:t>10</w:t>
      </w:r>
      <w:r w:rsidRPr="00E42CCF">
        <w:rPr>
          <w:sz w:val="28"/>
          <w:lang w:val="fr-FR" w:eastAsia="en-US"/>
        </w:rPr>
        <w:t>(1), 20442. https://doi.org/10.1038/s41598-020-75706-1</w:t>
      </w:r>
    </w:p>
    <w:p w14:paraId="522D35B1" w14:textId="7E152C34" w:rsidR="00E42CCF" w:rsidRDefault="00E42CCF">
      <w:pPr>
        <w:pStyle w:val="Titre1"/>
        <w:keepNext w:val="0"/>
        <w:keepLines w:val="0"/>
        <w:spacing w:before="360"/>
        <w:rPr>
          <w:b/>
          <w:bCs/>
          <w:sz w:val="28"/>
          <w:szCs w:val="28"/>
          <w:lang w:val="en-US"/>
        </w:rPr>
      </w:pPr>
      <w:r>
        <w:rPr>
          <w:b/>
          <w:bCs/>
          <w:sz w:val="28"/>
          <w:szCs w:val="28"/>
          <w:lang w:val="en-US"/>
        </w:rPr>
        <w:fldChar w:fldCharType="end"/>
      </w:r>
    </w:p>
    <w:p w14:paraId="43C0B6E9" w14:textId="77777777" w:rsidR="00E42CCF" w:rsidRDefault="00E42CCF">
      <w:pPr>
        <w:pStyle w:val="Titre1"/>
        <w:keepNext w:val="0"/>
        <w:keepLines w:val="0"/>
        <w:spacing w:before="360"/>
        <w:rPr>
          <w:b/>
          <w:bCs/>
          <w:sz w:val="28"/>
          <w:szCs w:val="28"/>
          <w:lang w:val="en-US"/>
        </w:rPr>
      </w:pPr>
    </w:p>
    <w:p w14:paraId="4AB1444D" w14:textId="7FDA4E67" w:rsidR="00682EED" w:rsidRPr="00012EBB" w:rsidRDefault="00682EED">
      <w:pPr>
        <w:rPr>
          <w:lang w:val="it-CH"/>
        </w:rPr>
      </w:pPr>
    </w:p>
    <w:sectPr w:rsidR="00682EED" w:rsidRPr="00012EBB">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 Solmi" w:date="2026-01-25T15:39:00Z" w:initials="MS">
    <w:p w14:paraId="41CDE4C6" w14:textId="77777777" w:rsidR="00081001" w:rsidRDefault="00081001" w:rsidP="00081001">
      <w:pPr>
        <w:pStyle w:val="Commentaire"/>
      </w:pPr>
      <w:r>
        <w:rPr>
          <w:rStyle w:val="Marquedecommentaire"/>
        </w:rPr>
        <w:annotationRef/>
      </w:r>
      <w:r>
        <w:rPr>
          <w:lang w:val="en-CA"/>
        </w:rPr>
        <w:t>Pls alsways send title page with alo paper word count tables and refs so when I can review I know what word space we have.</w:t>
      </w:r>
    </w:p>
    <w:p w14:paraId="12CE6875" w14:textId="77777777" w:rsidR="00081001" w:rsidRDefault="00081001" w:rsidP="00081001">
      <w:pPr>
        <w:pStyle w:val="Commentaire"/>
      </w:pPr>
    </w:p>
    <w:p w14:paraId="138A12E5" w14:textId="77777777" w:rsidR="00081001" w:rsidRDefault="00081001" w:rsidP="00081001">
      <w:pPr>
        <w:pStyle w:val="Commentaire"/>
      </w:pPr>
      <w:r>
        <w:rPr>
          <w:lang w:val="en-CA"/>
        </w:rPr>
        <w:t>Below my details</w:t>
      </w:r>
    </w:p>
    <w:p w14:paraId="33038C1F" w14:textId="77777777" w:rsidR="00081001" w:rsidRDefault="00081001" w:rsidP="00081001">
      <w:pPr>
        <w:pStyle w:val="Commentaire"/>
      </w:pPr>
    </w:p>
    <w:p w14:paraId="2A234C31" w14:textId="77777777" w:rsidR="00081001" w:rsidRDefault="00081001" w:rsidP="00081001">
      <w:pPr>
        <w:pStyle w:val="Commentaire"/>
      </w:pPr>
      <w:r>
        <w:rPr>
          <w:b/>
          <w:bCs/>
        </w:rPr>
        <w:t>Funding</w:t>
      </w:r>
    </w:p>
    <w:p w14:paraId="272EBFDB" w14:textId="77777777" w:rsidR="00081001" w:rsidRDefault="00081001" w:rsidP="00081001">
      <w:pPr>
        <w:pStyle w:val="Commentaire"/>
      </w:pPr>
      <w:r>
        <w:t>MS is supported by Clinical Research Chair in Evidence-Based Mental Health, from the Faculty of Medicine, University of Ottawa, Canada</w:t>
      </w:r>
      <w:r>
        <w:rPr>
          <w:b/>
          <w:bCs/>
        </w:rPr>
        <w:t xml:space="preserve"> </w:t>
      </w:r>
    </w:p>
    <w:p w14:paraId="4782F60C" w14:textId="77777777" w:rsidR="00081001" w:rsidRDefault="00081001" w:rsidP="00081001">
      <w:pPr>
        <w:pStyle w:val="Commentaire"/>
      </w:pPr>
      <w:r>
        <w:rPr>
          <w:b/>
          <w:bCs/>
        </w:rPr>
        <w:t>Affiliations</w:t>
      </w:r>
    </w:p>
    <w:p w14:paraId="0625FAC3" w14:textId="77777777" w:rsidR="00081001" w:rsidRDefault="00081001" w:rsidP="00081001">
      <w:pPr>
        <w:pStyle w:val="Commentaire"/>
      </w:pPr>
      <w:r>
        <w:rPr>
          <w:i/>
          <w:iCs/>
          <w:lang w:val="en-CA"/>
        </w:rPr>
        <w:t>1 SCIENCES lab, Department of Psychiatry, Faculty of Medicine, University of Ottawa, Ontario, Canada.</w:t>
      </w:r>
      <w:r>
        <w:rPr>
          <w:i/>
          <w:iCs/>
          <w:lang w:val="en-CA"/>
        </w:rPr>
        <w:br/>
        <w:t>2 Department of Mental Health, The Ottawa Hospital, Ontario, Canada.</w:t>
      </w:r>
      <w:r>
        <w:rPr>
          <w:i/>
          <w:iCs/>
          <w:lang w:val="en-CA"/>
        </w:rPr>
        <w:br/>
        <w:t>3 Ottawa Hospital Research Institute (OHRI) Ottawa Ontario</w:t>
      </w:r>
      <w:r>
        <w:rPr>
          <w:i/>
          <w:iCs/>
          <w:lang w:val="en-CA"/>
        </w:rPr>
        <w:br/>
        <w:t>4 Department of Child and Adolescent Psychiatry, Charité Universitätsmedizin, Berlin, Germany</w:t>
      </w:r>
      <w:r>
        <w:rPr>
          <w:i/>
          <w:iCs/>
          <w:lang w:val="en-CA"/>
        </w:rPr>
        <w:br/>
        <w:t>5 School of Epidemiology and Public Health, Faculty of Medicine, University of Ottawa, Ottawa, Canada</w:t>
      </w:r>
    </w:p>
    <w:p w14:paraId="7A11BA7E" w14:textId="77777777" w:rsidR="00081001" w:rsidRDefault="00081001" w:rsidP="00081001">
      <w:pPr>
        <w:pStyle w:val="Commentaire"/>
      </w:pPr>
    </w:p>
    <w:p w14:paraId="152C61B2" w14:textId="77777777" w:rsidR="00081001" w:rsidRDefault="00081001" w:rsidP="00081001">
      <w:pPr>
        <w:pStyle w:val="Commentaire"/>
      </w:pPr>
      <w:r>
        <w:rPr>
          <w:b/>
          <w:bCs/>
        </w:rPr>
        <w:t>CoI</w:t>
      </w:r>
    </w:p>
    <w:p w14:paraId="096D4F76" w14:textId="77777777" w:rsidR="00081001" w:rsidRDefault="00081001" w:rsidP="00081001">
      <w:pPr>
        <w:pStyle w:val="Commentaire"/>
      </w:pPr>
      <w:r>
        <w:t>Marco Solmi has received honoraria/has been a consultant for AbbVie, Angelini, Bausch Health, Boehringer Ingelheim, Pharmascience, Lundbeck, Otsuka, Teva. Marco Solmi holds shares of MESAS, S2M.</w:t>
      </w:r>
    </w:p>
  </w:comment>
  <w:comment w:id="1" w:author="Marco Solmi" w:date="2026-01-25T15:43:00Z" w:initials="MS">
    <w:p w14:paraId="35FC264A" w14:textId="77777777" w:rsidR="0042578C" w:rsidRDefault="0042578C" w:rsidP="0042578C">
      <w:pPr>
        <w:pStyle w:val="Commentaire"/>
      </w:pPr>
      <w:r>
        <w:rPr>
          <w:rStyle w:val="Marquedecommentaire"/>
        </w:rPr>
        <w:annotationRef/>
      </w:r>
      <w:r>
        <w:rPr>
          <w:lang w:val="en-CA"/>
        </w:rPr>
        <w:t>See also if adding Argie to this makes sense as it is line with our CIHR grant and living SR we both got as co-PA</w:t>
      </w:r>
    </w:p>
  </w:comment>
  <w:comment w:id="2" w:author="Marco Solmi" w:date="2026-01-25T15:41:00Z" w:initials="MS">
    <w:p w14:paraId="1AAE7F10" w14:textId="77777777" w:rsidR="00950516" w:rsidRDefault="00950516" w:rsidP="00950516">
      <w:pPr>
        <w:pStyle w:val="Commentaire"/>
      </w:pPr>
      <w:r>
        <w:rPr>
          <w:rStyle w:val="Marquedecommentaire"/>
        </w:rPr>
        <w:annotationRef/>
      </w:r>
      <w:r>
        <w:rPr>
          <w:lang w:val="en-CA"/>
        </w:rPr>
        <w:t>We must cite our living SR no?</w:t>
      </w:r>
    </w:p>
    <w:p w14:paraId="334D3EB0" w14:textId="77777777" w:rsidR="00950516" w:rsidRDefault="00950516" w:rsidP="00950516">
      <w:pPr>
        <w:pStyle w:val="Commentaire"/>
      </w:pPr>
    </w:p>
    <w:p w14:paraId="17075726" w14:textId="77777777" w:rsidR="00950516" w:rsidRDefault="00950516" w:rsidP="00950516">
      <w:pPr>
        <w:pStyle w:val="Commentaire"/>
      </w:pPr>
      <w:r>
        <w:rPr>
          <w:color w:val="212121"/>
          <w:highlight w:val="white"/>
          <w:lang w:val="en-CA"/>
        </w:rPr>
        <w:t>Højlund M, Kafali HY, Kırmızı B, Fusar-Poli P, Correll CU, Cortese S, Sabé M, Fiedorowicz J, Saraf G, Zein J, Berk M, Husain MI, Rosenblat JD, Rubaiyat R, Corace K, Wong S, Hatcher S, Kaluzienski M, Yatham LN, Cipriani A, Gosling CJ, Carhart-Harris R, Tanuseputro P, Myran DT, Fabiano N, Moher D, Mayo LM, Nicholls SG, White T, Prisco M, Radua J, Vieta E, Ladha KS, Katz J, Veroniki AA, Solmi M. Efficacy, all-cause discontinuation, and safety of serotonergic psychedelics and MDMA to treat mental disorders: A living systematic review with meta-analysis. Eur Neuropsychopharmacol. 2025 Dec;101:41-55. doi: 10.1016/j.euroneuro.2025.09.011. Epub 2025 Nov 7. PMID: 41205366.</w:t>
      </w:r>
      <w:r>
        <w:rPr>
          <w:lang w:val="en-CA"/>
        </w:rPr>
        <w:t xml:space="preserve"> </w:t>
      </w:r>
    </w:p>
  </w:comment>
  <w:comment w:id="3" w:author="Marco Solmi" w:date="2026-01-25T15:42:00Z" w:initials="MS">
    <w:p w14:paraId="0C29F16B" w14:textId="77777777" w:rsidR="00E462C7" w:rsidRDefault="00E462C7" w:rsidP="00E462C7">
      <w:pPr>
        <w:pStyle w:val="Commentaire"/>
      </w:pPr>
      <w:r>
        <w:rPr>
          <w:rStyle w:val="Marquedecommentaire"/>
        </w:rPr>
        <w:annotationRef/>
      </w:r>
      <w:r>
        <w:rPr>
          <w:lang w:val="en-CA"/>
        </w:rPr>
        <w:t>Ref - need German author?</w:t>
      </w:r>
    </w:p>
  </w:comment>
  <w:comment w:id="6" w:author="Marco Solmi" w:date="2026-01-25T15:45:00Z" w:initials="MS">
    <w:p w14:paraId="78C48F4B" w14:textId="77777777" w:rsidR="003E444A" w:rsidRDefault="003E444A" w:rsidP="003E444A">
      <w:pPr>
        <w:pStyle w:val="Commentaire"/>
      </w:pPr>
      <w:r>
        <w:rPr>
          <w:rStyle w:val="Marquedecommentaire"/>
        </w:rPr>
        <w:annotationRef/>
      </w:r>
      <w:r>
        <w:rPr>
          <w:lang w:val="en-CA"/>
        </w:rPr>
        <w:t>So we need Mikkel and Argie on this paper if we build on our living SR.</w:t>
      </w:r>
    </w:p>
    <w:p w14:paraId="60091575" w14:textId="77777777" w:rsidR="003E444A" w:rsidRDefault="003E444A" w:rsidP="003E444A">
      <w:pPr>
        <w:pStyle w:val="Commentaire"/>
      </w:pPr>
      <w:r>
        <w:rPr>
          <w:lang w:val="en-CA"/>
        </w:rPr>
        <w:t>Also what author order were youthinking of here?</w:t>
      </w:r>
    </w:p>
  </w:comment>
  <w:comment w:id="11" w:author="Marco Solmi" w:date="2026-01-25T15:47:00Z" w:initials="MS">
    <w:p w14:paraId="1A4177FD" w14:textId="77777777" w:rsidR="00155F16" w:rsidRDefault="00155F16" w:rsidP="00155F16">
      <w:pPr>
        <w:pStyle w:val="Commentaire"/>
      </w:pPr>
      <w:r>
        <w:rPr>
          <w:rStyle w:val="Marquedecommentaire"/>
        </w:rPr>
        <w:annotationRef/>
      </w:r>
      <w:r>
        <w:rPr>
          <w:lang w:val="en-CA"/>
        </w:rPr>
        <w:t>Are we making the script available in supmat?</w:t>
      </w:r>
    </w:p>
  </w:comment>
  <w:comment w:id="12" w:author="ESKINAZI Mickael" w:date="2026-02-03T21:06:00Z" w:initials="ME">
    <w:p w14:paraId="23C93AD2" w14:textId="77777777" w:rsidR="00C97945" w:rsidRDefault="00C97945" w:rsidP="00C97945">
      <w:r>
        <w:rPr>
          <w:rStyle w:val="Marquedecommentaire"/>
        </w:rPr>
        <w:annotationRef/>
      </w:r>
      <w:r>
        <w:rPr>
          <w:sz w:val="20"/>
          <w:szCs w:val="20"/>
          <w:lang w:val="fr" w:eastAsia="en-US"/>
        </w:rPr>
        <w:t xml:space="preserve">the script is available on github : </w:t>
      </w:r>
      <w:hyperlink r:id="rId1" w:history="1">
        <w:r w:rsidRPr="00E56E01">
          <w:rPr>
            <w:rStyle w:val="Lienhypertexte"/>
            <w:sz w:val="20"/>
            <w:szCs w:val="20"/>
            <w:lang w:val="fr" w:eastAsia="en-US"/>
          </w:rPr>
          <w:t>https://github.com/mickaeleskinazi/metaanalysis-psychedelics</w:t>
        </w:r>
      </w:hyperlink>
    </w:p>
  </w:comment>
  <w:comment w:id="13" w:author="Marco Solmi" w:date="2026-01-25T15:48:00Z" w:initials="MS">
    <w:p w14:paraId="2D5DEB4B" w14:textId="13B638E0" w:rsidR="00704E0E" w:rsidRDefault="00704E0E" w:rsidP="00704E0E">
      <w:pPr>
        <w:pStyle w:val="Commentaire"/>
      </w:pPr>
      <w:r>
        <w:rPr>
          <w:rStyle w:val="Marquedecommentaire"/>
        </w:rPr>
        <w:annotationRef/>
      </w:r>
      <w:r>
        <w:rPr>
          <w:lang w:val="en-CA"/>
        </w:rPr>
        <w:t>But we kept microdosing different from placebo and dose 0 correct?</w:t>
      </w:r>
    </w:p>
  </w:comment>
  <w:comment w:id="14" w:author="ESKINAZI Mickael" w:date="2026-02-03T21:06:00Z" w:initials="ME">
    <w:p w14:paraId="6118AA2B" w14:textId="77777777" w:rsidR="00B91CE2" w:rsidRDefault="00C97945" w:rsidP="00B91CE2">
      <w:r>
        <w:rPr>
          <w:rStyle w:val="Marquedecommentaire"/>
        </w:rPr>
        <w:annotationRef/>
      </w:r>
      <w:r w:rsidR="00B91CE2">
        <w:rPr>
          <w:color w:val="E8E8E8"/>
          <w:sz w:val="20"/>
          <w:szCs w:val="20"/>
          <w:lang w:val="fr" w:eastAsia="en-US"/>
        </w:rPr>
        <w:t>Yes. Microdosing was kept separate from both placebo and dose 0 in all analyses and was not collapsed into the placebo group or treated as a true zero-dose condition.</w:t>
      </w:r>
    </w:p>
    <w:p w14:paraId="6F052DAE" w14:textId="77777777" w:rsidR="00B91CE2" w:rsidRDefault="00B91CE2" w:rsidP="00B91CE2"/>
  </w:comment>
  <w:comment w:id="15" w:author="Marco Solmi" w:date="2026-01-25T15:49:00Z" w:initials="MS">
    <w:p w14:paraId="6CEC8D04" w14:textId="17F3E497" w:rsidR="00B776B0" w:rsidRDefault="00B776B0" w:rsidP="00B776B0">
      <w:pPr>
        <w:pStyle w:val="Commentaire"/>
      </w:pPr>
      <w:r>
        <w:rPr>
          <w:rStyle w:val="Marquedecommentaire"/>
        </w:rPr>
        <w:annotationRef/>
      </w:r>
      <w:r>
        <w:rPr>
          <w:lang w:val="en-CA"/>
        </w:rPr>
        <w:t>But we did not mix timepoints correct?</w:t>
      </w:r>
    </w:p>
  </w:comment>
  <w:comment w:id="16" w:author="ESKINAZI Mickael" w:date="2026-02-03T21:08:00Z" w:initials="ME">
    <w:p w14:paraId="4E07387E" w14:textId="77777777" w:rsidR="00C97945" w:rsidRDefault="00C97945" w:rsidP="00C97945">
      <w:r>
        <w:rPr>
          <w:rStyle w:val="Marquedecommentaire"/>
        </w:rPr>
        <w:annotationRef/>
      </w:r>
      <w:r>
        <w:rPr>
          <w:color w:val="E8E8E8"/>
          <w:sz w:val="20"/>
          <w:szCs w:val="20"/>
          <w:lang w:val="fr" w:eastAsia="en-US"/>
        </w:rPr>
        <w:t>No tmepoints were not mixed. Acute (session) and delayed (follow-up) windows were analysed separately, using stratified models</w:t>
      </w:r>
    </w:p>
    <w:p w14:paraId="472FF292" w14:textId="77777777" w:rsidR="00C97945" w:rsidRDefault="00C97945" w:rsidP="00C97945"/>
  </w:comment>
  <w:comment w:id="17" w:author="Marco Solmi" w:date="2026-01-25T15:51:00Z" w:initials="MS">
    <w:p w14:paraId="1FAB00D7" w14:textId="0E6CDD4F" w:rsidR="00AE0DFD" w:rsidRDefault="00AE0DFD" w:rsidP="00AE0DFD">
      <w:pPr>
        <w:pStyle w:val="Commentaire"/>
      </w:pPr>
      <w:r>
        <w:rPr>
          <w:rStyle w:val="Marquedecommentaire"/>
        </w:rPr>
        <w:annotationRef/>
      </w:r>
      <w:r>
        <w:rPr>
          <w:lang w:val="en-CA"/>
        </w:rPr>
        <w:t>Add link</w:t>
      </w:r>
    </w:p>
  </w:comment>
  <w:comment w:id="18" w:author="ESKINAZI Mickael" w:date="2026-02-03T21:32:00Z" w:initials="ME">
    <w:p w14:paraId="00F0F054" w14:textId="77777777" w:rsidR="00B91CE2" w:rsidRDefault="00B91CE2" w:rsidP="00B91CE2">
      <w:r>
        <w:rPr>
          <w:rStyle w:val="Marquedecommentaire"/>
        </w:rPr>
        <w:annotationRef/>
      </w:r>
      <w:r>
        <w:rPr>
          <w:sz w:val="20"/>
          <w:szCs w:val="20"/>
          <w:lang w:val="fr" w:eastAsia="en-US"/>
        </w:rPr>
        <w:t>done</w:t>
      </w:r>
    </w:p>
    <w:p w14:paraId="3AB33360" w14:textId="77777777" w:rsidR="00B91CE2" w:rsidRDefault="00B91CE2" w:rsidP="00B91CE2"/>
  </w:comment>
  <w:comment w:id="21" w:author="Marco Solmi" w:date="2026-01-25T15:53:00Z" w:initials="MS">
    <w:p w14:paraId="19E4C224" w14:textId="77777777" w:rsidR="00596D12" w:rsidRDefault="00596D12" w:rsidP="00596D12">
      <w:pPr>
        <w:pStyle w:val="Commentaire"/>
      </w:pPr>
      <w:r>
        <w:rPr>
          <w:rStyle w:val="Marquedecommentaire"/>
        </w:rPr>
        <w:annotationRef/>
      </w:r>
      <w:r>
        <w:rPr>
          <w:lang w:val="en-CA"/>
        </w:rPr>
        <w:t>Can you cross-sheck with our living SR? We had that as an inclusion criterion. Clincial diagnosis might also be allowed? Or validated questionnaires based on DSM criteria? Need to clarify this also in the methods</w:t>
      </w:r>
    </w:p>
  </w:comment>
  <w:comment w:id="22" w:author="Marco Solmi" w:date="2026-01-25T15:55:00Z" w:initials="MS">
    <w:p w14:paraId="32430ADD" w14:textId="7F216224" w:rsidR="00721977" w:rsidRDefault="00721977" w:rsidP="00721977">
      <w:pPr>
        <w:pStyle w:val="Commentaire"/>
      </w:pPr>
      <w:r>
        <w:rPr>
          <w:rStyle w:val="Marquedecommentaire"/>
        </w:rPr>
        <w:annotationRef/>
      </w:r>
      <w:r>
        <w:rPr>
          <w:lang w:val="en-CA"/>
        </w:rPr>
        <w:t>Can u confirm these microdoses were not dose=0 but were kept separate from the dose=0 applied to placebo arms or active placebo arms?</w:t>
      </w:r>
    </w:p>
  </w:comment>
  <w:comment w:id="23" w:author="ESKINAZI Mickael" w:date="2026-02-03T23:31:00Z" w:initials="ME">
    <w:p w14:paraId="250914A2" w14:textId="77777777" w:rsidR="00B877A7" w:rsidRDefault="00B877A7" w:rsidP="00B877A7">
      <w:r>
        <w:rPr>
          <w:rStyle w:val="Marquedecommentaire"/>
        </w:rPr>
        <w:annotationRef/>
      </w:r>
      <w:r>
        <w:rPr>
          <w:sz w:val="20"/>
          <w:szCs w:val="20"/>
          <w:lang w:val="fr" w:eastAsia="en-US"/>
        </w:rPr>
        <w:t xml:space="preserve">yes i confirm it ! </w:t>
      </w:r>
    </w:p>
    <w:p w14:paraId="075CC0BE" w14:textId="77777777" w:rsidR="00B877A7" w:rsidRDefault="00B877A7" w:rsidP="00B877A7"/>
  </w:comment>
  <w:comment w:id="24" w:author="Marco Solmi" w:date="2026-01-25T15:56:00Z" w:initials="MS">
    <w:p w14:paraId="1CB47A28" w14:textId="29FE9D60" w:rsidR="00FA2744" w:rsidRDefault="00FA2744" w:rsidP="00FA2744">
      <w:pPr>
        <w:pStyle w:val="Commentaire"/>
      </w:pPr>
      <w:r>
        <w:rPr>
          <w:rStyle w:val="Marquedecommentaire"/>
        </w:rPr>
        <w:annotationRef/>
      </w:r>
      <w:r>
        <w:rPr>
          <w:lang w:val="en-CA"/>
        </w:rPr>
        <w:t>What do u mean? Comparisons across all doses comparators and outcomes?</w:t>
      </w:r>
    </w:p>
  </w:comment>
  <w:comment w:id="25" w:author="ESKINAZI Mickael" w:date="2026-02-05T14:28:00Z" w:initials="ME">
    <w:p w14:paraId="11103D20" w14:textId="77777777" w:rsidR="00E5054F" w:rsidRDefault="00E5054F" w:rsidP="00E5054F">
      <w:r>
        <w:rPr>
          <w:rStyle w:val="Marquedecommentaire"/>
        </w:rPr>
        <w:annotationRef/>
      </w:r>
      <w:r>
        <w:rPr>
          <w:sz w:val="20"/>
          <w:szCs w:val="20"/>
          <w:lang w:val="fr" w:eastAsia="en-US"/>
        </w:rPr>
        <w:t>here contrasts corresponds to one active-dose vs reference-arm comparison for one harmonized AE term at one assessment window (session or follow-up)</w:t>
      </w:r>
    </w:p>
  </w:comment>
  <w:comment w:id="28" w:author="Marco Solmi" w:date="2026-01-25T16:01:00Z" w:initials="MS">
    <w:p w14:paraId="5E0320E3" w14:textId="1AADE5B6" w:rsidR="00951045" w:rsidRDefault="00951045" w:rsidP="00951045">
      <w:pPr>
        <w:pStyle w:val="Commentaire"/>
      </w:pPr>
      <w:r>
        <w:rPr>
          <w:rStyle w:val="Marquedecommentaire"/>
        </w:rPr>
        <w:annotationRef/>
      </w:r>
      <w:r>
        <w:rPr>
          <w:lang w:val="en-CA"/>
        </w:rPr>
        <w:t>For what AE? Below we say they do not survive correction. Was this for any AE?</w:t>
      </w:r>
    </w:p>
  </w:comment>
  <w:comment w:id="29" w:author="ESKINAZI Mickael" w:date="2026-02-05T14:39:00Z" w:initials="ME">
    <w:p w14:paraId="3CDB2D5F" w14:textId="77777777" w:rsidR="00B13BA1" w:rsidRDefault="00B13BA1" w:rsidP="00B13BA1">
      <w:r>
        <w:rPr>
          <w:rStyle w:val="Marquedecommentaire"/>
        </w:rPr>
        <w:annotationRef/>
      </w:r>
      <w:r>
        <w:rPr>
          <w:color w:val="E8E8E8"/>
          <w:sz w:val="20"/>
          <w:szCs w:val="20"/>
          <w:lang w:val="fr" w:eastAsia="en-US"/>
        </w:rPr>
        <w:t>For none individually after correction.</w:t>
      </w:r>
    </w:p>
    <w:p w14:paraId="3F6857F9" w14:textId="77777777" w:rsidR="00B13BA1" w:rsidRDefault="00B13BA1" w:rsidP="00B13BA1">
      <w:r>
        <w:rPr>
          <w:color w:val="E8E8E8"/>
          <w:sz w:val="20"/>
          <w:szCs w:val="20"/>
          <w:lang w:val="fr" w:eastAsia="en-US"/>
        </w:rPr>
        <w:t xml:space="preserve">Yes it seems paradoxal but the global signal reflects a composite increase in AE burden, not a single driving AE. for the global DR we pool information across heterogeneous AEs, as i understand it, dose increase the probability to have one AE but none AE can explain it , the effect of dose is diffuse.. maybe i could add in the paper something to clarify it : </w:t>
      </w:r>
    </w:p>
    <w:p w14:paraId="2103C9B8" w14:textId="77777777" w:rsidR="00B13BA1" w:rsidRDefault="00B13BA1" w:rsidP="00B13BA1">
      <w:r>
        <w:rPr>
          <w:color w:val="E8E8E8"/>
          <w:sz w:val="20"/>
          <w:szCs w:val="20"/>
          <w:lang w:val="fr" w:eastAsia="en-US"/>
        </w:rPr>
        <w:t>Global dose–response effects capture cumulative AE risk across heterogeneous events, whereas AE-specific signals lacked sufficient power to withstand false-discovery correction.</w:t>
      </w:r>
    </w:p>
    <w:p w14:paraId="565E497D" w14:textId="77777777" w:rsidR="00B13BA1" w:rsidRDefault="00B13BA1" w:rsidP="00B13BA1"/>
  </w:comment>
  <w:comment w:id="31" w:author="Marco Solmi" w:date="2026-01-25T15:59:00Z" w:initials="MS">
    <w:p w14:paraId="02BCD4EB" w14:textId="77777777" w:rsidR="00374756" w:rsidRDefault="00374756" w:rsidP="00374756">
      <w:pPr>
        <w:pStyle w:val="Commentaire"/>
      </w:pPr>
      <w:r>
        <w:rPr>
          <w:rStyle w:val="Marquedecommentaire"/>
        </w:rPr>
        <w:annotationRef/>
      </w:r>
      <w:r>
        <w:rPr>
          <w:lang w:val="en-CA"/>
        </w:rPr>
        <w:t>Important to highlight in the abstract.</w:t>
      </w:r>
    </w:p>
  </w:comment>
  <w:comment w:id="32" w:author="ESKINAZI Mickael" w:date="2026-02-05T14:39:00Z" w:initials="ME">
    <w:p w14:paraId="1CC726AC" w14:textId="77777777" w:rsidR="00B13BA1" w:rsidRDefault="00B13BA1" w:rsidP="00B13BA1">
      <w:r>
        <w:rPr>
          <w:rStyle w:val="Marquedecommentaire"/>
        </w:rPr>
        <w:annotationRef/>
      </w:r>
      <w:r>
        <w:rPr>
          <w:sz w:val="20"/>
          <w:szCs w:val="20"/>
          <w:lang w:val="fr" w:eastAsia="en-US"/>
        </w:rPr>
        <w:t>ok thanks</w:t>
      </w:r>
    </w:p>
  </w:comment>
  <w:comment w:id="33" w:author="Marco Solmi" w:date="2026-01-25T16:00:00Z" w:initials="MS">
    <w:p w14:paraId="581470CC" w14:textId="17764CFE" w:rsidR="002857BC" w:rsidRDefault="002857BC" w:rsidP="002857BC">
      <w:pPr>
        <w:pStyle w:val="Commentaire"/>
      </w:pPr>
      <w:r>
        <w:rPr>
          <w:rStyle w:val="Marquedecommentaire"/>
        </w:rPr>
        <w:annotationRef/>
      </w:r>
      <w:r>
        <w:rPr>
          <w:lang w:val="en-CA"/>
        </w:rPr>
        <w:t>Move to discussion</w:t>
      </w:r>
    </w:p>
  </w:comment>
  <w:comment w:id="34" w:author="ESKINAZI Mickael" w:date="2026-02-05T15:20:00Z" w:initials="ME">
    <w:p w14:paraId="77093717" w14:textId="77777777" w:rsidR="007F23AA" w:rsidRDefault="007F23AA" w:rsidP="007F23AA">
      <w:r>
        <w:rPr>
          <w:rStyle w:val="Marquedecommentaire"/>
        </w:rPr>
        <w:annotationRef/>
      </w:r>
      <w:r>
        <w:rPr>
          <w:sz w:val="20"/>
          <w:szCs w:val="20"/>
          <w:lang w:val="fr" w:eastAsia="en-US"/>
        </w:rPr>
        <w:t>ok</w:t>
      </w:r>
    </w:p>
  </w:comment>
  <w:comment w:id="35" w:author="Marco Solmi" w:date="2026-01-25T16:04:00Z" w:initials="MS">
    <w:p w14:paraId="2C5EB1F0" w14:textId="614ED16D" w:rsidR="00556CAC" w:rsidRDefault="00556CAC" w:rsidP="00556CAC">
      <w:pPr>
        <w:pStyle w:val="Commentaire"/>
      </w:pPr>
      <w:r>
        <w:rPr>
          <w:rStyle w:val="Marquedecommentaire"/>
        </w:rPr>
        <w:annotationRef/>
      </w:r>
      <w:r>
        <w:rPr>
          <w:lang w:val="en-CA"/>
        </w:rPr>
        <w:t>This is a different approach though compared with the dose response and sort of overlaps with the previous living SR we did where we also looked into AE&gt; I suggest we remove from this paper but we move it to a separate paper where we explicit that we looked at endpoint AND follow-up safety profile of psychedelcis and MDMA, which would make the MA novel and self-standing.</w:t>
      </w:r>
    </w:p>
  </w:comment>
  <w:comment w:id="36" w:author="ESKINAZI Mickael" w:date="2026-02-05T14:40:00Z" w:initials="ME">
    <w:p w14:paraId="6950225F" w14:textId="77777777" w:rsidR="00B13BA1" w:rsidRDefault="00B13BA1" w:rsidP="00B13BA1">
      <w:r>
        <w:rPr>
          <w:rStyle w:val="Marquedecommentaire"/>
        </w:rPr>
        <w:annotationRef/>
      </w:r>
      <w:r>
        <w:rPr>
          <w:sz w:val="20"/>
          <w:szCs w:val="20"/>
          <w:lang w:val="fr" w:eastAsia="en-US"/>
        </w:rPr>
        <w:t xml:space="preserve">I will do it like that </w:t>
      </w:r>
    </w:p>
  </w:comment>
  <w:comment w:id="37" w:author="Marco Solmi" w:date="2026-01-25T16:05:00Z" w:initials="MS">
    <w:p w14:paraId="064A606C" w14:textId="4D68B99E" w:rsidR="006006BD" w:rsidRDefault="006006BD" w:rsidP="006006BD">
      <w:pPr>
        <w:pStyle w:val="Commentaire"/>
      </w:pPr>
      <w:r>
        <w:rPr>
          <w:rStyle w:val="Marquedecommentaire"/>
        </w:rPr>
        <w:annotationRef/>
      </w:r>
      <w:r>
        <w:rPr>
          <w:lang w:val="en-CA"/>
        </w:rPr>
        <w:t>Overlaps with previous MA</w:t>
      </w:r>
    </w:p>
  </w:comment>
  <w:comment w:id="38" w:author="Marco Solmi" w:date="2026-01-25T16:03:00Z" w:initials="MS">
    <w:p w14:paraId="201BD18F" w14:textId="77777777" w:rsidR="00556CAC" w:rsidRDefault="00556CAC" w:rsidP="00556CAC">
      <w:pPr>
        <w:pStyle w:val="Commentaire"/>
      </w:pPr>
      <w:r>
        <w:rPr>
          <w:rStyle w:val="Marquedecommentaire"/>
        </w:rPr>
        <w:annotationRef/>
      </w:r>
      <w:r>
        <w:rPr>
          <w:lang w:val="en-CA"/>
        </w:rPr>
        <w:t>Move to discussion. Relevant for abstract.</w:t>
      </w:r>
    </w:p>
  </w:comment>
  <w:comment w:id="39" w:author="Marco Solmi" w:date="2026-01-25T16:04:00Z" w:initials="MS">
    <w:p w14:paraId="3901B69C" w14:textId="77777777" w:rsidR="00556CAC" w:rsidRDefault="00556CAC" w:rsidP="00556CAC">
      <w:pPr>
        <w:pStyle w:val="Commentaire"/>
      </w:pPr>
      <w:r>
        <w:rPr>
          <w:rStyle w:val="Marquedecommentaire"/>
        </w:rPr>
        <w:annotationRef/>
      </w:r>
      <w:r>
        <w:rPr>
          <w:lang w:val="en-CA"/>
        </w:rPr>
        <w:t>But see abnove I suggest to move to other paper. Else we have different approaches which can make this confusing</w:t>
      </w:r>
    </w:p>
  </w:comment>
  <w:comment w:id="40" w:author="Marco Solmi" w:date="2026-01-25T16:05:00Z" w:initials="MS">
    <w:p w14:paraId="0D58CFB5" w14:textId="77777777" w:rsidR="006006BD" w:rsidRDefault="006006BD" w:rsidP="006006BD">
      <w:pPr>
        <w:pStyle w:val="Commentaire"/>
      </w:pPr>
      <w:r>
        <w:rPr>
          <w:rStyle w:val="Marquedecommentaire"/>
        </w:rPr>
        <w:annotationRef/>
      </w:r>
      <w:r>
        <w:rPr>
          <w:lang w:val="en-CA"/>
        </w:rPr>
        <w:t>Overlaps with previous MA</w:t>
      </w:r>
    </w:p>
  </w:comment>
  <w:comment w:id="41" w:author="Marco Solmi" w:date="2026-01-25T16:05:00Z" w:initials="MS">
    <w:p w14:paraId="0B131488" w14:textId="77777777" w:rsidR="006006BD" w:rsidRDefault="006006BD" w:rsidP="006006BD">
      <w:pPr>
        <w:pStyle w:val="Commentaire"/>
      </w:pPr>
      <w:r>
        <w:rPr>
          <w:rStyle w:val="Marquedecommentaire"/>
        </w:rPr>
        <w:annotationRef/>
      </w:r>
      <w:r>
        <w:rPr>
          <w:lang w:val="en-CA"/>
        </w:rPr>
        <w:t>Overlaps with previous MA</w:t>
      </w:r>
    </w:p>
  </w:comment>
  <w:comment w:id="44" w:author="Marco Solmi" w:date="2026-01-25T16:09:00Z" w:initials="MS">
    <w:p w14:paraId="6BCA942F" w14:textId="77777777" w:rsidR="0061795C" w:rsidRDefault="0061795C" w:rsidP="0061795C">
      <w:pPr>
        <w:pStyle w:val="Commentaire"/>
      </w:pPr>
      <w:r>
        <w:rPr>
          <w:rStyle w:val="Marquedecommentaire"/>
        </w:rPr>
        <w:annotationRef/>
      </w:r>
      <w:r>
        <w:rPr>
          <w:lang w:val="en-CA"/>
        </w:rPr>
        <w:t>? Above you state only for LSD the dose-response is mantained at follow-up. If this is any substance, I recommend against pooling different substances as per extensive conversation in our living SR.</w:t>
      </w:r>
    </w:p>
  </w:comment>
  <w:comment w:id="45" w:author="ESKINAZI Mickael" w:date="2026-02-05T15:23:00Z" w:initials="ME">
    <w:p w14:paraId="2D0E714B" w14:textId="77777777" w:rsidR="007F23AA" w:rsidRDefault="007F23AA" w:rsidP="007F23AA">
      <w:r>
        <w:rPr>
          <w:rStyle w:val="Marquedecommentaire"/>
        </w:rPr>
        <w:annotationRef/>
      </w:r>
      <w:r>
        <w:rPr>
          <w:sz w:val="20"/>
          <w:szCs w:val="20"/>
          <w:lang w:val="fr" w:eastAsia="en-US"/>
        </w:rPr>
        <w:t xml:space="preserve">Yes its only for LSD, maybe the sentence was confusing, i will change it </w:t>
      </w:r>
    </w:p>
  </w:comment>
  <w:comment w:id="46" w:author="Marco Solmi" w:date="2026-01-25T16:09:00Z" w:initials="MS">
    <w:p w14:paraId="77A7F75B" w14:textId="390E6E47" w:rsidR="00F04387" w:rsidRDefault="00F04387" w:rsidP="00F04387">
      <w:pPr>
        <w:pStyle w:val="Commentaire"/>
      </w:pPr>
      <w:r>
        <w:rPr>
          <w:rStyle w:val="Marquedecommentaire"/>
        </w:rPr>
        <w:annotationRef/>
      </w:r>
      <w:r>
        <w:rPr>
          <w:lang w:val="en-CA"/>
        </w:rPr>
        <w:t>? Any adverse event? Can we not also look into serious advers events?</w:t>
      </w:r>
    </w:p>
  </w:comment>
  <w:comment w:id="47" w:author="ESKINAZI Mickael" w:date="2026-02-05T15:26:00Z" w:initials="ME">
    <w:p w14:paraId="2065BC48" w14:textId="77777777" w:rsidR="007F23AA" w:rsidRDefault="007F23AA" w:rsidP="007F23AA">
      <w:r>
        <w:rPr>
          <w:rStyle w:val="Marquedecommentaire"/>
        </w:rPr>
        <w:annotationRef/>
      </w:r>
      <w:r>
        <w:rPr>
          <w:sz w:val="20"/>
          <w:szCs w:val="20"/>
          <w:lang w:val="fr" w:eastAsia="en-US"/>
        </w:rPr>
        <w:t>For serious adverse effect, if i remember well each rct shows no significativity</w:t>
      </w:r>
    </w:p>
  </w:comment>
  <w:comment w:id="48" w:author="Marco Solmi" w:date="2026-01-25T16:10:00Z" w:initials="MS">
    <w:p w14:paraId="23CEA336" w14:textId="30D3E547" w:rsidR="00317D8C" w:rsidRDefault="00317D8C" w:rsidP="00317D8C">
      <w:pPr>
        <w:pStyle w:val="Commentaire"/>
      </w:pPr>
      <w:r>
        <w:rPr>
          <w:rStyle w:val="Marquedecommentaire"/>
        </w:rPr>
        <w:annotationRef/>
      </w:r>
      <w:r>
        <w:rPr>
          <w:lang w:val="en-CA"/>
        </w:rPr>
        <w:t>Recommend to split in separate paper.</w:t>
      </w:r>
    </w:p>
  </w:comment>
  <w:comment w:id="49" w:author="Marco Solmi" w:date="2026-01-25T16:10:00Z" w:initials="MS">
    <w:p w14:paraId="6E1C2FF2" w14:textId="77777777" w:rsidR="003E11E3" w:rsidRDefault="003E11E3" w:rsidP="003E11E3">
      <w:pPr>
        <w:pStyle w:val="Commentaire"/>
      </w:pPr>
      <w:r>
        <w:rPr>
          <w:rStyle w:val="Marquedecommentaire"/>
        </w:rPr>
        <w:annotationRef/>
      </w:r>
      <w:r>
        <w:rPr>
          <w:lang w:val="en-CA"/>
        </w:rPr>
        <w:t>Sorry not clear did we pool all substances together or is this on any AE? Cannot pool different substacnes together</w:t>
      </w:r>
    </w:p>
  </w:comment>
  <w:comment w:id="50" w:author="ESKINAZI Mickael" w:date="2026-02-05T15:27:00Z" w:initials="ME">
    <w:p w14:paraId="3767CE8F" w14:textId="77777777" w:rsidR="007F23AA" w:rsidRDefault="007F23AA" w:rsidP="007F23AA">
      <w:r>
        <w:rPr>
          <w:rStyle w:val="Marquedecommentaire"/>
        </w:rPr>
        <w:annotationRef/>
      </w:r>
      <w:r>
        <w:rPr>
          <w:sz w:val="20"/>
          <w:szCs w:val="20"/>
          <w:lang w:val="fr" w:eastAsia="en-US"/>
        </w:rPr>
        <w:t xml:space="preserve">it's only on any AE, we never pool all substance together </w:t>
      </w:r>
    </w:p>
  </w:comment>
  <w:comment w:id="51" w:author="Marco Solmi" w:date="2026-01-25T16:12:00Z" w:initials="MS">
    <w:p w14:paraId="655FE351" w14:textId="0DCAE478" w:rsidR="00691C81" w:rsidRDefault="00691C81" w:rsidP="00691C81">
      <w:pPr>
        <w:pStyle w:val="Commentaire"/>
      </w:pPr>
      <w:r>
        <w:rPr>
          <w:rStyle w:val="Marquedecommentaire"/>
        </w:rPr>
        <w:annotationRef/>
      </w:r>
      <w:r>
        <w:rPr>
          <w:lang w:val="en-CA"/>
        </w:rPr>
        <w:t>I would call these “prelimiary” findings and even if they do not survive the very strict statistical correction they should still appear in the abstract</w:t>
      </w:r>
    </w:p>
  </w:comment>
  <w:comment w:id="52" w:author="ESKINAZI Mickael" w:date="2026-02-05T15:27:00Z" w:initials="ME">
    <w:p w14:paraId="3568C964" w14:textId="77777777" w:rsidR="007F23AA" w:rsidRDefault="007F23AA" w:rsidP="007F23AA">
      <w:r>
        <w:rPr>
          <w:rStyle w:val="Marquedecommentaire"/>
        </w:rPr>
        <w:annotationRef/>
      </w:r>
      <w:r>
        <w:rPr>
          <w:sz w:val="20"/>
          <w:szCs w:val="20"/>
          <w:lang w:val="fr" w:eastAsia="en-US"/>
        </w:rPr>
        <w:t xml:space="preserve">Ok thank you </w:t>
      </w:r>
    </w:p>
  </w:comment>
  <w:comment w:id="53" w:author="Marco Solmi" w:date="2026-01-25T16:14:00Z" w:initials="MS">
    <w:p w14:paraId="0513F7D0" w14:textId="13C52441" w:rsidR="006C245B" w:rsidRDefault="006C245B" w:rsidP="006C245B">
      <w:pPr>
        <w:pStyle w:val="Commentaire"/>
      </w:pPr>
      <w:r>
        <w:rPr>
          <w:rStyle w:val="Marquedecommentaire"/>
        </w:rPr>
        <w:annotationRef/>
      </w:r>
      <w:r>
        <w:rPr>
          <w:lang w:val="en-CA"/>
        </w:rPr>
        <w:t>Perfect. And so let’s leave the follow-up data MA which overlaps with the living SR if we also present the acute safety data for another separate papper. We have enough to discuss focusing on the dose response.</w:t>
      </w:r>
    </w:p>
  </w:comment>
  <w:comment w:id="54" w:author="Marco Solmi" w:date="2026-01-25T16:15:00Z" w:initials="MS">
    <w:p w14:paraId="78F57FAA" w14:textId="77777777" w:rsidR="00AA11B1" w:rsidRDefault="00AA11B1" w:rsidP="00AA11B1">
      <w:pPr>
        <w:pStyle w:val="Commentaire"/>
      </w:pPr>
      <w:r>
        <w:rPr>
          <w:rStyle w:val="Marquedecommentaire"/>
        </w:rPr>
        <w:annotationRef/>
      </w:r>
      <w:r>
        <w:rPr>
          <w:lang w:val="en-CA"/>
        </w:rPr>
        <w:t>Add RCT refs. Also state whether the signal was significant in each individual trial or not. This can also be a major finding.</w:t>
      </w:r>
    </w:p>
  </w:comment>
  <w:comment w:id="55" w:author="Marco Solmi" w:date="2026-01-25T16:16:00Z" w:initials="MS">
    <w:p w14:paraId="5B85304E" w14:textId="77777777" w:rsidR="009F20C0" w:rsidRDefault="009F20C0" w:rsidP="009F20C0">
      <w:pPr>
        <w:pStyle w:val="Commentaire"/>
      </w:pPr>
      <w:r>
        <w:rPr>
          <w:rStyle w:val="Marquedecommentaire"/>
        </w:rPr>
        <w:annotationRef/>
      </w:r>
      <w:r>
        <w:rPr>
          <w:lang w:val="en-CA"/>
        </w:rPr>
        <w:t>Refs of such safety reports</w:t>
      </w:r>
    </w:p>
  </w:comment>
  <w:comment w:id="56" w:author="Marco Solmi" w:date="2026-01-25T16:17:00Z" w:initials="MS">
    <w:p w14:paraId="016EC32D" w14:textId="77777777" w:rsidR="003828BA" w:rsidRDefault="003828BA" w:rsidP="003828BA">
      <w:pPr>
        <w:pStyle w:val="Commentaire"/>
      </w:pPr>
      <w:r>
        <w:rPr>
          <w:rStyle w:val="Marquedecommentaire"/>
        </w:rPr>
        <w:annotationRef/>
      </w:r>
      <w:r>
        <w:rPr>
          <w:lang w:val="en-CA"/>
        </w:rPr>
        <w:t>Rempve for separate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6D4F76" w15:done="0"/>
  <w15:commentEx w15:paraId="35FC264A" w15:paraIdParent="096D4F76" w15:done="0"/>
  <w15:commentEx w15:paraId="17075726" w15:done="0"/>
  <w15:commentEx w15:paraId="0C29F16B" w15:done="0"/>
  <w15:commentEx w15:paraId="60091575" w15:done="0"/>
  <w15:commentEx w15:paraId="1A4177FD" w15:done="0"/>
  <w15:commentEx w15:paraId="23C93AD2" w15:paraIdParent="1A4177FD" w15:done="0"/>
  <w15:commentEx w15:paraId="2D5DEB4B" w15:done="0"/>
  <w15:commentEx w15:paraId="6F052DAE" w15:paraIdParent="2D5DEB4B" w15:done="0"/>
  <w15:commentEx w15:paraId="6CEC8D04" w15:done="0"/>
  <w15:commentEx w15:paraId="472FF292" w15:paraIdParent="6CEC8D04" w15:done="0"/>
  <w15:commentEx w15:paraId="1FAB00D7" w15:done="0"/>
  <w15:commentEx w15:paraId="3AB33360" w15:paraIdParent="1FAB00D7" w15:done="0"/>
  <w15:commentEx w15:paraId="19E4C224" w15:done="0"/>
  <w15:commentEx w15:paraId="32430ADD" w15:done="0"/>
  <w15:commentEx w15:paraId="075CC0BE" w15:paraIdParent="32430ADD" w15:done="0"/>
  <w15:commentEx w15:paraId="1CB47A28" w15:done="0"/>
  <w15:commentEx w15:paraId="11103D20" w15:paraIdParent="1CB47A28" w15:done="0"/>
  <w15:commentEx w15:paraId="5E0320E3" w15:done="0"/>
  <w15:commentEx w15:paraId="565E497D" w15:paraIdParent="5E0320E3" w15:done="0"/>
  <w15:commentEx w15:paraId="02BCD4EB" w15:done="0"/>
  <w15:commentEx w15:paraId="1CC726AC" w15:paraIdParent="02BCD4EB" w15:done="0"/>
  <w15:commentEx w15:paraId="581470CC" w15:done="0"/>
  <w15:commentEx w15:paraId="77093717" w15:paraIdParent="581470CC" w15:done="0"/>
  <w15:commentEx w15:paraId="2C5EB1F0" w15:done="0"/>
  <w15:commentEx w15:paraId="6950225F" w15:paraIdParent="2C5EB1F0" w15:done="0"/>
  <w15:commentEx w15:paraId="064A606C" w15:done="0"/>
  <w15:commentEx w15:paraId="201BD18F" w15:done="0"/>
  <w15:commentEx w15:paraId="3901B69C" w15:paraIdParent="201BD18F" w15:done="0"/>
  <w15:commentEx w15:paraId="0D58CFB5" w15:done="0"/>
  <w15:commentEx w15:paraId="0B131488" w15:done="0"/>
  <w15:commentEx w15:paraId="6BCA942F" w15:done="0"/>
  <w15:commentEx w15:paraId="2D0E714B" w15:paraIdParent="6BCA942F" w15:done="0"/>
  <w15:commentEx w15:paraId="77A7F75B" w15:done="0"/>
  <w15:commentEx w15:paraId="2065BC48" w15:paraIdParent="77A7F75B" w15:done="0"/>
  <w15:commentEx w15:paraId="23CEA336" w15:done="0"/>
  <w15:commentEx w15:paraId="6E1C2FF2" w15:done="0"/>
  <w15:commentEx w15:paraId="3767CE8F" w15:paraIdParent="6E1C2FF2" w15:done="0"/>
  <w15:commentEx w15:paraId="655FE351" w15:done="0"/>
  <w15:commentEx w15:paraId="3568C964" w15:paraIdParent="655FE351" w15:done="0"/>
  <w15:commentEx w15:paraId="0513F7D0" w15:done="0"/>
  <w15:commentEx w15:paraId="78F57FAA" w15:done="0"/>
  <w15:commentEx w15:paraId="5B85304E" w15:done="0"/>
  <w15:commentEx w15:paraId="016EC3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EAFE23" w16cex:dateUtc="2026-01-25T14:39:00Z"/>
  <w16cex:commentExtensible w16cex:durableId="30322140" w16cex:dateUtc="2026-01-25T14:43:00Z"/>
  <w16cex:commentExtensible w16cex:durableId="36F155D8" w16cex:dateUtc="2026-01-25T14:41:00Z"/>
  <w16cex:commentExtensible w16cex:durableId="09CEB8C1" w16cex:dateUtc="2026-01-25T14:42:00Z"/>
  <w16cex:commentExtensible w16cex:durableId="429FC984" w16cex:dateUtc="2026-01-25T14:45:00Z"/>
  <w16cex:commentExtensible w16cex:durableId="55BB70D4" w16cex:dateUtc="2026-01-25T14:47:00Z"/>
  <w16cex:commentExtensible w16cex:durableId="7DCFE543" w16cex:dateUtc="2026-02-03T20:06:00Z"/>
  <w16cex:commentExtensible w16cex:durableId="752BD591" w16cex:dateUtc="2026-01-25T14:48:00Z"/>
  <w16cex:commentExtensible w16cex:durableId="05D310F2" w16cex:dateUtc="2026-02-03T20:06:00Z"/>
  <w16cex:commentExtensible w16cex:durableId="026ADE63" w16cex:dateUtc="2026-01-25T14:49:00Z"/>
  <w16cex:commentExtensible w16cex:durableId="6B682F14" w16cex:dateUtc="2026-02-03T20:08:00Z"/>
  <w16cex:commentExtensible w16cex:durableId="45323ABA" w16cex:dateUtc="2026-01-25T14:51:00Z"/>
  <w16cex:commentExtensible w16cex:durableId="65BFA3F3" w16cex:dateUtc="2026-02-03T20:32:00Z"/>
  <w16cex:commentExtensible w16cex:durableId="00DB4877" w16cex:dateUtc="2026-01-25T14:53:00Z"/>
  <w16cex:commentExtensible w16cex:durableId="439828A0" w16cex:dateUtc="2026-01-25T14:55:00Z"/>
  <w16cex:commentExtensible w16cex:durableId="112892A9" w16cex:dateUtc="2026-02-03T22:31:00Z"/>
  <w16cex:commentExtensible w16cex:durableId="004A21E3" w16cex:dateUtc="2026-01-25T14:56:00Z"/>
  <w16cex:commentExtensible w16cex:durableId="5F6840EF" w16cex:dateUtc="2026-02-05T13:28:00Z"/>
  <w16cex:commentExtensible w16cex:durableId="781E16A9" w16cex:dateUtc="2026-01-25T15:01:00Z"/>
  <w16cex:commentExtensible w16cex:durableId="63596AEF" w16cex:dateUtc="2026-02-05T13:39:00Z"/>
  <w16cex:commentExtensible w16cex:durableId="40337F8B" w16cex:dateUtc="2026-01-25T14:59:00Z"/>
  <w16cex:commentExtensible w16cex:durableId="48140EB5" w16cex:dateUtc="2026-02-05T13:39:00Z"/>
  <w16cex:commentExtensible w16cex:durableId="4DC7D09D" w16cex:dateUtc="2026-01-25T15:00:00Z"/>
  <w16cex:commentExtensible w16cex:durableId="235C32F7" w16cex:dateUtc="2026-02-05T14:20:00Z"/>
  <w16cex:commentExtensible w16cex:durableId="3B9FB4C0" w16cex:dateUtc="2026-01-25T15:04:00Z"/>
  <w16cex:commentExtensible w16cex:durableId="3EC0BB29" w16cex:dateUtc="2026-02-05T13:40:00Z"/>
  <w16cex:commentExtensible w16cex:durableId="68B11FD5" w16cex:dateUtc="2026-01-25T15:05:00Z"/>
  <w16cex:commentExtensible w16cex:durableId="067317C1" w16cex:dateUtc="2026-01-25T15:03:00Z"/>
  <w16cex:commentExtensible w16cex:durableId="51C78165" w16cex:dateUtc="2026-01-25T15:04:00Z"/>
  <w16cex:commentExtensible w16cex:durableId="4B0F95E2" w16cex:dateUtc="2026-01-25T15:05:00Z"/>
  <w16cex:commentExtensible w16cex:durableId="5BD9E695" w16cex:dateUtc="2026-01-25T15:05:00Z"/>
  <w16cex:commentExtensible w16cex:durableId="567C5660" w16cex:dateUtc="2026-01-25T15:09:00Z"/>
  <w16cex:commentExtensible w16cex:durableId="2114BA59" w16cex:dateUtc="2026-02-05T14:23:00Z"/>
  <w16cex:commentExtensible w16cex:durableId="11583505" w16cex:dateUtc="2026-01-25T15:09:00Z"/>
  <w16cex:commentExtensible w16cex:durableId="585A4030" w16cex:dateUtc="2026-02-05T14:26:00Z"/>
  <w16cex:commentExtensible w16cex:durableId="7985FD88" w16cex:dateUtc="2026-01-25T15:10:00Z"/>
  <w16cex:commentExtensible w16cex:durableId="62068F17" w16cex:dateUtc="2026-01-25T15:10:00Z"/>
  <w16cex:commentExtensible w16cex:durableId="2BD54DEA" w16cex:dateUtc="2026-02-05T14:27:00Z"/>
  <w16cex:commentExtensible w16cex:durableId="23BA3701" w16cex:dateUtc="2026-01-25T15:12:00Z"/>
  <w16cex:commentExtensible w16cex:durableId="17B713AF" w16cex:dateUtc="2026-02-05T14:27:00Z"/>
  <w16cex:commentExtensible w16cex:durableId="3BEA4B18" w16cex:dateUtc="2026-01-25T15:14:00Z"/>
  <w16cex:commentExtensible w16cex:durableId="6797F20E" w16cex:dateUtc="2026-01-25T15:15:00Z"/>
  <w16cex:commentExtensible w16cex:durableId="5E60D048" w16cex:dateUtc="2026-01-25T15:16:00Z"/>
  <w16cex:commentExtensible w16cex:durableId="58DD33DA" w16cex:dateUtc="2026-01-25T1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6D4F76" w16cid:durableId="20EAFE23"/>
  <w16cid:commentId w16cid:paraId="35FC264A" w16cid:durableId="30322140"/>
  <w16cid:commentId w16cid:paraId="17075726" w16cid:durableId="36F155D8"/>
  <w16cid:commentId w16cid:paraId="0C29F16B" w16cid:durableId="09CEB8C1"/>
  <w16cid:commentId w16cid:paraId="60091575" w16cid:durableId="429FC984"/>
  <w16cid:commentId w16cid:paraId="1A4177FD" w16cid:durableId="55BB70D4"/>
  <w16cid:commentId w16cid:paraId="23C93AD2" w16cid:durableId="7DCFE543"/>
  <w16cid:commentId w16cid:paraId="2D5DEB4B" w16cid:durableId="752BD591"/>
  <w16cid:commentId w16cid:paraId="6F052DAE" w16cid:durableId="05D310F2"/>
  <w16cid:commentId w16cid:paraId="6CEC8D04" w16cid:durableId="026ADE63"/>
  <w16cid:commentId w16cid:paraId="472FF292" w16cid:durableId="6B682F14"/>
  <w16cid:commentId w16cid:paraId="1FAB00D7" w16cid:durableId="45323ABA"/>
  <w16cid:commentId w16cid:paraId="3AB33360" w16cid:durableId="65BFA3F3"/>
  <w16cid:commentId w16cid:paraId="19E4C224" w16cid:durableId="00DB4877"/>
  <w16cid:commentId w16cid:paraId="32430ADD" w16cid:durableId="439828A0"/>
  <w16cid:commentId w16cid:paraId="075CC0BE" w16cid:durableId="112892A9"/>
  <w16cid:commentId w16cid:paraId="1CB47A28" w16cid:durableId="004A21E3"/>
  <w16cid:commentId w16cid:paraId="11103D20" w16cid:durableId="5F6840EF"/>
  <w16cid:commentId w16cid:paraId="5E0320E3" w16cid:durableId="781E16A9"/>
  <w16cid:commentId w16cid:paraId="565E497D" w16cid:durableId="63596AEF"/>
  <w16cid:commentId w16cid:paraId="02BCD4EB" w16cid:durableId="40337F8B"/>
  <w16cid:commentId w16cid:paraId="1CC726AC" w16cid:durableId="48140EB5"/>
  <w16cid:commentId w16cid:paraId="581470CC" w16cid:durableId="4DC7D09D"/>
  <w16cid:commentId w16cid:paraId="77093717" w16cid:durableId="235C32F7"/>
  <w16cid:commentId w16cid:paraId="2C5EB1F0" w16cid:durableId="3B9FB4C0"/>
  <w16cid:commentId w16cid:paraId="6950225F" w16cid:durableId="3EC0BB29"/>
  <w16cid:commentId w16cid:paraId="064A606C" w16cid:durableId="68B11FD5"/>
  <w16cid:commentId w16cid:paraId="201BD18F" w16cid:durableId="067317C1"/>
  <w16cid:commentId w16cid:paraId="3901B69C" w16cid:durableId="51C78165"/>
  <w16cid:commentId w16cid:paraId="0D58CFB5" w16cid:durableId="4B0F95E2"/>
  <w16cid:commentId w16cid:paraId="0B131488" w16cid:durableId="5BD9E695"/>
  <w16cid:commentId w16cid:paraId="6BCA942F" w16cid:durableId="567C5660"/>
  <w16cid:commentId w16cid:paraId="2D0E714B" w16cid:durableId="2114BA59"/>
  <w16cid:commentId w16cid:paraId="77A7F75B" w16cid:durableId="11583505"/>
  <w16cid:commentId w16cid:paraId="2065BC48" w16cid:durableId="585A4030"/>
  <w16cid:commentId w16cid:paraId="23CEA336" w16cid:durableId="7985FD88"/>
  <w16cid:commentId w16cid:paraId="6E1C2FF2" w16cid:durableId="62068F17"/>
  <w16cid:commentId w16cid:paraId="3767CE8F" w16cid:durableId="2BD54DEA"/>
  <w16cid:commentId w16cid:paraId="655FE351" w16cid:durableId="23BA3701"/>
  <w16cid:commentId w16cid:paraId="3568C964" w16cid:durableId="17B713AF"/>
  <w16cid:commentId w16cid:paraId="0513F7D0" w16cid:durableId="3BEA4B18"/>
  <w16cid:commentId w16cid:paraId="78F57FAA" w16cid:durableId="6797F20E"/>
  <w16cid:commentId w16cid:paraId="5B85304E" w16cid:durableId="5E60D048"/>
  <w16cid:commentId w16cid:paraId="016EC32D" w16cid:durableId="58DD33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9565543-52AC-8340-B255-84344BA6EC5F}"/>
    <w:embedBold r:id="rId2" w:fontKey="{2C589696-D017-4D49-B20A-0B3C8361A5F6}"/>
    <w:embedItalic r:id="rId3" w:fontKey="{4439C713-D48A-3E4D-8D8E-25D7DCE8A21B}"/>
  </w:font>
  <w:font w:name="Arial">
    <w:panose1 w:val="020B0604020202020204"/>
    <w:charset w:val="00"/>
    <w:family w:val="swiss"/>
    <w:pitch w:val="variable"/>
    <w:sig w:usb0="E0002EFF" w:usb1="C000785B" w:usb2="00000009" w:usb3="00000000" w:csb0="000001FF" w:csb1="00000000"/>
    <w:embedRegular r:id="rId4" w:fontKey="{B87D5999-EBEF-A64E-AD57-5E0655184056}"/>
  </w:font>
  <w:font w:name="Calibri">
    <w:panose1 w:val="020F0502020204030204"/>
    <w:charset w:val="00"/>
    <w:family w:val="swiss"/>
    <w:pitch w:val="variable"/>
    <w:sig w:usb0="E4002EFF" w:usb1="C000247B" w:usb2="00000009" w:usb3="00000000" w:csb0="000001FF" w:csb1="00000000"/>
    <w:embedRegular r:id="rId5" w:fontKey="{B6A56E1C-3047-684C-8A7F-21D99B3F38DB}"/>
  </w:font>
  <w:font w:name="Cambria">
    <w:panose1 w:val="02040503050406030204"/>
    <w:charset w:val="00"/>
    <w:family w:val="roman"/>
    <w:pitch w:val="variable"/>
    <w:sig w:usb0="E00006FF" w:usb1="420024FF" w:usb2="02000000" w:usb3="00000000" w:csb0="0000019F" w:csb1="00000000"/>
    <w:embedRegular r:id="rId6" w:fontKey="{DB601A20-EF46-B04A-BE02-61493ACB30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61B18"/>
    <w:multiLevelType w:val="multilevel"/>
    <w:tmpl w:val="B21C6C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5B6AB7"/>
    <w:multiLevelType w:val="hybridMultilevel"/>
    <w:tmpl w:val="991646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367070832">
    <w:abstractNumId w:val="0"/>
  </w:num>
  <w:num w:numId="2" w16cid:durableId="200096018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Solmi">
    <w15:presenceInfo w15:providerId="Windows Live" w15:userId="16471aee42b87e67"/>
  </w15:person>
  <w15:person w15:author="ESKINAZI Mickael">
    <w15:presenceInfo w15:providerId="AD" w15:userId="S::Mickael.Eskinazi@hug.ch::9dde4cdc-7845-4d42-abfe-b16067ad42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TrueTypeFonts/>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9E4"/>
    <w:rsid w:val="00012EBB"/>
    <w:rsid w:val="000361C3"/>
    <w:rsid w:val="00051D0E"/>
    <w:rsid w:val="00052BA9"/>
    <w:rsid w:val="0006614B"/>
    <w:rsid w:val="00073BFB"/>
    <w:rsid w:val="00081001"/>
    <w:rsid w:val="00081CF1"/>
    <w:rsid w:val="000829E4"/>
    <w:rsid w:val="000830F2"/>
    <w:rsid w:val="000C6B75"/>
    <w:rsid w:val="000D2905"/>
    <w:rsid w:val="000D2B6D"/>
    <w:rsid w:val="000E1D82"/>
    <w:rsid w:val="000E7BD1"/>
    <w:rsid w:val="00155F16"/>
    <w:rsid w:val="00162724"/>
    <w:rsid w:val="001948BB"/>
    <w:rsid w:val="001A4C76"/>
    <w:rsid w:val="001D59DC"/>
    <w:rsid w:val="00221D6B"/>
    <w:rsid w:val="0026050A"/>
    <w:rsid w:val="0026302F"/>
    <w:rsid w:val="002857BC"/>
    <w:rsid w:val="00291DFC"/>
    <w:rsid w:val="002A0112"/>
    <w:rsid w:val="002A3EFA"/>
    <w:rsid w:val="002B6A9A"/>
    <w:rsid w:val="002F117E"/>
    <w:rsid w:val="002F6FE6"/>
    <w:rsid w:val="00307974"/>
    <w:rsid w:val="00317D8C"/>
    <w:rsid w:val="00323B3B"/>
    <w:rsid w:val="0032425B"/>
    <w:rsid w:val="00331458"/>
    <w:rsid w:val="0035241B"/>
    <w:rsid w:val="00352915"/>
    <w:rsid w:val="0036019D"/>
    <w:rsid w:val="00374756"/>
    <w:rsid w:val="0037570E"/>
    <w:rsid w:val="003828BA"/>
    <w:rsid w:val="003A56D6"/>
    <w:rsid w:val="003B37F6"/>
    <w:rsid w:val="003D2F0A"/>
    <w:rsid w:val="003D39F1"/>
    <w:rsid w:val="003D4716"/>
    <w:rsid w:val="003E11E3"/>
    <w:rsid w:val="003E444A"/>
    <w:rsid w:val="003F6302"/>
    <w:rsid w:val="00414B13"/>
    <w:rsid w:val="0042578C"/>
    <w:rsid w:val="00426BF4"/>
    <w:rsid w:val="00447933"/>
    <w:rsid w:val="004A7671"/>
    <w:rsid w:val="004B3EB2"/>
    <w:rsid w:val="004D0F2B"/>
    <w:rsid w:val="004E317C"/>
    <w:rsid w:val="00540D3B"/>
    <w:rsid w:val="00542108"/>
    <w:rsid w:val="00544599"/>
    <w:rsid w:val="00556CAC"/>
    <w:rsid w:val="00575EE5"/>
    <w:rsid w:val="00596D12"/>
    <w:rsid w:val="005C4C5C"/>
    <w:rsid w:val="005C6117"/>
    <w:rsid w:val="005D2EA3"/>
    <w:rsid w:val="006006BD"/>
    <w:rsid w:val="00602626"/>
    <w:rsid w:val="0061795C"/>
    <w:rsid w:val="00651B99"/>
    <w:rsid w:val="006651E2"/>
    <w:rsid w:val="00682EED"/>
    <w:rsid w:val="00691C81"/>
    <w:rsid w:val="00694F8A"/>
    <w:rsid w:val="006A5EC7"/>
    <w:rsid w:val="006B1A20"/>
    <w:rsid w:val="006C245B"/>
    <w:rsid w:val="00703BC8"/>
    <w:rsid w:val="00704E0E"/>
    <w:rsid w:val="00707288"/>
    <w:rsid w:val="00721977"/>
    <w:rsid w:val="00736B43"/>
    <w:rsid w:val="00743D76"/>
    <w:rsid w:val="007452E7"/>
    <w:rsid w:val="0076448A"/>
    <w:rsid w:val="00791DDC"/>
    <w:rsid w:val="007A17FC"/>
    <w:rsid w:val="007A1F45"/>
    <w:rsid w:val="007A44DD"/>
    <w:rsid w:val="007B3081"/>
    <w:rsid w:val="007F001B"/>
    <w:rsid w:val="007F23AA"/>
    <w:rsid w:val="007F6656"/>
    <w:rsid w:val="00866197"/>
    <w:rsid w:val="008B447F"/>
    <w:rsid w:val="008C2387"/>
    <w:rsid w:val="008F7DBC"/>
    <w:rsid w:val="0090474B"/>
    <w:rsid w:val="00915EA4"/>
    <w:rsid w:val="009320C6"/>
    <w:rsid w:val="009331EB"/>
    <w:rsid w:val="00950516"/>
    <w:rsid w:val="00951045"/>
    <w:rsid w:val="009647C4"/>
    <w:rsid w:val="00966E60"/>
    <w:rsid w:val="0096712C"/>
    <w:rsid w:val="009D2430"/>
    <w:rsid w:val="009F20C0"/>
    <w:rsid w:val="009F28A6"/>
    <w:rsid w:val="009F3516"/>
    <w:rsid w:val="00A00B7E"/>
    <w:rsid w:val="00A14BB1"/>
    <w:rsid w:val="00A30C86"/>
    <w:rsid w:val="00A458D0"/>
    <w:rsid w:val="00A465C9"/>
    <w:rsid w:val="00A55E0C"/>
    <w:rsid w:val="00A63BB7"/>
    <w:rsid w:val="00AA11B1"/>
    <w:rsid w:val="00AB1B1C"/>
    <w:rsid w:val="00AD0686"/>
    <w:rsid w:val="00AE0DFD"/>
    <w:rsid w:val="00AE1885"/>
    <w:rsid w:val="00B124BB"/>
    <w:rsid w:val="00B13BA1"/>
    <w:rsid w:val="00B24D5E"/>
    <w:rsid w:val="00B262B7"/>
    <w:rsid w:val="00B57188"/>
    <w:rsid w:val="00B776B0"/>
    <w:rsid w:val="00B80F83"/>
    <w:rsid w:val="00B83814"/>
    <w:rsid w:val="00B877A7"/>
    <w:rsid w:val="00B91CE2"/>
    <w:rsid w:val="00BA5DF2"/>
    <w:rsid w:val="00BA720A"/>
    <w:rsid w:val="00BB2839"/>
    <w:rsid w:val="00BD1039"/>
    <w:rsid w:val="00BE1F6F"/>
    <w:rsid w:val="00C02771"/>
    <w:rsid w:val="00C25443"/>
    <w:rsid w:val="00C31118"/>
    <w:rsid w:val="00C4252A"/>
    <w:rsid w:val="00C43C8F"/>
    <w:rsid w:val="00C70F06"/>
    <w:rsid w:val="00C71868"/>
    <w:rsid w:val="00C84CD8"/>
    <w:rsid w:val="00C86498"/>
    <w:rsid w:val="00C97945"/>
    <w:rsid w:val="00CB07D5"/>
    <w:rsid w:val="00CB1243"/>
    <w:rsid w:val="00CD0DB3"/>
    <w:rsid w:val="00CD47A2"/>
    <w:rsid w:val="00CF3213"/>
    <w:rsid w:val="00CF4D29"/>
    <w:rsid w:val="00D20462"/>
    <w:rsid w:val="00D55EAC"/>
    <w:rsid w:val="00D67C28"/>
    <w:rsid w:val="00D71995"/>
    <w:rsid w:val="00D7209C"/>
    <w:rsid w:val="00DD280F"/>
    <w:rsid w:val="00DF2909"/>
    <w:rsid w:val="00E42CCF"/>
    <w:rsid w:val="00E462C7"/>
    <w:rsid w:val="00E5054F"/>
    <w:rsid w:val="00E65F99"/>
    <w:rsid w:val="00E91655"/>
    <w:rsid w:val="00EA4683"/>
    <w:rsid w:val="00EC40C6"/>
    <w:rsid w:val="00ED3C42"/>
    <w:rsid w:val="00EE3F83"/>
    <w:rsid w:val="00EF27B1"/>
    <w:rsid w:val="00F04387"/>
    <w:rsid w:val="00F403F8"/>
    <w:rsid w:val="00F53CE8"/>
    <w:rsid w:val="00F6090C"/>
    <w:rsid w:val="00F91A91"/>
    <w:rsid w:val="00FA2744"/>
    <w:rsid w:val="00FA3DC5"/>
    <w:rsid w:val="00FA6248"/>
    <w:rsid w:val="00FC19AC"/>
    <w:rsid w:val="00FC75D4"/>
    <w:rsid w:val="00FF5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AD895"/>
  <w15:docId w15:val="{CBF0F9EC-4C63-4143-908A-8AED61FB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en-US" w:bidi="ar-SA"/>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DB3"/>
    <w:pPr>
      <w:spacing w:after="0" w:line="240" w:lineRule="auto"/>
    </w:pPr>
    <w:rPr>
      <w:lang w:val="fr-CH" w:eastAsia="fr-FR"/>
    </w:rPr>
  </w:style>
  <w:style w:type="paragraph" w:styleId="Titre1">
    <w:name w:val="heading 1"/>
    <w:basedOn w:val="Normal"/>
    <w:next w:val="Normal"/>
    <w:uiPriority w:val="9"/>
    <w:qFormat/>
    <w:pPr>
      <w:keepNext/>
      <w:keepLines/>
      <w:spacing w:before="400" w:after="120" w:line="360" w:lineRule="auto"/>
      <w:outlineLvl w:val="0"/>
    </w:pPr>
    <w:rPr>
      <w:sz w:val="40"/>
      <w:szCs w:val="40"/>
      <w:lang w:val="fr" w:eastAsia="en-US"/>
    </w:rPr>
  </w:style>
  <w:style w:type="paragraph" w:styleId="Titre2">
    <w:name w:val="heading 2"/>
    <w:basedOn w:val="Normal"/>
    <w:next w:val="Normal"/>
    <w:uiPriority w:val="9"/>
    <w:unhideWhenUsed/>
    <w:qFormat/>
    <w:pPr>
      <w:keepNext/>
      <w:keepLines/>
      <w:spacing w:before="240" w:after="240" w:line="360" w:lineRule="auto"/>
      <w:outlineLvl w:val="1"/>
    </w:pPr>
    <w:rPr>
      <w:b/>
      <w:bCs/>
      <w:sz w:val="28"/>
      <w:szCs w:val="28"/>
      <w:lang w:val="fr" w:eastAsia="en-US"/>
    </w:rPr>
  </w:style>
  <w:style w:type="paragraph" w:styleId="Titre3">
    <w:name w:val="heading 3"/>
    <w:basedOn w:val="Normal"/>
    <w:next w:val="Normal"/>
    <w:uiPriority w:val="9"/>
    <w:unhideWhenUsed/>
    <w:qFormat/>
    <w:pPr>
      <w:keepNext/>
      <w:keepLines/>
      <w:spacing w:before="360" w:after="80" w:line="360" w:lineRule="auto"/>
      <w:outlineLvl w:val="2"/>
    </w:pPr>
    <w:rPr>
      <w:b/>
      <w:bCs/>
      <w:lang w:val="fr" w:eastAsia="en-US"/>
    </w:rPr>
  </w:style>
  <w:style w:type="paragraph" w:styleId="Titre4">
    <w:name w:val="heading 4"/>
    <w:basedOn w:val="Normal"/>
    <w:next w:val="Normal"/>
    <w:uiPriority w:val="9"/>
    <w:unhideWhenUsed/>
    <w:qFormat/>
    <w:pPr>
      <w:keepNext/>
      <w:keepLines/>
      <w:spacing w:before="280" w:after="80" w:line="360" w:lineRule="auto"/>
      <w:outlineLvl w:val="3"/>
    </w:pPr>
    <w:rPr>
      <w:color w:val="666666"/>
      <w:lang w:val="fr" w:eastAsia="en-US"/>
    </w:rPr>
  </w:style>
  <w:style w:type="paragraph" w:styleId="Titre5">
    <w:name w:val="heading 5"/>
    <w:basedOn w:val="Normal"/>
    <w:next w:val="Normal"/>
    <w:uiPriority w:val="9"/>
    <w:semiHidden/>
    <w:unhideWhenUsed/>
    <w:qFormat/>
    <w:pPr>
      <w:keepNext/>
      <w:keepLines/>
      <w:spacing w:before="240" w:after="80" w:line="360" w:lineRule="auto"/>
      <w:outlineLvl w:val="4"/>
    </w:pPr>
    <w:rPr>
      <w:color w:val="666666"/>
      <w:sz w:val="22"/>
      <w:szCs w:val="22"/>
      <w:lang w:val="fr" w:eastAsia="en-US"/>
    </w:rPr>
  </w:style>
  <w:style w:type="paragraph" w:styleId="Titre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line="360" w:lineRule="auto"/>
    </w:pPr>
    <w:rPr>
      <w:sz w:val="52"/>
      <w:szCs w:val="52"/>
      <w:lang w:val="fr" w:eastAsia="en-US"/>
    </w:rPr>
  </w:style>
  <w:style w:type="paragraph" w:styleId="Sous-titre">
    <w:name w:val="Subtitle"/>
    <w:basedOn w:val="Normal"/>
    <w:next w:val="Normal"/>
    <w:uiPriority w:val="11"/>
    <w:qFormat/>
    <w:pPr>
      <w:keepNext/>
      <w:keepLines/>
      <w:spacing w:after="320" w:line="360" w:lineRule="auto"/>
    </w:pPr>
    <w:rPr>
      <w:rFonts w:ascii="Arial" w:eastAsia="Arial" w:hAnsi="Arial" w:cs="Arial"/>
      <w:color w:val="666666"/>
      <w:sz w:val="30"/>
      <w:szCs w:val="30"/>
      <w:lang w:val="fr" w:eastAsia="en-U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Rvision">
    <w:name w:val="Revision"/>
    <w:hidden/>
    <w:uiPriority w:val="99"/>
    <w:semiHidden/>
    <w:rsid w:val="007A17FC"/>
    <w:pPr>
      <w:spacing w:after="0" w:line="240" w:lineRule="auto"/>
    </w:pPr>
  </w:style>
  <w:style w:type="character" w:styleId="Marquedecommentaire">
    <w:name w:val="annotation reference"/>
    <w:basedOn w:val="Policepardfaut"/>
    <w:uiPriority w:val="99"/>
    <w:semiHidden/>
    <w:unhideWhenUsed/>
    <w:rsid w:val="007A17FC"/>
    <w:rPr>
      <w:sz w:val="16"/>
      <w:szCs w:val="16"/>
    </w:rPr>
  </w:style>
  <w:style w:type="paragraph" w:styleId="Commentaire">
    <w:name w:val="annotation text"/>
    <w:basedOn w:val="Normal"/>
    <w:link w:val="CommentaireCar"/>
    <w:uiPriority w:val="99"/>
    <w:unhideWhenUsed/>
    <w:rsid w:val="007A17FC"/>
    <w:pPr>
      <w:spacing w:after="200"/>
    </w:pPr>
    <w:rPr>
      <w:sz w:val="20"/>
      <w:szCs w:val="20"/>
      <w:lang w:val="fr" w:eastAsia="en-US"/>
    </w:rPr>
  </w:style>
  <w:style w:type="character" w:customStyle="1" w:styleId="CommentaireCar">
    <w:name w:val="Commentaire Car"/>
    <w:basedOn w:val="Policepardfaut"/>
    <w:link w:val="Commentaire"/>
    <w:uiPriority w:val="99"/>
    <w:rsid w:val="007A17FC"/>
    <w:rPr>
      <w:sz w:val="20"/>
      <w:szCs w:val="20"/>
    </w:rPr>
  </w:style>
  <w:style w:type="paragraph" w:styleId="Objetducommentaire">
    <w:name w:val="annotation subject"/>
    <w:basedOn w:val="Commentaire"/>
    <w:next w:val="Commentaire"/>
    <w:link w:val="ObjetducommentaireCar"/>
    <w:uiPriority w:val="99"/>
    <w:semiHidden/>
    <w:unhideWhenUsed/>
    <w:rsid w:val="007A17FC"/>
    <w:rPr>
      <w:b/>
      <w:bCs/>
    </w:rPr>
  </w:style>
  <w:style w:type="character" w:customStyle="1" w:styleId="ObjetducommentaireCar">
    <w:name w:val="Objet du commentaire Car"/>
    <w:basedOn w:val="CommentaireCar"/>
    <w:link w:val="Objetducommentaire"/>
    <w:uiPriority w:val="99"/>
    <w:semiHidden/>
    <w:rsid w:val="007A17FC"/>
    <w:rPr>
      <w:b/>
      <w:bCs/>
      <w:sz w:val="20"/>
      <w:szCs w:val="20"/>
    </w:rPr>
  </w:style>
  <w:style w:type="character" w:styleId="Lienhypertexte">
    <w:name w:val="Hyperlink"/>
    <w:basedOn w:val="Policepardfaut"/>
    <w:uiPriority w:val="99"/>
    <w:unhideWhenUsed/>
    <w:rsid w:val="00A30C86"/>
    <w:rPr>
      <w:color w:val="0000FF" w:themeColor="hyperlink"/>
      <w:u w:val="single"/>
    </w:rPr>
  </w:style>
  <w:style w:type="character" w:styleId="Mentionnonrsolue">
    <w:name w:val="Unresolved Mention"/>
    <w:basedOn w:val="Policepardfaut"/>
    <w:uiPriority w:val="99"/>
    <w:semiHidden/>
    <w:unhideWhenUsed/>
    <w:rsid w:val="00A30C86"/>
    <w:rPr>
      <w:color w:val="605E5C"/>
      <w:shd w:val="clear" w:color="auto" w:fill="E1DFDD"/>
    </w:rPr>
  </w:style>
  <w:style w:type="character" w:customStyle="1" w:styleId="s1">
    <w:name w:val="s1"/>
    <w:basedOn w:val="Policepardfaut"/>
    <w:rsid w:val="00682EED"/>
  </w:style>
  <w:style w:type="character" w:customStyle="1" w:styleId="s2">
    <w:name w:val="s2"/>
    <w:basedOn w:val="Policepardfaut"/>
    <w:rsid w:val="00682EED"/>
  </w:style>
  <w:style w:type="paragraph" w:customStyle="1" w:styleId="p1">
    <w:name w:val="p1"/>
    <w:basedOn w:val="Normal"/>
    <w:rsid w:val="00682EED"/>
    <w:pPr>
      <w:spacing w:before="100" w:beforeAutospacing="1" w:after="100" w:afterAutospacing="1"/>
    </w:pPr>
  </w:style>
  <w:style w:type="paragraph" w:customStyle="1" w:styleId="p2">
    <w:name w:val="p2"/>
    <w:basedOn w:val="Normal"/>
    <w:rsid w:val="00682EED"/>
    <w:pPr>
      <w:spacing w:before="100" w:beforeAutospacing="1" w:after="100" w:afterAutospacing="1"/>
    </w:pPr>
  </w:style>
  <w:style w:type="table" w:styleId="TableauGrille1Clair">
    <w:name w:val="Grid Table 1 Light"/>
    <w:basedOn w:val="TableauNormal"/>
    <w:uiPriority w:val="46"/>
    <w:rsid w:val="00682EE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3">
    <w:name w:val="p3"/>
    <w:basedOn w:val="Normal"/>
    <w:rsid w:val="00682EED"/>
    <w:pPr>
      <w:spacing w:before="100" w:beforeAutospacing="1" w:after="100" w:afterAutospacing="1"/>
    </w:pPr>
  </w:style>
  <w:style w:type="paragraph" w:styleId="NormalWeb">
    <w:name w:val="Normal (Web)"/>
    <w:basedOn w:val="Normal"/>
    <w:uiPriority w:val="99"/>
    <w:semiHidden/>
    <w:unhideWhenUsed/>
    <w:rsid w:val="00331458"/>
    <w:pPr>
      <w:spacing w:before="100" w:beforeAutospacing="1" w:after="100" w:afterAutospacing="1"/>
    </w:pPr>
  </w:style>
  <w:style w:type="table" w:styleId="Grilledutableau">
    <w:name w:val="Table Grid"/>
    <w:basedOn w:val="TableauNormal"/>
    <w:uiPriority w:val="39"/>
    <w:rsid w:val="00A14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FC19AC"/>
    <w:rPr>
      <w:b/>
      <w:bCs/>
    </w:rPr>
  </w:style>
  <w:style w:type="paragraph" w:styleId="Bibliographie">
    <w:name w:val="Bibliography"/>
    <w:basedOn w:val="Normal"/>
    <w:next w:val="Normal"/>
    <w:uiPriority w:val="37"/>
    <w:unhideWhenUsed/>
    <w:rsid w:val="00E42CCF"/>
    <w:pPr>
      <w:spacing w:line="480" w:lineRule="auto"/>
      <w:ind w:left="720" w:hanging="720"/>
    </w:pPr>
  </w:style>
  <w:style w:type="paragraph" w:styleId="Paragraphedeliste">
    <w:name w:val="List Paragraph"/>
    <w:basedOn w:val="Normal"/>
    <w:uiPriority w:val="34"/>
    <w:qFormat/>
    <w:rsid w:val="00E42C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9417">
      <w:bodyDiv w:val="1"/>
      <w:marLeft w:val="0"/>
      <w:marRight w:val="0"/>
      <w:marTop w:val="0"/>
      <w:marBottom w:val="0"/>
      <w:divBdr>
        <w:top w:val="none" w:sz="0" w:space="0" w:color="auto"/>
        <w:left w:val="none" w:sz="0" w:space="0" w:color="auto"/>
        <w:bottom w:val="none" w:sz="0" w:space="0" w:color="auto"/>
        <w:right w:val="none" w:sz="0" w:space="0" w:color="auto"/>
      </w:divBdr>
      <w:divsChild>
        <w:div w:id="1647783096">
          <w:blockQuote w:val="1"/>
          <w:marLeft w:val="225"/>
          <w:marRight w:val="0"/>
          <w:marTop w:val="0"/>
          <w:marBottom w:val="0"/>
          <w:divBdr>
            <w:top w:val="none" w:sz="0" w:space="0" w:color="auto"/>
            <w:left w:val="none" w:sz="0" w:space="0" w:color="auto"/>
            <w:bottom w:val="none" w:sz="0" w:space="0" w:color="auto"/>
            <w:right w:val="none" w:sz="0" w:space="0" w:color="auto"/>
          </w:divBdr>
        </w:div>
        <w:div w:id="768702547">
          <w:blockQuote w:val="1"/>
          <w:marLeft w:val="225"/>
          <w:marRight w:val="0"/>
          <w:marTop w:val="0"/>
          <w:marBottom w:val="0"/>
          <w:divBdr>
            <w:top w:val="none" w:sz="0" w:space="0" w:color="auto"/>
            <w:left w:val="none" w:sz="0" w:space="0" w:color="auto"/>
            <w:bottom w:val="none" w:sz="0" w:space="0" w:color="auto"/>
            <w:right w:val="none" w:sz="0" w:space="0" w:color="auto"/>
          </w:divBdr>
        </w:div>
        <w:div w:id="557397226">
          <w:blockQuote w:val="1"/>
          <w:marLeft w:val="225"/>
          <w:marRight w:val="0"/>
          <w:marTop w:val="0"/>
          <w:marBottom w:val="0"/>
          <w:divBdr>
            <w:top w:val="none" w:sz="0" w:space="0" w:color="auto"/>
            <w:left w:val="none" w:sz="0" w:space="0" w:color="auto"/>
            <w:bottom w:val="none" w:sz="0" w:space="0" w:color="auto"/>
            <w:right w:val="none" w:sz="0" w:space="0" w:color="auto"/>
          </w:divBdr>
        </w:div>
        <w:div w:id="3504535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219626">
      <w:bodyDiv w:val="1"/>
      <w:marLeft w:val="0"/>
      <w:marRight w:val="0"/>
      <w:marTop w:val="0"/>
      <w:marBottom w:val="0"/>
      <w:divBdr>
        <w:top w:val="none" w:sz="0" w:space="0" w:color="auto"/>
        <w:left w:val="none" w:sz="0" w:space="0" w:color="auto"/>
        <w:bottom w:val="none" w:sz="0" w:space="0" w:color="auto"/>
        <w:right w:val="none" w:sz="0" w:space="0" w:color="auto"/>
      </w:divBdr>
    </w:div>
    <w:div w:id="17244953">
      <w:bodyDiv w:val="1"/>
      <w:marLeft w:val="0"/>
      <w:marRight w:val="0"/>
      <w:marTop w:val="0"/>
      <w:marBottom w:val="0"/>
      <w:divBdr>
        <w:top w:val="none" w:sz="0" w:space="0" w:color="auto"/>
        <w:left w:val="none" w:sz="0" w:space="0" w:color="auto"/>
        <w:bottom w:val="none" w:sz="0" w:space="0" w:color="auto"/>
        <w:right w:val="none" w:sz="0" w:space="0" w:color="auto"/>
      </w:divBdr>
      <w:divsChild>
        <w:div w:id="2079671065">
          <w:blockQuote w:val="1"/>
          <w:marLeft w:val="225"/>
          <w:marRight w:val="0"/>
          <w:marTop w:val="0"/>
          <w:marBottom w:val="0"/>
          <w:divBdr>
            <w:top w:val="none" w:sz="0" w:space="0" w:color="auto"/>
            <w:left w:val="none" w:sz="0" w:space="0" w:color="auto"/>
            <w:bottom w:val="none" w:sz="0" w:space="0" w:color="auto"/>
            <w:right w:val="none" w:sz="0" w:space="0" w:color="auto"/>
          </w:divBdr>
        </w:div>
        <w:div w:id="9584941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753264">
      <w:bodyDiv w:val="1"/>
      <w:marLeft w:val="0"/>
      <w:marRight w:val="0"/>
      <w:marTop w:val="0"/>
      <w:marBottom w:val="0"/>
      <w:divBdr>
        <w:top w:val="none" w:sz="0" w:space="0" w:color="auto"/>
        <w:left w:val="none" w:sz="0" w:space="0" w:color="auto"/>
        <w:bottom w:val="none" w:sz="0" w:space="0" w:color="auto"/>
        <w:right w:val="none" w:sz="0" w:space="0" w:color="auto"/>
      </w:divBdr>
    </w:div>
    <w:div w:id="62410025">
      <w:bodyDiv w:val="1"/>
      <w:marLeft w:val="0"/>
      <w:marRight w:val="0"/>
      <w:marTop w:val="0"/>
      <w:marBottom w:val="0"/>
      <w:divBdr>
        <w:top w:val="none" w:sz="0" w:space="0" w:color="auto"/>
        <w:left w:val="none" w:sz="0" w:space="0" w:color="auto"/>
        <w:bottom w:val="none" w:sz="0" w:space="0" w:color="auto"/>
        <w:right w:val="none" w:sz="0" w:space="0" w:color="auto"/>
      </w:divBdr>
      <w:divsChild>
        <w:div w:id="2118988070">
          <w:blockQuote w:val="1"/>
          <w:marLeft w:val="225"/>
          <w:marRight w:val="0"/>
          <w:marTop w:val="0"/>
          <w:marBottom w:val="0"/>
          <w:divBdr>
            <w:top w:val="none" w:sz="0" w:space="0" w:color="auto"/>
            <w:left w:val="none" w:sz="0" w:space="0" w:color="auto"/>
            <w:bottom w:val="none" w:sz="0" w:space="0" w:color="auto"/>
            <w:right w:val="none" w:sz="0" w:space="0" w:color="auto"/>
          </w:divBdr>
        </w:div>
        <w:div w:id="106393923">
          <w:blockQuote w:val="1"/>
          <w:marLeft w:val="225"/>
          <w:marRight w:val="0"/>
          <w:marTop w:val="0"/>
          <w:marBottom w:val="0"/>
          <w:divBdr>
            <w:top w:val="none" w:sz="0" w:space="0" w:color="auto"/>
            <w:left w:val="none" w:sz="0" w:space="0" w:color="auto"/>
            <w:bottom w:val="none" w:sz="0" w:space="0" w:color="auto"/>
            <w:right w:val="none" w:sz="0" w:space="0" w:color="auto"/>
          </w:divBdr>
        </w:div>
        <w:div w:id="13656714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388995">
      <w:bodyDiv w:val="1"/>
      <w:marLeft w:val="0"/>
      <w:marRight w:val="0"/>
      <w:marTop w:val="0"/>
      <w:marBottom w:val="0"/>
      <w:divBdr>
        <w:top w:val="none" w:sz="0" w:space="0" w:color="auto"/>
        <w:left w:val="none" w:sz="0" w:space="0" w:color="auto"/>
        <w:bottom w:val="none" w:sz="0" w:space="0" w:color="auto"/>
        <w:right w:val="none" w:sz="0" w:space="0" w:color="auto"/>
      </w:divBdr>
    </w:div>
    <w:div w:id="68231345">
      <w:bodyDiv w:val="1"/>
      <w:marLeft w:val="0"/>
      <w:marRight w:val="0"/>
      <w:marTop w:val="0"/>
      <w:marBottom w:val="0"/>
      <w:divBdr>
        <w:top w:val="none" w:sz="0" w:space="0" w:color="auto"/>
        <w:left w:val="none" w:sz="0" w:space="0" w:color="auto"/>
        <w:bottom w:val="none" w:sz="0" w:space="0" w:color="auto"/>
        <w:right w:val="none" w:sz="0" w:space="0" w:color="auto"/>
      </w:divBdr>
    </w:div>
    <w:div w:id="94176095">
      <w:bodyDiv w:val="1"/>
      <w:marLeft w:val="0"/>
      <w:marRight w:val="0"/>
      <w:marTop w:val="0"/>
      <w:marBottom w:val="0"/>
      <w:divBdr>
        <w:top w:val="none" w:sz="0" w:space="0" w:color="auto"/>
        <w:left w:val="none" w:sz="0" w:space="0" w:color="auto"/>
        <w:bottom w:val="none" w:sz="0" w:space="0" w:color="auto"/>
        <w:right w:val="none" w:sz="0" w:space="0" w:color="auto"/>
      </w:divBdr>
      <w:divsChild>
        <w:div w:id="11126288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885780">
      <w:bodyDiv w:val="1"/>
      <w:marLeft w:val="0"/>
      <w:marRight w:val="0"/>
      <w:marTop w:val="0"/>
      <w:marBottom w:val="0"/>
      <w:divBdr>
        <w:top w:val="none" w:sz="0" w:space="0" w:color="auto"/>
        <w:left w:val="none" w:sz="0" w:space="0" w:color="auto"/>
        <w:bottom w:val="none" w:sz="0" w:space="0" w:color="auto"/>
        <w:right w:val="none" w:sz="0" w:space="0" w:color="auto"/>
      </w:divBdr>
    </w:div>
    <w:div w:id="158274662">
      <w:bodyDiv w:val="1"/>
      <w:marLeft w:val="0"/>
      <w:marRight w:val="0"/>
      <w:marTop w:val="0"/>
      <w:marBottom w:val="0"/>
      <w:divBdr>
        <w:top w:val="none" w:sz="0" w:space="0" w:color="auto"/>
        <w:left w:val="none" w:sz="0" w:space="0" w:color="auto"/>
        <w:bottom w:val="none" w:sz="0" w:space="0" w:color="auto"/>
        <w:right w:val="none" w:sz="0" w:space="0" w:color="auto"/>
      </w:divBdr>
      <w:divsChild>
        <w:div w:id="4707094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395030">
      <w:bodyDiv w:val="1"/>
      <w:marLeft w:val="0"/>
      <w:marRight w:val="0"/>
      <w:marTop w:val="0"/>
      <w:marBottom w:val="0"/>
      <w:divBdr>
        <w:top w:val="none" w:sz="0" w:space="0" w:color="auto"/>
        <w:left w:val="none" w:sz="0" w:space="0" w:color="auto"/>
        <w:bottom w:val="none" w:sz="0" w:space="0" w:color="auto"/>
        <w:right w:val="none" w:sz="0" w:space="0" w:color="auto"/>
      </w:divBdr>
      <w:divsChild>
        <w:div w:id="852720701">
          <w:blockQuote w:val="1"/>
          <w:marLeft w:val="225"/>
          <w:marRight w:val="0"/>
          <w:marTop w:val="0"/>
          <w:marBottom w:val="0"/>
          <w:divBdr>
            <w:top w:val="none" w:sz="0" w:space="0" w:color="auto"/>
            <w:left w:val="none" w:sz="0" w:space="0" w:color="auto"/>
            <w:bottom w:val="none" w:sz="0" w:space="0" w:color="auto"/>
            <w:right w:val="none" w:sz="0" w:space="0" w:color="auto"/>
          </w:divBdr>
        </w:div>
        <w:div w:id="1256093559">
          <w:blockQuote w:val="1"/>
          <w:marLeft w:val="225"/>
          <w:marRight w:val="0"/>
          <w:marTop w:val="0"/>
          <w:marBottom w:val="0"/>
          <w:divBdr>
            <w:top w:val="none" w:sz="0" w:space="0" w:color="auto"/>
            <w:left w:val="none" w:sz="0" w:space="0" w:color="auto"/>
            <w:bottom w:val="none" w:sz="0" w:space="0" w:color="auto"/>
            <w:right w:val="none" w:sz="0" w:space="0" w:color="auto"/>
          </w:divBdr>
        </w:div>
        <w:div w:id="10198897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6116152">
      <w:bodyDiv w:val="1"/>
      <w:marLeft w:val="0"/>
      <w:marRight w:val="0"/>
      <w:marTop w:val="0"/>
      <w:marBottom w:val="0"/>
      <w:divBdr>
        <w:top w:val="none" w:sz="0" w:space="0" w:color="auto"/>
        <w:left w:val="none" w:sz="0" w:space="0" w:color="auto"/>
        <w:bottom w:val="none" w:sz="0" w:space="0" w:color="auto"/>
        <w:right w:val="none" w:sz="0" w:space="0" w:color="auto"/>
      </w:divBdr>
    </w:div>
    <w:div w:id="185293002">
      <w:bodyDiv w:val="1"/>
      <w:marLeft w:val="0"/>
      <w:marRight w:val="0"/>
      <w:marTop w:val="0"/>
      <w:marBottom w:val="0"/>
      <w:divBdr>
        <w:top w:val="none" w:sz="0" w:space="0" w:color="auto"/>
        <w:left w:val="none" w:sz="0" w:space="0" w:color="auto"/>
        <w:bottom w:val="none" w:sz="0" w:space="0" w:color="auto"/>
        <w:right w:val="none" w:sz="0" w:space="0" w:color="auto"/>
      </w:divBdr>
    </w:div>
    <w:div w:id="229973269">
      <w:bodyDiv w:val="1"/>
      <w:marLeft w:val="0"/>
      <w:marRight w:val="0"/>
      <w:marTop w:val="0"/>
      <w:marBottom w:val="0"/>
      <w:divBdr>
        <w:top w:val="none" w:sz="0" w:space="0" w:color="auto"/>
        <w:left w:val="none" w:sz="0" w:space="0" w:color="auto"/>
        <w:bottom w:val="none" w:sz="0" w:space="0" w:color="auto"/>
        <w:right w:val="none" w:sz="0" w:space="0" w:color="auto"/>
      </w:divBdr>
    </w:div>
    <w:div w:id="252903461">
      <w:bodyDiv w:val="1"/>
      <w:marLeft w:val="0"/>
      <w:marRight w:val="0"/>
      <w:marTop w:val="0"/>
      <w:marBottom w:val="0"/>
      <w:divBdr>
        <w:top w:val="none" w:sz="0" w:space="0" w:color="auto"/>
        <w:left w:val="none" w:sz="0" w:space="0" w:color="auto"/>
        <w:bottom w:val="none" w:sz="0" w:space="0" w:color="auto"/>
        <w:right w:val="none" w:sz="0" w:space="0" w:color="auto"/>
      </w:divBdr>
    </w:div>
    <w:div w:id="343674403">
      <w:bodyDiv w:val="1"/>
      <w:marLeft w:val="0"/>
      <w:marRight w:val="0"/>
      <w:marTop w:val="0"/>
      <w:marBottom w:val="0"/>
      <w:divBdr>
        <w:top w:val="none" w:sz="0" w:space="0" w:color="auto"/>
        <w:left w:val="none" w:sz="0" w:space="0" w:color="auto"/>
        <w:bottom w:val="none" w:sz="0" w:space="0" w:color="auto"/>
        <w:right w:val="none" w:sz="0" w:space="0" w:color="auto"/>
      </w:divBdr>
    </w:div>
    <w:div w:id="357699722">
      <w:bodyDiv w:val="1"/>
      <w:marLeft w:val="0"/>
      <w:marRight w:val="0"/>
      <w:marTop w:val="0"/>
      <w:marBottom w:val="0"/>
      <w:divBdr>
        <w:top w:val="none" w:sz="0" w:space="0" w:color="auto"/>
        <w:left w:val="none" w:sz="0" w:space="0" w:color="auto"/>
        <w:bottom w:val="none" w:sz="0" w:space="0" w:color="auto"/>
        <w:right w:val="none" w:sz="0" w:space="0" w:color="auto"/>
      </w:divBdr>
    </w:div>
    <w:div w:id="359935367">
      <w:bodyDiv w:val="1"/>
      <w:marLeft w:val="0"/>
      <w:marRight w:val="0"/>
      <w:marTop w:val="0"/>
      <w:marBottom w:val="0"/>
      <w:divBdr>
        <w:top w:val="none" w:sz="0" w:space="0" w:color="auto"/>
        <w:left w:val="none" w:sz="0" w:space="0" w:color="auto"/>
        <w:bottom w:val="none" w:sz="0" w:space="0" w:color="auto"/>
        <w:right w:val="none" w:sz="0" w:space="0" w:color="auto"/>
      </w:divBdr>
    </w:div>
    <w:div w:id="363332123">
      <w:bodyDiv w:val="1"/>
      <w:marLeft w:val="0"/>
      <w:marRight w:val="0"/>
      <w:marTop w:val="0"/>
      <w:marBottom w:val="0"/>
      <w:divBdr>
        <w:top w:val="none" w:sz="0" w:space="0" w:color="auto"/>
        <w:left w:val="none" w:sz="0" w:space="0" w:color="auto"/>
        <w:bottom w:val="none" w:sz="0" w:space="0" w:color="auto"/>
        <w:right w:val="none" w:sz="0" w:space="0" w:color="auto"/>
      </w:divBdr>
      <w:divsChild>
        <w:div w:id="14699801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4495651">
      <w:bodyDiv w:val="1"/>
      <w:marLeft w:val="0"/>
      <w:marRight w:val="0"/>
      <w:marTop w:val="0"/>
      <w:marBottom w:val="0"/>
      <w:divBdr>
        <w:top w:val="none" w:sz="0" w:space="0" w:color="auto"/>
        <w:left w:val="none" w:sz="0" w:space="0" w:color="auto"/>
        <w:bottom w:val="none" w:sz="0" w:space="0" w:color="auto"/>
        <w:right w:val="none" w:sz="0" w:space="0" w:color="auto"/>
      </w:divBdr>
    </w:div>
    <w:div w:id="501890894">
      <w:bodyDiv w:val="1"/>
      <w:marLeft w:val="0"/>
      <w:marRight w:val="0"/>
      <w:marTop w:val="0"/>
      <w:marBottom w:val="0"/>
      <w:divBdr>
        <w:top w:val="none" w:sz="0" w:space="0" w:color="auto"/>
        <w:left w:val="none" w:sz="0" w:space="0" w:color="auto"/>
        <w:bottom w:val="none" w:sz="0" w:space="0" w:color="auto"/>
        <w:right w:val="none" w:sz="0" w:space="0" w:color="auto"/>
      </w:divBdr>
    </w:div>
    <w:div w:id="541282190">
      <w:bodyDiv w:val="1"/>
      <w:marLeft w:val="0"/>
      <w:marRight w:val="0"/>
      <w:marTop w:val="0"/>
      <w:marBottom w:val="0"/>
      <w:divBdr>
        <w:top w:val="none" w:sz="0" w:space="0" w:color="auto"/>
        <w:left w:val="none" w:sz="0" w:space="0" w:color="auto"/>
        <w:bottom w:val="none" w:sz="0" w:space="0" w:color="auto"/>
        <w:right w:val="none" w:sz="0" w:space="0" w:color="auto"/>
      </w:divBdr>
      <w:divsChild>
        <w:div w:id="20192361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62837160">
      <w:bodyDiv w:val="1"/>
      <w:marLeft w:val="0"/>
      <w:marRight w:val="0"/>
      <w:marTop w:val="0"/>
      <w:marBottom w:val="0"/>
      <w:divBdr>
        <w:top w:val="none" w:sz="0" w:space="0" w:color="auto"/>
        <w:left w:val="none" w:sz="0" w:space="0" w:color="auto"/>
        <w:bottom w:val="none" w:sz="0" w:space="0" w:color="auto"/>
        <w:right w:val="none" w:sz="0" w:space="0" w:color="auto"/>
      </w:divBdr>
    </w:div>
    <w:div w:id="613098851">
      <w:bodyDiv w:val="1"/>
      <w:marLeft w:val="0"/>
      <w:marRight w:val="0"/>
      <w:marTop w:val="0"/>
      <w:marBottom w:val="0"/>
      <w:divBdr>
        <w:top w:val="none" w:sz="0" w:space="0" w:color="auto"/>
        <w:left w:val="none" w:sz="0" w:space="0" w:color="auto"/>
        <w:bottom w:val="none" w:sz="0" w:space="0" w:color="auto"/>
        <w:right w:val="none" w:sz="0" w:space="0" w:color="auto"/>
      </w:divBdr>
      <w:divsChild>
        <w:div w:id="380180632">
          <w:blockQuote w:val="1"/>
          <w:marLeft w:val="225"/>
          <w:marRight w:val="0"/>
          <w:marTop w:val="0"/>
          <w:marBottom w:val="0"/>
          <w:divBdr>
            <w:top w:val="none" w:sz="0" w:space="0" w:color="auto"/>
            <w:left w:val="none" w:sz="0" w:space="0" w:color="auto"/>
            <w:bottom w:val="none" w:sz="0" w:space="0" w:color="auto"/>
            <w:right w:val="none" w:sz="0" w:space="0" w:color="auto"/>
          </w:divBdr>
        </w:div>
        <w:div w:id="161242870">
          <w:blockQuote w:val="1"/>
          <w:marLeft w:val="225"/>
          <w:marRight w:val="0"/>
          <w:marTop w:val="0"/>
          <w:marBottom w:val="0"/>
          <w:divBdr>
            <w:top w:val="none" w:sz="0" w:space="0" w:color="auto"/>
            <w:left w:val="none" w:sz="0" w:space="0" w:color="auto"/>
            <w:bottom w:val="none" w:sz="0" w:space="0" w:color="auto"/>
            <w:right w:val="none" w:sz="0" w:space="0" w:color="auto"/>
          </w:divBdr>
        </w:div>
        <w:div w:id="750002273">
          <w:blockQuote w:val="1"/>
          <w:marLeft w:val="225"/>
          <w:marRight w:val="0"/>
          <w:marTop w:val="0"/>
          <w:marBottom w:val="0"/>
          <w:divBdr>
            <w:top w:val="none" w:sz="0" w:space="0" w:color="auto"/>
            <w:left w:val="none" w:sz="0" w:space="0" w:color="auto"/>
            <w:bottom w:val="none" w:sz="0" w:space="0" w:color="auto"/>
            <w:right w:val="none" w:sz="0" w:space="0" w:color="auto"/>
          </w:divBdr>
        </w:div>
        <w:div w:id="779491635">
          <w:blockQuote w:val="1"/>
          <w:marLeft w:val="225"/>
          <w:marRight w:val="0"/>
          <w:marTop w:val="0"/>
          <w:marBottom w:val="0"/>
          <w:divBdr>
            <w:top w:val="none" w:sz="0" w:space="0" w:color="auto"/>
            <w:left w:val="none" w:sz="0" w:space="0" w:color="auto"/>
            <w:bottom w:val="none" w:sz="0" w:space="0" w:color="auto"/>
            <w:right w:val="none" w:sz="0" w:space="0" w:color="auto"/>
          </w:divBdr>
        </w:div>
        <w:div w:id="1153369053">
          <w:blockQuote w:val="1"/>
          <w:marLeft w:val="225"/>
          <w:marRight w:val="0"/>
          <w:marTop w:val="0"/>
          <w:marBottom w:val="0"/>
          <w:divBdr>
            <w:top w:val="none" w:sz="0" w:space="0" w:color="auto"/>
            <w:left w:val="none" w:sz="0" w:space="0" w:color="auto"/>
            <w:bottom w:val="none" w:sz="0" w:space="0" w:color="auto"/>
            <w:right w:val="none" w:sz="0" w:space="0" w:color="auto"/>
          </w:divBdr>
        </w:div>
        <w:div w:id="773745289">
          <w:blockQuote w:val="1"/>
          <w:marLeft w:val="225"/>
          <w:marRight w:val="0"/>
          <w:marTop w:val="0"/>
          <w:marBottom w:val="0"/>
          <w:divBdr>
            <w:top w:val="none" w:sz="0" w:space="0" w:color="auto"/>
            <w:left w:val="none" w:sz="0" w:space="0" w:color="auto"/>
            <w:bottom w:val="none" w:sz="0" w:space="0" w:color="auto"/>
            <w:right w:val="none" w:sz="0" w:space="0" w:color="auto"/>
          </w:divBdr>
        </w:div>
        <w:div w:id="544146964">
          <w:blockQuote w:val="1"/>
          <w:marLeft w:val="225"/>
          <w:marRight w:val="0"/>
          <w:marTop w:val="0"/>
          <w:marBottom w:val="0"/>
          <w:divBdr>
            <w:top w:val="none" w:sz="0" w:space="0" w:color="auto"/>
            <w:left w:val="none" w:sz="0" w:space="0" w:color="auto"/>
            <w:bottom w:val="none" w:sz="0" w:space="0" w:color="auto"/>
            <w:right w:val="none" w:sz="0" w:space="0" w:color="auto"/>
          </w:divBdr>
        </w:div>
        <w:div w:id="939333383">
          <w:blockQuote w:val="1"/>
          <w:marLeft w:val="225"/>
          <w:marRight w:val="0"/>
          <w:marTop w:val="0"/>
          <w:marBottom w:val="0"/>
          <w:divBdr>
            <w:top w:val="none" w:sz="0" w:space="0" w:color="auto"/>
            <w:left w:val="none" w:sz="0" w:space="0" w:color="auto"/>
            <w:bottom w:val="none" w:sz="0" w:space="0" w:color="auto"/>
            <w:right w:val="none" w:sz="0" w:space="0" w:color="auto"/>
          </w:divBdr>
        </w:div>
        <w:div w:id="1859852108">
          <w:blockQuote w:val="1"/>
          <w:marLeft w:val="225"/>
          <w:marRight w:val="0"/>
          <w:marTop w:val="0"/>
          <w:marBottom w:val="0"/>
          <w:divBdr>
            <w:top w:val="none" w:sz="0" w:space="0" w:color="auto"/>
            <w:left w:val="none" w:sz="0" w:space="0" w:color="auto"/>
            <w:bottom w:val="none" w:sz="0" w:space="0" w:color="auto"/>
            <w:right w:val="none" w:sz="0" w:space="0" w:color="auto"/>
          </w:divBdr>
        </w:div>
        <w:div w:id="1309020716">
          <w:blockQuote w:val="1"/>
          <w:marLeft w:val="225"/>
          <w:marRight w:val="0"/>
          <w:marTop w:val="0"/>
          <w:marBottom w:val="0"/>
          <w:divBdr>
            <w:top w:val="none" w:sz="0" w:space="0" w:color="auto"/>
            <w:left w:val="none" w:sz="0" w:space="0" w:color="auto"/>
            <w:bottom w:val="none" w:sz="0" w:space="0" w:color="auto"/>
            <w:right w:val="none" w:sz="0" w:space="0" w:color="auto"/>
          </w:divBdr>
        </w:div>
        <w:div w:id="6707902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8731268">
      <w:bodyDiv w:val="1"/>
      <w:marLeft w:val="0"/>
      <w:marRight w:val="0"/>
      <w:marTop w:val="0"/>
      <w:marBottom w:val="0"/>
      <w:divBdr>
        <w:top w:val="none" w:sz="0" w:space="0" w:color="auto"/>
        <w:left w:val="none" w:sz="0" w:space="0" w:color="auto"/>
        <w:bottom w:val="none" w:sz="0" w:space="0" w:color="auto"/>
        <w:right w:val="none" w:sz="0" w:space="0" w:color="auto"/>
      </w:divBdr>
      <w:divsChild>
        <w:div w:id="840395303">
          <w:blockQuote w:val="1"/>
          <w:marLeft w:val="225"/>
          <w:marRight w:val="0"/>
          <w:marTop w:val="0"/>
          <w:marBottom w:val="0"/>
          <w:divBdr>
            <w:top w:val="none" w:sz="0" w:space="0" w:color="auto"/>
            <w:left w:val="none" w:sz="0" w:space="0" w:color="auto"/>
            <w:bottom w:val="none" w:sz="0" w:space="0" w:color="auto"/>
            <w:right w:val="none" w:sz="0" w:space="0" w:color="auto"/>
          </w:divBdr>
        </w:div>
        <w:div w:id="120616240">
          <w:blockQuote w:val="1"/>
          <w:marLeft w:val="225"/>
          <w:marRight w:val="0"/>
          <w:marTop w:val="0"/>
          <w:marBottom w:val="0"/>
          <w:divBdr>
            <w:top w:val="none" w:sz="0" w:space="0" w:color="auto"/>
            <w:left w:val="none" w:sz="0" w:space="0" w:color="auto"/>
            <w:bottom w:val="none" w:sz="0" w:space="0" w:color="auto"/>
            <w:right w:val="none" w:sz="0" w:space="0" w:color="auto"/>
          </w:divBdr>
        </w:div>
        <w:div w:id="1427507065">
          <w:blockQuote w:val="1"/>
          <w:marLeft w:val="225"/>
          <w:marRight w:val="0"/>
          <w:marTop w:val="0"/>
          <w:marBottom w:val="0"/>
          <w:divBdr>
            <w:top w:val="none" w:sz="0" w:space="0" w:color="auto"/>
            <w:left w:val="none" w:sz="0" w:space="0" w:color="auto"/>
            <w:bottom w:val="none" w:sz="0" w:space="0" w:color="auto"/>
            <w:right w:val="none" w:sz="0" w:space="0" w:color="auto"/>
          </w:divBdr>
        </w:div>
        <w:div w:id="1174952022">
          <w:blockQuote w:val="1"/>
          <w:marLeft w:val="225"/>
          <w:marRight w:val="0"/>
          <w:marTop w:val="0"/>
          <w:marBottom w:val="0"/>
          <w:divBdr>
            <w:top w:val="none" w:sz="0" w:space="0" w:color="auto"/>
            <w:left w:val="none" w:sz="0" w:space="0" w:color="auto"/>
            <w:bottom w:val="none" w:sz="0" w:space="0" w:color="auto"/>
            <w:right w:val="none" w:sz="0" w:space="0" w:color="auto"/>
          </w:divBdr>
        </w:div>
        <w:div w:id="2026207163">
          <w:blockQuote w:val="1"/>
          <w:marLeft w:val="225"/>
          <w:marRight w:val="0"/>
          <w:marTop w:val="0"/>
          <w:marBottom w:val="0"/>
          <w:divBdr>
            <w:top w:val="none" w:sz="0" w:space="0" w:color="auto"/>
            <w:left w:val="none" w:sz="0" w:space="0" w:color="auto"/>
            <w:bottom w:val="none" w:sz="0" w:space="0" w:color="auto"/>
            <w:right w:val="none" w:sz="0" w:space="0" w:color="auto"/>
          </w:divBdr>
        </w:div>
        <w:div w:id="1940412325">
          <w:blockQuote w:val="1"/>
          <w:marLeft w:val="225"/>
          <w:marRight w:val="0"/>
          <w:marTop w:val="0"/>
          <w:marBottom w:val="0"/>
          <w:divBdr>
            <w:top w:val="none" w:sz="0" w:space="0" w:color="auto"/>
            <w:left w:val="none" w:sz="0" w:space="0" w:color="auto"/>
            <w:bottom w:val="none" w:sz="0" w:space="0" w:color="auto"/>
            <w:right w:val="none" w:sz="0" w:space="0" w:color="auto"/>
          </w:divBdr>
        </w:div>
        <w:div w:id="96220897">
          <w:blockQuote w:val="1"/>
          <w:marLeft w:val="225"/>
          <w:marRight w:val="0"/>
          <w:marTop w:val="0"/>
          <w:marBottom w:val="0"/>
          <w:divBdr>
            <w:top w:val="none" w:sz="0" w:space="0" w:color="auto"/>
            <w:left w:val="none" w:sz="0" w:space="0" w:color="auto"/>
            <w:bottom w:val="none" w:sz="0" w:space="0" w:color="auto"/>
            <w:right w:val="none" w:sz="0" w:space="0" w:color="auto"/>
          </w:divBdr>
        </w:div>
        <w:div w:id="1956134247">
          <w:blockQuote w:val="1"/>
          <w:marLeft w:val="225"/>
          <w:marRight w:val="0"/>
          <w:marTop w:val="0"/>
          <w:marBottom w:val="0"/>
          <w:divBdr>
            <w:top w:val="none" w:sz="0" w:space="0" w:color="auto"/>
            <w:left w:val="none" w:sz="0" w:space="0" w:color="auto"/>
            <w:bottom w:val="none" w:sz="0" w:space="0" w:color="auto"/>
            <w:right w:val="none" w:sz="0" w:space="0" w:color="auto"/>
          </w:divBdr>
        </w:div>
        <w:div w:id="550075352">
          <w:blockQuote w:val="1"/>
          <w:marLeft w:val="225"/>
          <w:marRight w:val="0"/>
          <w:marTop w:val="0"/>
          <w:marBottom w:val="0"/>
          <w:divBdr>
            <w:top w:val="none" w:sz="0" w:space="0" w:color="auto"/>
            <w:left w:val="none" w:sz="0" w:space="0" w:color="auto"/>
            <w:bottom w:val="none" w:sz="0" w:space="0" w:color="auto"/>
            <w:right w:val="none" w:sz="0" w:space="0" w:color="auto"/>
          </w:divBdr>
        </w:div>
        <w:div w:id="1181047122">
          <w:blockQuote w:val="1"/>
          <w:marLeft w:val="225"/>
          <w:marRight w:val="0"/>
          <w:marTop w:val="0"/>
          <w:marBottom w:val="0"/>
          <w:divBdr>
            <w:top w:val="none" w:sz="0" w:space="0" w:color="auto"/>
            <w:left w:val="none" w:sz="0" w:space="0" w:color="auto"/>
            <w:bottom w:val="none" w:sz="0" w:space="0" w:color="auto"/>
            <w:right w:val="none" w:sz="0" w:space="0" w:color="auto"/>
          </w:divBdr>
        </w:div>
        <w:div w:id="106714634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72220149">
      <w:bodyDiv w:val="1"/>
      <w:marLeft w:val="0"/>
      <w:marRight w:val="0"/>
      <w:marTop w:val="0"/>
      <w:marBottom w:val="0"/>
      <w:divBdr>
        <w:top w:val="none" w:sz="0" w:space="0" w:color="auto"/>
        <w:left w:val="none" w:sz="0" w:space="0" w:color="auto"/>
        <w:bottom w:val="none" w:sz="0" w:space="0" w:color="auto"/>
        <w:right w:val="none" w:sz="0" w:space="0" w:color="auto"/>
      </w:divBdr>
    </w:div>
    <w:div w:id="738863159">
      <w:bodyDiv w:val="1"/>
      <w:marLeft w:val="0"/>
      <w:marRight w:val="0"/>
      <w:marTop w:val="0"/>
      <w:marBottom w:val="0"/>
      <w:divBdr>
        <w:top w:val="none" w:sz="0" w:space="0" w:color="auto"/>
        <w:left w:val="none" w:sz="0" w:space="0" w:color="auto"/>
        <w:bottom w:val="none" w:sz="0" w:space="0" w:color="auto"/>
        <w:right w:val="none" w:sz="0" w:space="0" w:color="auto"/>
      </w:divBdr>
      <w:divsChild>
        <w:div w:id="11682497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59327136">
      <w:bodyDiv w:val="1"/>
      <w:marLeft w:val="0"/>
      <w:marRight w:val="0"/>
      <w:marTop w:val="0"/>
      <w:marBottom w:val="0"/>
      <w:divBdr>
        <w:top w:val="none" w:sz="0" w:space="0" w:color="auto"/>
        <w:left w:val="none" w:sz="0" w:space="0" w:color="auto"/>
        <w:bottom w:val="none" w:sz="0" w:space="0" w:color="auto"/>
        <w:right w:val="none" w:sz="0" w:space="0" w:color="auto"/>
      </w:divBdr>
      <w:divsChild>
        <w:div w:id="157458675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92209082">
      <w:bodyDiv w:val="1"/>
      <w:marLeft w:val="0"/>
      <w:marRight w:val="0"/>
      <w:marTop w:val="0"/>
      <w:marBottom w:val="0"/>
      <w:divBdr>
        <w:top w:val="none" w:sz="0" w:space="0" w:color="auto"/>
        <w:left w:val="none" w:sz="0" w:space="0" w:color="auto"/>
        <w:bottom w:val="none" w:sz="0" w:space="0" w:color="auto"/>
        <w:right w:val="none" w:sz="0" w:space="0" w:color="auto"/>
      </w:divBdr>
    </w:div>
    <w:div w:id="811019240">
      <w:bodyDiv w:val="1"/>
      <w:marLeft w:val="0"/>
      <w:marRight w:val="0"/>
      <w:marTop w:val="0"/>
      <w:marBottom w:val="0"/>
      <w:divBdr>
        <w:top w:val="none" w:sz="0" w:space="0" w:color="auto"/>
        <w:left w:val="none" w:sz="0" w:space="0" w:color="auto"/>
        <w:bottom w:val="none" w:sz="0" w:space="0" w:color="auto"/>
        <w:right w:val="none" w:sz="0" w:space="0" w:color="auto"/>
      </w:divBdr>
      <w:divsChild>
        <w:div w:id="355884501">
          <w:blockQuote w:val="1"/>
          <w:marLeft w:val="225"/>
          <w:marRight w:val="0"/>
          <w:marTop w:val="0"/>
          <w:marBottom w:val="0"/>
          <w:divBdr>
            <w:top w:val="none" w:sz="0" w:space="0" w:color="auto"/>
            <w:left w:val="none" w:sz="0" w:space="0" w:color="auto"/>
            <w:bottom w:val="none" w:sz="0" w:space="0" w:color="auto"/>
            <w:right w:val="none" w:sz="0" w:space="0" w:color="auto"/>
          </w:divBdr>
        </w:div>
        <w:div w:id="1576014264">
          <w:blockQuote w:val="1"/>
          <w:marLeft w:val="225"/>
          <w:marRight w:val="0"/>
          <w:marTop w:val="0"/>
          <w:marBottom w:val="0"/>
          <w:divBdr>
            <w:top w:val="none" w:sz="0" w:space="0" w:color="auto"/>
            <w:left w:val="none" w:sz="0" w:space="0" w:color="auto"/>
            <w:bottom w:val="none" w:sz="0" w:space="0" w:color="auto"/>
            <w:right w:val="none" w:sz="0" w:space="0" w:color="auto"/>
          </w:divBdr>
        </w:div>
        <w:div w:id="14863616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31943137">
      <w:bodyDiv w:val="1"/>
      <w:marLeft w:val="0"/>
      <w:marRight w:val="0"/>
      <w:marTop w:val="0"/>
      <w:marBottom w:val="0"/>
      <w:divBdr>
        <w:top w:val="none" w:sz="0" w:space="0" w:color="auto"/>
        <w:left w:val="none" w:sz="0" w:space="0" w:color="auto"/>
        <w:bottom w:val="none" w:sz="0" w:space="0" w:color="auto"/>
        <w:right w:val="none" w:sz="0" w:space="0" w:color="auto"/>
      </w:divBdr>
      <w:divsChild>
        <w:div w:id="1980381424">
          <w:blockQuote w:val="1"/>
          <w:marLeft w:val="225"/>
          <w:marRight w:val="0"/>
          <w:marTop w:val="0"/>
          <w:marBottom w:val="0"/>
          <w:divBdr>
            <w:top w:val="none" w:sz="0" w:space="0" w:color="auto"/>
            <w:left w:val="none" w:sz="0" w:space="0" w:color="auto"/>
            <w:bottom w:val="none" w:sz="0" w:space="0" w:color="auto"/>
            <w:right w:val="none" w:sz="0" w:space="0" w:color="auto"/>
          </w:divBdr>
        </w:div>
        <w:div w:id="1430157282">
          <w:blockQuote w:val="1"/>
          <w:marLeft w:val="225"/>
          <w:marRight w:val="0"/>
          <w:marTop w:val="0"/>
          <w:marBottom w:val="0"/>
          <w:divBdr>
            <w:top w:val="none" w:sz="0" w:space="0" w:color="auto"/>
            <w:left w:val="none" w:sz="0" w:space="0" w:color="auto"/>
            <w:bottom w:val="none" w:sz="0" w:space="0" w:color="auto"/>
            <w:right w:val="none" w:sz="0" w:space="0" w:color="auto"/>
          </w:divBdr>
        </w:div>
        <w:div w:id="11125546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7467175">
      <w:bodyDiv w:val="1"/>
      <w:marLeft w:val="0"/>
      <w:marRight w:val="0"/>
      <w:marTop w:val="0"/>
      <w:marBottom w:val="0"/>
      <w:divBdr>
        <w:top w:val="none" w:sz="0" w:space="0" w:color="auto"/>
        <w:left w:val="none" w:sz="0" w:space="0" w:color="auto"/>
        <w:bottom w:val="none" w:sz="0" w:space="0" w:color="auto"/>
        <w:right w:val="none" w:sz="0" w:space="0" w:color="auto"/>
      </w:divBdr>
    </w:div>
    <w:div w:id="985623429">
      <w:bodyDiv w:val="1"/>
      <w:marLeft w:val="0"/>
      <w:marRight w:val="0"/>
      <w:marTop w:val="0"/>
      <w:marBottom w:val="0"/>
      <w:divBdr>
        <w:top w:val="none" w:sz="0" w:space="0" w:color="auto"/>
        <w:left w:val="none" w:sz="0" w:space="0" w:color="auto"/>
        <w:bottom w:val="none" w:sz="0" w:space="0" w:color="auto"/>
        <w:right w:val="none" w:sz="0" w:space="0" w:color="auto"/>
      </w:divBdr>
      <w:divsChild>
        <w:div w:id="12096891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88051319">
      <w:bodyDiv w:val="1"/>
      <w:marLeft w:val="0"/>
      <w:marRight w:val="0"/>
      <w:marTop w:val="0"/>
      <w:marBottom w:val="0"/>
      <w:divBdr>
        <w:top w:val="none" w:sz="0" w:space="0" w:color="auto"/>
        <w:left w:val="none" w:sz="0" w:space="0" w:color="auto"/>
        <w:bottom w:val="none" w:sz="0" w:space="0" w:color="auto"/>
        <w:right w:val="none" w:sz="0" w:space="0" w:color="auto"/>
      </w:divBdr>
    </w:div>
    <w:div w:id="994987881">
      <w:bodyDiv w:val="1"/>
      <w:marLeft w:val="0"/>
      <w:marRight w:val="0"/>
      <w:marTop w:val="0"/>
      <w:marBottom w:val="0"/>
      <w:divBdr>
        <w:top w:val="none" w:sz="0" w:space="0" w:color="auto"/>
        <w:left w:val="none" w:sz="0" w:space="0" w:color="auto"/>
        <w:bottom w:val="none" w:sz="0" w:space="0" w:color="auto"/>
        <w:right w:val="none" w:sz="0" w:space="0" w:color="auto"/>
      </w:divBdr>
    </w:div>
    <w:div w:id="1026100845">
      <w:bodyDiv w:val="1"/>
      <w:marLeft w:val="0"/>
      <w:marRight w:val="0"/>
      <w:marTop w:val="0"/>
      <w:marBottom w:val="0"/>
      <w:divBdr>
        <w:top w:val="none" w:sz="0" w:space="0" w:color="auto"/>
        <w:left w:val="none" w:sz="0" w:space="0" w:color="auto"/>
        <w:bottom w:val="none" w:sz="0" w:space="0" w:color="auto"/>
        <w:right w:val="none" w:sz="0" w:space="0" w:color="auto"/>
      </w:divBdr>
    </w:div>
    <w:div w:id="1090541647">
      <w:bodyDiv w:val="1"/>
      <w:marLeft w:val="0"/>
      <w:marRight w:val="0"/>
      <w:marTop w:val="0"/>
      <w:marBottom w:val="0"/>
      <w:divBdr>
        <w:top w:val="none" w:sz="0" w:space="0" w:color="auto"/>
        <w:left w:val="none" w:sz="0" w:space="0" w:color="auto"/>
        <w:bottom w:val="none" w:sz="0" w:space="0" w:color="auto"/>
        <w:right w:val="none" w:sz="0" w:space="0" w:color="auto"/>
      </w:divBdr>
    </w:div>
    <w:div w:id="1096629108">
      <w:bodyDiv w:val="1"/>
      <w:marLeft w:val="0"/>
      <w:marRight w:val="0"/>
      <w:marTop w:val="0"/>
      <w:marBottom w:val="0"/>
      <w:divBdr>
        <w:top w:val="none" w:sz="0" w:space="0" w:color="auto"/>
        <w:left w:val="none" w:sz="0" w:space="0" w:color="auto"/>
        <w:bottom w:val="none" w:sz="0" w:space="0" w:color="auto"/>
        <w:right w:val="none" w:sz="0" w:space="0" w:color="auto"/>
      </w:divBdr>
    </w:div>
    <w:div w:id="1100489862">
      <w:bodyDiv w:val="1"/>
      <w:marLeft w:val="0"/>
      <w:marRight w:val="0"/>
      <w:marTop w:val="0"/>
      <w:marBottom w:val="0"/>
      <w:divBdr>
        <w:top w:val="none" w:sz="0" w:space="0" w:color="auto"/>
        <w:left w:val="none" w:sz="0" w:space="0" w:color="auto"/>
        <w:bottom w:val="none" w:sz="0" w:space="0" w:color="auto"/>
        <w:right w:val="none" w:sz="0" w:space="0" w:color="auto"/>
      </w:divBdr>
      <w:divsChild>
        <w:div w:id="1292520743">
          <w:blockQuote w:val="1"/>
          <w:marLeft w:val="225"/>
          <w:marRight w:val="0"/>
          <w:marTop w:val="0"/>
          <w:marBottom w:val="0"/>
          <w:divBdr>
            <w:top w:val="none" w:sz="0" w:space="0" w:color="auto"/>
            <w:left w:val="none" w:sz="0" w:space="0" w:color="auto"/>
            <w:bottom w:val="none" w:sz="0" w:space="0" w:color="auto"/>
            <w:right w:val="none" w:sz="0" w:space="0" w:color="auto"/>
          </w:divBdr>
        </w:div>
        <w:div w:id="2127767622">
          <w:blockQuote w:val="1"/>
          <w:marLeft w:val="225"/>
          <w:marRight w:val="0"/>
          <w:marTop w:val="0"/>
          <w:marBottom w:val="0"/>
          <w:divBdr>
            <w:top w:val="none" w:sz="0" w:space="0" w:color="auto"/>
            <w:left w:val="none" w:sz="0" w:space="0" w:color="auto"/>
            <w:bottom w:val="none" w:sz="0" w:space="0" w:color="auto"/>
            <w:right w:val="none" w:sz="0" w:space="0" w:color="auto"/>
          </w:divBdr>
        </w:div>
        <w:div w:id="6233164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33133760">
      <w:bodyDiv w:val="1"/>
      <w:marLeft w:val="0"/>
      <w:marRight w:val="0"/>
      <w:marTop w:val="0"/>
      <w:marBottom w:val="0"/>
      <w:divBdr>
        <w:top w:val="none" w:sz="0" w:space="0" w:color="auto"/>
        <w:left w:val="none" w:sz="0" w:space="0" w:color="auto"/>
        <w:bottom w:val="none" w:sz="0" w:space="0" w:color="auto"/>
        <w:right w:val="none" w:sz="0" w:space="0" w:color="auto"/>
      </w:divBdr>
      <w:divsChild>
        <w:div w:id="29189910">
          <w:blockQuote w:val="1"/>
          <w:marLeft w:val="225"/>
          <w:marRight w:val="0"/>
          <w:marTop w:val="0"/>
          <w:marBottom w:val="0"/>
          <w:divBdr>
            <w:top w:val="none" w:sz="0" w:space="0" w:color="auto"/>
            <w:left w:val="none" w:sz="0" w:space="0" w:color="auto"/>
            <w:bottom w:val="none" w:sz="0" w:space="0" w:color="auto"/>
            <w:right w:val="none" w:sz="0" w:space="0" w:color="auto"/>
          </w:divBdr>
        </w:div>
        <w:div w:id="1470709101">
          <w:blockQuote w:val="1"/>
          <w:marLeft w:val="225"/>
          <w:marRight w:val="0"/>
          <w:marTop w:val="0"/>
          <w:marBottom w:val="0"/>
          <w:divBdr>
            <w:top w:val="none" w:sz="0" w:space="0" w:color="auto"/>
            <w:left w:val="none" w:sz="0" w:space="0" w:color="auto"/>
            <w:bottom w:val="none" w:sz="0" w:space="0" w:color="auto"/>
            <w:right w:val="none" w:sz="0" w:space="0" w:color="auto"/>
          </w:divBdr>
        </w:div>
        <w:div w:id="5157723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84515564">
      <w:bodyDiv w:val="1"/>
      <w:marLeft w:val="0"/>
      <w:marRight w:val="0"/>
      <w:marTop w:val="0"/>
      <w:marBottom w:val="0"/>
      <w:divBdr>
        <w:top w:val="none" w:sz="0" w:space="0" w:color="auto"/>
        <w:left w:val="none" w:sz="0" w:space="0" w:color="auto"/>
        <w:bottom w:val="none" w:sz="0" w:space="0" w:color="auto"/>
        <w:right w:val="none" w:sz="0" w:space="0" w:color="auto"/>
      </w:divBdr>
      <w:divsChild>
        <w:div w:id="1447433526">
          <w:marLeft w:val="0"/>
          <w:marRight w:val="0"/>
          <w:marTop w:val="0"/>
          <w:marBottom w:val="0"/>
          <w:divBdr>
            <w:top w:val="none" w:sz="0" w:space="0" w:color="auto"/>
            <w:left w:val="none" w:sz="0" w:space="0" w:color="auto"/>
            <w:bottom w:val="none" w:sz="0" w:space="0" w:color="auto"/>
            <w:right w:val="none" w:sz="0" w:space="0" w:color="auto"/>
          </w:divBdr>
        </w:div>
      </w:divsChild>
    </w:div>
    <w:div w:id="1285892863">
      <w:bodyDiv w:val="1"/>
      <w:marLeft w:val="0"/>
      <w:marRight w:val="0"/>
      <w:marTop w:val="0"/>
      <w:marBottom w:val="0"/>
      <w:divBdr>
        <w:top w:val="none" w:sz="0" w:space="0" w:color="auto"/>
        <w:left w:val="none" w:sz="0" w:space="0" w:color="auto"/>
        <w:bottom w:val="none" w:sz="0" w:space="0" w:color="auto"/>
        <w:right w:val="none" w:sz="0" w:space="0" w:color="auto"/>
      </w:divBdr>
      <w:divsChild>
        <w:div w:id="115411723">
          <w:blockQuote w:val="1"/>
          <w:marLeft w:val="225"/>
          <w:marRight w:val="0"/>
          <w:marTop w:val="0"/>
          <w:marBottom w:val="0"/>
          <w:divBdr>
            <w:top w:val="none" w:sz="0" w:space="0" w:color="auto"/>
            <w:left w:val="none" w:sz="0" w:space="0" w:color="auto"/>
            <w:bottom w:val="none" w:sz="0" w:space="0" w:color="auto"/>
            <w:right w:val="none" w:sz="0" w:space="0" w:color="auto"/>
          </w:divBdr>
        </w:div>
        <w:div w:id="633413824">
          <w:blockQuote w:val="1"/>
          <w:marLeft w:val="225"/>
          <w:marRight w:val="0"/>
          <w:marTop w:val="0"/>
          <w:marBottom w:val="0"/>
          <w:divBdr>
            <w:top w:val="none" w:sz="0" w:space="0" w:color="auto"/>
            <w:left w:val="none" w:sz="0" w:space="0" w:color="auto"/>
            <w:bottom w:val="none" w:sz="0" w:space="0" w:color="auto"/>
            <w:right w:val="none" w:sz="0" w:space="0" w:color="auto"/>
          </w:divBdr>
        </w:div>
        <w:div w:id="690371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10940276">
      <w:bodyDiv w:val="1"/>
      <w:marLeft w:val="0"/>
      <w:marRight w:val="0"/>
      <w:marTop w:val="0"/>
      <w:marBottom w:val="0"/>
      <w:divBdr>
        <w:top w:val="none" w:sz="0" w:space="0" w:color="auto"/>
        <w:left w:val="none" w:sz="0" w:space="0" w:color="auto"/>
        <w:bottom w:val="none" w:sz="0" w:space="0" w:color="auto"/>
        <w:right w:val="none" w:sz="0" w:space="0" w:color="auto"/>
      </w:divBdr>
      <w:divsChild>
        <w:div w:id="12707733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8460517">
      <w:bodyDiv w:val="1"/>
      <w:marLeft w:val="0"/>
      <w:marRight w:val="0"/>
      <w:marTop w:val="0"/>
      <w:marBottom w:val="0"/>
      <w:divBdr>
        <w:top w:val="none" w:sz="0" w:space="0" w:color="auto"/>
        <w:left w:val="none" w:sz="0" w:space="0" w:color="auto"/>
        <w:bottom w:val="none" w:sz="0" w:space="0" w:color="auto"/>
        <w:right w:val="none" w:sz="0" w:space="0" w:color="auto"/>
      </w:divBdr>
    </w:div>
    <w:div w:id="1353872272">
      <w:bodyDiv w:val="1"/>
      <w:marLeft w:val="0"/>
      <w:marRight w:val="0"/>
      <w:marTop w:val="0"/>
      <w:marBottom w:val="0"/>
      <w:divBdr>
        <w:top w:val="none" w:sz="0" w:space="0" w:color="auto"/>
        <w:left w:val="none" w:sz="0" w:space="0" w:color="auto"/>
        <w:bottom w:val="none" w:sz="0" w:space="0" w:color="auto"/>
        <w:right w:val="none" w:sz="0" w:space="0" w:color="auto"/>
      </w:divBdr>
      <w:divsChild>
        <w:div w:id="2000230994">
          <w:blockQuote w:val="1"/>
          <w:marLeft w:val="225"/>
          <w:marRight w:val="0"/>
          <w:marTop w:val="0"/>
          <w:marBottom w:val="0"/>
          <w:divBdr>
            <w:top w:val="none" w:sz="0" w:space="0" w:color="auto"/>
            <w:left w:val="none" w:sz="0" w:space="0" w:color="auto"/>
            <w:bottom w:val="none" w:sz="0" w:space="0" w:color="auto"/>
            <w:right w:val="none" w:sz="0" w:space="0" w:color="auto"/>
          </w:divBdr>
        </w:div>
        <w:div w:id="140333597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5545338">
      <w:bodyDiv w:val="1"/>
      <w:marLeft w:val="0"/>
      <w:marRight w:val="0"/>
      <w:marTop w:val="0"/>
      <w:marBottom w:val="0"/>
      <w:divBdr>
        <w:top w:val="none" w:sz="0" w:space="0" w:color="auto"/>
        <w:left w:val="none" w:sz="0" w:space="0" w:color="auto"/>
        <w:bottom w:val="none" w:sz="0" w:space="0" w:color="auto"/>
        <w:right w:val="none" w:sz="0" w:space="0" w:color="auto"/>
      </w:divBdr>
      <w:divsChild>
        <w:div w:id="275452404">
          <w:marLeft w:val="-1020"/>
          <w:marRight w:val="0"/>
          <w:marTop w:val="0"/>
          <w:marBottom w:val="0"/>
          <w:divBdr>
            <w:top w:val="none" w:sz="0" w:space="0" w:color="auto"/>
            <w:left w:val="none" w:sz="0" w:space="0" w:color="auto"/>
            <w:bottom w:val="none" w:sz="0" w:space="0" w:color="auto"/>
            <w:right w:val="none" w:sz="0" w:space="0" w:color="auto"/>
          </w:divBdr>
        </w:div>
      </w:divsChild>
    </w:div>
    <w:div w:id="1401095947">
      <w:bodyDiv w:val="1"/>
      <w:marLeft w:val="0"/>
      <w:marRight w:val="0"/>
      <w:marTop w:val="0"/>
      <w:marBottom w:val="0"/>
      <w:divBdr>
        <w:top w:val="none" w:sz="0" w:space="0" w:color="auto"/>
        <w:left w:val="none" w:sz="0" w:space="0" w:color="auto"/>
        <w:bottom w:val="none" w:sz="0" w:space="0" w:color="auto"/>
        <w:right w:val="none" w:sz="0" w:space="0" w:color="auto"/>
      </w:divBdr>
    </w:div>
    <w:div w:id="1499423037">
      <w:bodyDiv w:val="1"/>
      <w:marLeft w:val="0"/>
      <w:marRight w:val="0"/>
      <w:marTop w:val="0"/>
      <w:marBottom w:val="0"/>
      <w:divBdr>
        <w:top w:val="none" w:sz="0" w:space="0" w:color="auto"/>
        <w:left w:val="none" w:sz="0" w:space="0" w:color="auto"/>
        <w:bottom w:val="none" w:sz="0" w:space="0" w:color="auto"/>
        <w:right w:val="none" w:sz="0" w:space="0" w:color="auto"/>
      </w:divBdr>
      <w:divsChild>
        <w:div w:id="11383746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9523455">
      <w:bodyDiv w:val="1"/>
      <w:marLeft w:val="0"/>
      <w:marRight w:val="0"/>
      <w:marTop w:val="0"/>
      <w:marBottom w:val="0"/>
      <w:divBdr>
        <w:top w:val="none" w:sz="0" w:space="0" w:color="auto"/>
        <w:left w:val="none" w:sz="0" w:space="0" w:color="auto"/>
        <w:bottom w:val="none" w:sz="0" w:space="0" w:color="auto"/>
        <w:right w:val="none" w:sz="0" w:space="0" w:color="auto"/>
      </w:divBdr>
      <w:divsChild>
        <w:div w:id="18944162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4824666">
      <w:bodyDiv w:val="1"/>
      <w:marLeft w:val="0"/>
      <w:marRight w:val="0"/>
      <w:marTop w:val="0"/>
      <w:marBottom w:val="0"/>
      <w:divBdr>
        <w:top w:val="none" w:sz="0" w:space="0" w:color="auto"/>
        <w:left w:val="none" w:sz="0" w:space="0" w:color="auto"/>
        <w:bottom w:val="none" w:sz="0" w:space="0" w:color="auto"/>
        <w:right w:val="none" w:sz="0" w:space="0" w:color="auto"/>
      </w:divBdr>
    </w:div>
    <w:div w:id="1608194561">
      <w:bodyDiv w:val="1"/>
      <w:marLeft w:val="0"/>
      <w:marRight w:val="0"/>
      <w:marTop w:val="0"/>
      <w:marBottom w:val="0"/>
      <w:divBdr>
        <w:top w:val="none" w:sz="0" w:space="0" w:color="auto"/>
        <w:left w:val="none" w:sz="0" w:space="0" w:color="auto"/>
        <w:bottom w:val="none" w:sz="0" w:space="0" w:color="auto"/>
        <w:right w:val="none" w:sz="0" w:space="0" w:color="auto"/>
      </w:divBdr>
      <w:divsChild>
        <w:div w:id="17568251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09266350">
      <w:bodyDiv w:val="1"/>
      <w:marLeft w:val="0"/>
      <w:marRight w:val="0"/>
      <w:marTop w:val="0"/>
      <w:marBottom w:val="0"/>
      <w:divBdr>
        <w:top w:val="none" w:sz="0" w:space="0" w:color="auto"/>
        <w:left w:val="none" w:sz="0" w:space="0" w:color="auto"/>
        <w:bottom w:val="none" w:sz="0" w:space="0" w:color="auto"/>
        <w:right w:val="none" w:sz="0" w:space="0" w:color="auto"/>
      </w:divBdr>
      <w:divsChild>
        <w:div w:id="1207068107">
          <w:blockQuote w:val="1"/>
          <w:marLeft w:val="225"/>
          <w:marRight w:val="0"/>
          <w:marTop w:val="0"/>
          <w:marBottom w:val="0"/>
          <w:divBdr>
            <w:top w:val="none" w:sz="0" w:space="0" w:color="auto"/>
            <w:left w:val="none" w:sz="0" w:space="0" w:color="auto"/>
            <w:bottom w:val="none" w:sz="0" w:space="0" w:color="auto"/>
            <w:right w:val="none" w:sz="0" w:space="0" w:color="auto"/>
          </w:divBdr>
        </w:div>
        <w:div w:id="12253395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23804181">
      <w:bodyDiv w:val="1"/>
      <w:marLeft w:val="0"/>
      <w:marRight w:val="0"/>
      <w:marTop w:val="0"/>
      <w:marBottom w:val="0"/>
      <w:divBdr>
        <w:top w:val="none" w:sz="0" w:space="0" w:color="auto"/>
        <w:left w:val="none" w:sz="0" w:space="0" w:color="auto"/>
        <w:bottom w:val="none" w:sz="0" w:space="0" w:color="auto"/>
        <w:right w:val="none" w:sz="0" w:space="0" w:color="auto"/>
      </w:divBdr>
      <w:divsChild>
        <w:div w:id="369962975">
          <w:blockQuote w:val="1"/>
          <w:marLeft w:val="225"/>
          <w:marRight w:val="0"/>
          <w:marTop w:val="0"/>
          <w:marBottom w:val="0"/>
          <w:divBdr>
            <w:top w:val="none" w:sz="0" w:space="0" w:color="auto"/>
            <w:left w:val="none" w:sz="0" w:space="0" w:color="auto"/>
            <w:bottom w:val="none" w:sz="0" w:space="0" w:color="auto"/>
            <w:right w:val="none" w:sz="0" w:space="0" w:color="auto"/>
          </w:divBdr>
        </w:div>
        <w:div w:id="589200290">
          <w:blockQuote w:val="1"/>
          <w:marLeft w:val="225"/>
          <w:marRight w:val="0"/>
          <w:marTop w:val="0"/>
          <w:marBottom w:val="0"/>
          <w:divBdr>
            <w:top w:val="none" w:sz="0" w:space="0" w:color="auto"/>
            <w:left w:val="none" w:sz="0" w:space="0" w:color="auto"/>
            <w:bottom w:val="none" w:sz="0" w:space="0" w:color="auto"/>
            <w:right w:val="none" w:sz="0" w:space="0" w:color="auto"/>
          </w:divBdr>
        </w:div>
        <w:div w:id="271087073">
          <w:blockQuote w:val="1"/>
          <w:marLeft w:val="225"/>
          <w:marRight w:val="0"/>
          <w:marTop w:val="0"/>
          <w:marBottom w:val="0"/>
          <w:divBdr>
            <w:top w:val="none" w:sz="0" w:space="0" w:color="auto"/>
            <w:left w:val="none" w:sz="0" w:space="0" w:color="auto"/>
            <w:bottom w:val="none" w:sz="0" w:space="0" w:color="auto"/>
            <w:right w:val="none" w:sz="0" w:space="0" w:color="auto"/>
          </w:divBdr>
        </w:div>
        <w:div w:id="1711344941">
          <w:blockQuote w:val="1"/>
          <w:marLeft w:val="225"/>
          <w:marRight w:val="0"/>
          <w:marTop w:val="0"/>
          <w:marBottom w:val="0"/>
          <w:divBdr>
            <w:top w:val="none" w:sz="0" w:space="0" w:color="auto"/>
            <w:left w:val="none" w:sz="0" w:space="0" w:color="auto"/>
            <w:bottom w:val="none" w:sz="0" w:space="0" w:color="auto"/>
            <w:right w:val="none" w:sz="0" w:space="0" w:color="auto"/>
          </w:divBdr>
        </w:div>
        <w:div w:id="2065450744">
          <w:blockQuote w:val="1"/>
          <w:marLeft w:val="225"/>
          <w:marRight w:val="0"/>
          <w:marTop w:val="0"/>
          <w:marBottom w:val="0"/>
          <w:divBdr>
            <w:top w:val="none" w:sz="0" w:space="0" w:color="auto"/>
            <w:left w:val="none" w:sz="0" w:space="0" w:color="auto"/>
            <w:bottom w:val="none" w:sz="0" w:space="0" w:color="auto"/>
            <w:right w:val="none" w:sz="0" w:space="0" w:color="auto"/>
          </w:divBdr>
        </w:div>
        <w:div w:id="1024747908">
          <w:blockQuote w:val="1"/>
          <w:marLeft w:val="225"/>
          <w:marRight w:val="0"/>
          <w:marTop w:val="0"/>
          <w:marBottom w:val="0"/>
          <w:divBdr>
            <w:top w:val="none" w:sz="0" w:space="0" w:color="auto"/>
            <w:left w:val="none" w:sz="0" w:space="0" w:color="auto"/>
            <w:bottom w:val="none" w:sz="0" w:space="0" w:color="auto"/>
            <w:right w:val="none" w:sz="0" w:space="0" w:color="auto"/>
          </w:divBdr>
        </w:div>
        <w:div w:id="94516791">
          <w:blockQuote w:val="1"/>
          <w:marLeft w:val="225"/>
          <w:marRight w:val="0"/>
          <w:marTop w:val="0"/>
          <w:marBottom w:val="0"/>
          <w:divBdr>
            <w:top w:val="none" w:sz="0" w:space="0" w:color="auto"/>
            <w:left w:val="none" w:sz="0" w:space="0" w:color="auto"/>
            <w:bottom w:val="none" w:sz="0" w:space="0" w:color="auto"/>
            <w:right w:val="none" w:sz="0" w:space="0" w:color="auto"/>
          </w:divBdr>
        </w:div>
        <w:div w:id="2088991825">
          <w:blockQuote w:val="1"/>
          <w:marLeft w:val="225"/>
          <w:marRight w:val="0"/>
          <w:marTop w:val="0"/>
          <w:marBottom w:val="0"/>
          <w:divBdr>
            <w:top w:val="none" w:sz="0" w:space="0" w:color="auto"/>
            <w:left w:val="none" w:sz="0" w:space="0" w:color="auto"/>
            <w:bottom w:val="none" w:sz="0" w:space="0" w:color="auto"/>
            <w:right w:val="none" w:sz="0" w:space="0" w:color="auto"/>
          </w:divBdr>
        </w:div>
        <w:div w:id="1549681461">
          <w:blockQuote w:val="1"/>
          <w:marLeft w:val="225"/>
          <w:marRight w:val="0"/>
          <w:marTop w:val="0"/>
          <w:marBottom w:val="0"/>
          <w:divBdr>
            <w:top w:val="none" w:sz="0" w:space="0" w:color="auto"/>
            <w:left w:val="none" w:sz="0" w:space="0" w:color="auto"/>
            <w:bottom w:val="none" w:sz="0" w:space="0" w:color="auto"/>
            <w:right w:val="none" w:sz="0" w:space="0" w:color="auto"/>
          </w:divBdr>
        </w:div>
        <w:div w:id="1887789809">
          <w:blockQuote w:val="1"/>
          <w:marLeft w:val="225"/>
          <w:marRight w:val="0"/>
          <w:marTop w:val="0"/>
          <w:marBottom w:val="0"/>
          <w:divBdr>
            <w:top w:val="none" w:sz="0" w:space="0" w:color="auto"/>
            <w:left w:val="none" w:sz="0" w:space="0" w:color="auto"/>
            <w:bottom w:val="none" w:sz="0" w:space="0" w:color="auto"/>
            <w:right w:val="none" w:sz="0" w:space="0" w:color="auto"/>
          </w:divBdr>
        </w:div>
        <w:div w:id="15950885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9283031">
      <w:bodyDiv w:val="1"/>
      <w:marLeft w:val="0"/>
      <w:marRight w:val="0"/>
      <w:marTop w:val="0"/>
      <w:marBottom w:val="0"/>
      <w:divBdr>
        <w:top w:val="none" w:sz="0" w:space="0" w:color="auto"/>
        <w:left w:val="none" w:sz="0" w:space="0" w:color="auto"/>
        <w:bottom w:val="none" w:sz="0" w:space="0" w:color="auto"/>
        <w:right w:val="none" w:sz="0" w:space="0" w:color="auto"/>
      </w:divBdr>
      <w:divsChild>
        <w:div w:id="266821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1638711">
      <w:bodyDiv w:val="1"/>
      <w:marLeft w:val="0"/>
      <w:marRight w:val="0"/>
      <w:marTop w:val="0"/>
      <w:marBottom w:val="0"/>
      <w:divBdr>
        <w:top w:val="none" w:sz="0" w:space="0" w:color="auto"/>
        <w:left w:val="none" w:sz="0" w:space="0" w:color="auto"/>
        <w:bottom w:val="none" w:sz="0" w:space="0" w:color="auto"/>
        <w:right w:val="none" w:sz="0" w:space="0" w:color="auto"/>
      </w:divBdr>
      <w:divsChild>
        <w:div w:id="12754054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86010126">
      <w:bodyDiv w:val="1"/>
      <w:marLeft w:val="0"/>
      <w:marRight w:val="0"/>
      <w:marTop w:val="0"/>
      <w:marBottom w:val="0"/>
      <w:divBdr>
        <w:top w:val="none" w:sz="0" w:space="0" w:color="auto"/>
        <w:left w:val="none" w:sz="0" w:space="0" w:color="auto"/>
        <w:bottom w:val="none" w:sz="0" w:space="0" w:color="auto"/>
        <w:right w:val="none" w:sz="0" w:space="0" w:color="auto"/>
      </w:divBdr>
    </w:div>
    <w:div w:id="1701784839">
      <w:bodyDiv w:val="1"/>
      <w:marLeft w:val="0"/>
      <w:marRight w:val="0"/>
      <w:marTop w:val="0"/>
      <w:marBottom w:val="0"/>
      <w:divBdr>
        <w:top w:val="none" w:sz="0" w:space="0" w:color="auto"/>
        <w:left w:val="none" w:sz="0" w:space="0" w:color="auto"/>
        <w:bottom w:val="none" w:sz="0" w:space="0" w:color="auto"/>
        <w:right w:val="none" w:sz="0" w:space="0" w:color="auto"/>
      </w:divBdr>
      <w:divsChild>
        <w:div w:id="976955139">
          <w:blockQuote w:val="1"/>
          <w:marLeft w:val="225"/>
          <w:marRight w:val="0"/>
          <w:marTop w:val="0"/>
          <w:marBottom w:val="0"/>
          <w:divBdr>
            <w:top w:val="none" w:sz="0" w:space="0" w:color="auto"/>
            <w:left w:val="none" w:sz="0" w:space="0" w:color="auto"/>
            <w:bottom w:val="none" w:sz="0" w:space="0" w:color="auto"/>
            <w:right w:val="none" w:sz="0" w:space="0" w:color="auto"/>
          </w:divBdr>
        </w:div>
        <w:div w:id="824930960">
          <w:blockQuote w:val="1"/>
          <w:marLeft w:val="225"/>
          <w:marRight w:val="0"/>
          <w:marTop w:val="0"/>
          <w:marBottom w:val="0"/>
          <w:divBdr>
            <w:top w:val="none" w:sz="0" w:space="0" w:color="auto"/>
            <w:left w:val="none" w:sz="0" w:space="0" w:color="auto"/>
            <w:bottom w:val="none" w:sz="0" w:space="0" w:color="auto"/>
            <w:right w:val="none" w:sz="0" w:space="0" w:color="auto"/>
          </w:divBdr>
        </w:div>
        <w:div w:id="827329334">
          <w:blockQuote w:val="1"/>
          <w:marLeft w:val="225"/>
          <w:marRight w:val="0"/>
          <w:marTop w:val="0"/>
          <w:marBottom w:val="0"/>
          <w:divBdr>
            <w:top w:val="none" w:sz="0" w:space="0" w:color="auto"/>
            <w:left w:val="none" w:sz="0" w:space="0" w:color="auto"/>
            <w:bottom w:val="none" w:sz="0" w:space="0" w:color="auto"/>
            <w:right w:val="none" w:sz="0" w:space="0" w:color="auto"/>
          </w:divBdr>
        </w:div>
        <w:div w:id="798844885">
          <w:blockQuote w:val="1"/>
          <w:marLeft w:val="225"/>
          <w:marRight w:val="0"/>
          <w:marTop w:val="0"/>
          <w:marBottom w:val="0"/>
          <w:divBdr>
            <w:top w:val="none" w:sz="0" w:space="0" w:color="auto"/>
            <w:left w:val="none" w:sz="0" w:space="0" w:color="auto"/>
            <w:bottom w:val="none" w:sz="0" w:space="0" w:color="auto"/>
            <w:right w:val="none" w:sz="0" w:space="0" w:color="auto"/>
          </w:divBdr>
        </w:div>
        <w:div w:id="1953391657">
          <w:blockQuote w:val="1"/>
          <w:marLeft w:val="225"/>
          <w:marRight w:val="0"/>
          <w:marTop w:val="0"/>
          <w:marBottom w:val="0"/>
          <w:divBdr>
            <w:top w:val="none" w:sz="0" w:space="0" w:color="auto"/>
            <w:left w:val="none" w:sz="0" w:space="0" w:color="auto"/>
            <w:bottom w:val="none" w:sz="0" w:space="0" w:color="auto"/>
            <w:right w:val="none" w:sz="0" w:space="0" w:color="auto"/>
          </w:divBdr>
        </w:div>
        <w:div w:id="220143881">
          <w:blockQuote w:val="1"/>
          <w:marLeft w:val="225"/>
          <w:marRight w:val="0"/>
          <w:marTop w:val="0"/>
          <w:marBottom w:val="0"/>
          <w:divBdr>
            <w:top w:val="none" w:sz="0" w:space="0" w:color="auto"/>
            <w:left w:val="none" w:sz="0" w:space="0" w:color="auto"/>
            <w:bottom w:val="none" w:sz="0" w:space="0" w:color="auto"/>
            <w:right w:val="none" w:sz="0" w:space="0" w:color="auto"/>
          </w:divBdr>
        </w:div>
        <w:div w:id="1508323406">
          <w:blockQuote w:val="1"/>
          <w:marLeft w:val="225"/>
          <w:marRight w:val="0"/>
          <w:marTop w:val="0"/>
          <w:marBottom w:val="0"/>
          <w:divBdr>
            <w:top w:val="none" w:sz="0" w:space="0" w:color="auto"/>
            <w:left w:val="none" w:sz="0" w:space="0" w:color="auto"/>
            <w:bottom w:val="none" w:sz="0" w:space="0" w:color="auto"/>
            <w:right w:val="none" w:sz="0" w:space="0" w:color="auto"/>
          </w:divBdr>
        </w:div>
        <w:div w:id="616642615">
          <w:blockQuote w:val="1"/>
          <w:marLeft w:val="225"/>
          <w:marRight w:val="0"/>
          <w:marTop w:val="0"/>
          <w:marBottom w:val="0"/>
          <w:divBdr>
            <w:top w:val="none" w:sz="0" w:space="0" w:color="auto"/>
            <w:left w:val="none" w:sz="0" w:space="0" w:color="auto"/>
            <w:bottom w:val="none" w:sz="0" w:space="0" w:color="auto"/>
            <w:right w:val="none" w:sz="0" w:space="0" w:color="auto"/>
          </w:divBdr>
        </w:div>
        <w:div w:id="483278749">
          <w:blockQuote w:val="1"/>
          <w:marLeft w:val="225"/>
          <w:marRight w:val="0"/>
          <w:marTop w:val="0"/>
          <w:marBottom w:val="0"/>
          <w:divBdr>
            <w:top w:val="none" w:sz="0" w:space="0" w:color="auto"/>
            <w:left w:val="none" w:sz="0" w:space="0" w:color="auto"/>
            <w:bottom w:val="none" w:sz="0" w:space="0" w:color="auto"/>
            <w:right w:val="none" w:sz="0" w:space="0" w:color="auto"/>
          </w:divBdr>
        </w:div>
        <w:div w:id="187724820">
          <w:blockQuote w:val="1"/>
          <w:marLeft w:val="225"/>
          <w:marRight w:val="0"/>
          <w:marTop w:val="0"/>
          <w:marBottom w:val="0"/>
          <w:divBdr>
            <w:top w:val="none" w:sz="0" w:space="0" w:color="auto"/>
            <w:left w:val="none" w:sz="0" w:space="0" w:color="auto"/>
            <w:bottom w:val="none" w:sz="0" w:space="0" w:color="auto"/>
            <w:right w:val="none" w:sz="0" w:space="0" w:color="auto"/>
          </w:divBdr>
        </w:div>
        <w:div w:id="106610128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50040192">
      <w:bodyDiv w:val="1"/>
      <w:marLeft w:val="0"/>
      <w:marRight w:val="0"/>
      <w:marTop w:val="0"/>
      <w:marBottom w:val="0"/>
      <w:divBdr>
        <w:top w:val="none" w:sz="0" w:space="0" w:color="auto"/>
        <w:left w:val="none" w:sz="0" w:space="0" w:color="auto"/>
        <w:bottom w:val="none" w:sz="0" w:space="0" w:color="auto"/>
        <w:right w:val="none" w:sz="0" w:space="0" w:color="auto"/>
      </w:divBdr>
    </w:div>
    <w:div w:id="1752197346">
      <w:bodyDiv w:val="1"/>
      <w:marLeft w:val="0"/>
      <w:marRight w:val="0"/>
      <w:marTop w:val="0"/>
      <w:marBottom w:val="0"/>
      <w:divBdr>
        <w:top w:val="none" w:sz="0" w:space="0" w:color="auto"/>
        <w:left w:val="none" w:sz="0" w:space="0" w:color="auto"/>
        <w:bottom w:val="none" w:sz="0" w:space="0" w:color="auto"/>
        <w:right w:val="none" w:sz="0" w:space="0" w:color="auto"/>
      </w:divBdr>
    </w:div>
    <w:div w:id="1783961752">
      <w:bodyDiv w:val="1"/>
      <w:marLeft w:val="0"/>
      <w:marRight w:val="0"/>
      <w:marTop w:val="0"/>
      <w:marBottom w:val="0"/>
      <w:divBdr>
        <w:top w:val="none" w:sz="0" w:space="0" w:color="auto"/>
        <w:left w:val="none" w:sz="0" w:space="0" w:color="auto"/>
        <w:bottom w:val="none" w:sz="0" w:space="0" w:color="auto"/>
        <w:right w:val="none" w:sz="0" w:space="0" w:color="auto"/>
      </w:divBdr>
      <w:divsChild>
        <w:div w:id="194360905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07771993">
      <w:bodyDiv w:val="1"/>
      <w:marLeft w:val="0"/>
      <w:marRight w:val="0"/>
      <w:marTop w:val="0"/>
      <w:marBottom w:val="0"/>
      <w:divBdr>
        <w:top w:val="none" w:sz="0" w:space="0" w:color="auto"/>
        <w:left w:val="none" w:sz="0" w:space="0" w:color="auto"/>
        <w:bottom w:val="none" w:sz="0" w:space="0" w:color="auto"/>
        <w:right w:val="none" w:sz="0" w:space="0" w:color="auto"/>
      </w:divBdr>
    </w:div>
    <w:div w:id="1821459996">
      <w:bodyDiv w:val="1"/>
      <w:marLeft w:val="0"/>
      <w:marRight w:val="0"/>
      <w:marTop w:val="0"/>
      <w:marBottom w:val="0"/>
      <w:divBdr>
        <w:top w:val="none" w:sz="0" w:space="0" w:color="auto"/>
        <w:left w:val="none" w:sz="0" w:space="0" w:color="auto"/>
        <w:bottom w:val="none" w:sz="0" w:space="0" w:color="auto"/>
        <w:right w:val="none" w:sz="0" w:space="0" w:color="auto"/>
      </w:divBdr>
    </w:div>
    <w:div w:id="1821534446">
      <w:bodyDiv w:val="1"/>
      <w:marLeft w:val="0"/>
      <w:marRight w:val="0"/>
      <w:marTop w:val="0"/>
      <w:marBottom w:val="0"/>
      <w:divBdr>
        <w:top w:val="none" w:sz="0" w:space="0" w:color="auto"/>
        <w:left w:val="none" w:sz="0" w:space="0" w:color="auto"/>
        <w:bottom w:val="none" w:sz="0" w:space="0" w:color="auto"/>
        <w:right w:val="none" w:sz="0" w:space="0" w:color="auto"/>
      </w:divBdr>
      <w:divsChild>
        <w:div w:id="1943686510">
          <w:blockQuote w:val="1"/>
          <w:marLeft w:val="225"/>
          <w:marRight w:val="0"/>
          <w:marTop w:val="0"/>
          <w:marBottom w:val="0"/>
          <w:divBdr>
            <w:top w:val="none" w:sz="0" w:space="0" w:color="auto"/>
            <w:left w:val="none" w:sz="0" w:space="0" w:color="auto"/>
            <w:bottom w:val="none" w:sz="0" w:space="0" w:color="auto"/>
            <w:right w:val="none" w:sz="0" w:space="0" w:color="auto"/>
          </w:divBdr>
        </w:div>
        <w:div w:id="6348750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1367743">
      <w:bodyDiv w:val="1"/>
      <w:marLeft w:val="0"/>
      <w:marRight w:val="0"/>
      <w:marTop w:val="0"/>
      <w:marBottom w:val="0"/>
      <w:divBdr>
        <w:top w:val="none" w:sz="0" w:space="0" w:color="auto"/>
        <w:left w:val="none" w:sz="0" w:space="0" w:color="auto"/>
        <w:bottom w:val="none" w:sz="0" w:space="0" w:color="auto"/>
        <w:right w:val="none" w:sz="0" w:space="0" w:color="auto"/>
      </w:divBdr>
      <w:divsChild>
        <w:div w:id="199351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48053274">
      <w:bodyDiv w:val="1"/>
      <w:marLeft w:val="0"/>
      <w:marRight w:val="0"/>
      <w:marTop w:val="0"/>
      <w:marBottom w:val="0"/>
      <w:divBdr>
        <w:top w:val="none" w:sz="0" w:space="0" w:color="auto"/>
        <w:left w:val="none" w:sz="0" w:space="0" w:color="auto"/>
        <w:bottom w:val="none" w:sz="0" w:space="0" w:color="auto"/>
        <w:right w:val="none" w:sz="0" w:space="0" w:color="auto"/>
      </w:divBdr>
      <w:divsChild>
        <w:div w:id="188689831">
          <w:blockQuote w:val="1"/>
          <w:marLeft w:val="225"/>
          <w:marRight w:val="0"/>
          <w:marTop w:val="0"/>
          <w:marBottom w:val="0"/>
          <w:divBdr>
            <w:top w:val="none" w:sz="0" w:space="0" w:color="auto"/>
            <w:left w:val="none" w:sz="0" w:space="0" w:color="auto"/>
            <w:bottom w:val="none" w:sz="0" w:space="0" w:color="auto"/>
            <w:right w:val="none" w:sz="0" w:space="0" w:color="auto"/>
          </w:divBdr>
        </w:div>
        <w:div w:id="67776803">
          <w:blockQuote w:val="1"/>
          <w:marLeft w:val="225"/>
          <w:marRight w:val="0"/>
          <w:marTop w:val="0"/>
          <w:marBottom w:val="0"/>
          <w:divBdr>
            <w:top w:val="none" w:sz="0" w:space="0" w:color="auto"/>
            <w:left w:val="none" w:sz="0" w:space="0" w:color="auto"/>
            <w:bottom w:val="none" w:sz="0" w:space="0" w:color="auto"/>
            <w:right w:val="none" w:sz="0" w:space="0" w:color="auto"/>
          </w:divBdr>
        </w:div>
        <w:div w:id="38522228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6164036">
      <w:bodyDiv w:val="1"/>
      <w:marLeft w:val="0"/>
      <w:marRight w:val="0"/>
      <w:marTop w:val="0"/>
      <w:marBottom w:val="0"/>
      <w:divBdr>
        <w:top w:val="none" w:sz="0" w:space="0" w:color="auto"/>
        <w:left w:val="none" w:sz="0" w:space="0" w:color="auto"/>
        <w:bottom w:val="none" w:sz="0" w:space="0" w:color="auto"/>
        <w:right w:val="none" w:sz="0" w:space="0" w:color="auto"/>
      </w:divBdr>
    </w:div>
    <w:div w:id="2035499874">
      <w:bodyDiv w:val="1"/>
      <w:marLeft w:val="0"/>
      <w:marRight w:val="0"/>
      <w:marTop w:val="0"/>
      <w:marBottom w:val="0"/>
      <w:divBdr>
        <w:top w:val="none" w:sz="0" w:space="0" w:color="auto"/>
        <w:left w:val="none" w:sz="0" w:space="0" w:color="auto"/>
        <w:bottom w:val="none" w:sz="0" w:space="0" w:color="auto"/>
        <w:right w:val="none" w:sz="0" w:space="0" w:color="auto"/>
      </w:divBdr>
      <w:divsChild>
        <w:div w:id="4253482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8969475">
      <w:bodyDiv w:val="1"/>
      <w:marLeft w:val="0"/>
      <w:marRight w:val="0"/>
      <w:marTop w:val="0"/>
      <w:marBottom w:val="0"/>
      <w:divBdr>
        <w:top w:val="none" w:sz="0" w:space="0" w:color="auto"/>
        <w:left w:val="none" w:sz="0" w:space="0" w:color="auto"/>
        <w:bottom w:val="none" w:sz="0" w:space="0" w:color="auto"/>
        <w:right w:val="none" w:sz="0" w:space="0" w:color="auto"/>
      </w:divBdr>
      <w:divsChild>
        <w:div w:id="1472079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2653518">
      <w:bodyDiv w:val="1"/>
      <w:marLeft w:val="0"/>
      <w:marRight w:val="0"/>
      <w:marTop w:val="0"/>
      <w:marBottom w:val="0"/>
      <w:divBdr>
        <w:top w:val="none" w:sz="0" w:space="0" w:color="auto"/>
        <w:left w:val="none" w:sz="0" w:space="0" w:color="auto"/>
        <w:bottom w:val="none" w:sz="0" w:space="0" w:color="auto"/>
        <w:right w:val="none" w:sz="0" w:space="0" w:color="auto"/>
      </w:divBdr>
    </w:div>
    <w:div w:id="2092387072">
      <w:bodyDiv w:val="1"/>
      <w:marLeft w:val="0"/>
      <w:marRight w:val="0"/>
      <w:marTop w:val="0"/>
      <w:marBottom w:val="0"/>
      <w:divBdr>
        <w:top w:val="none" w:sz="0" w:space="0" w:color="auto"/>
        <w:left w:val="none" w:sz="0" w:space="0" w:color="auto"/>
        <w:bottom w:val="none" w:sz="0" w:space="0" w:color="auto"/>
        <w:right w:val="none" w:sz="0" w:space="0" w:color="auto"/>
      </w:divBdr>
      <w:divsChild>
        <w:div w:id="224419584">
          <w:blockQuote w:val="1"/>
          <w:marLeft w:val="225"/>
          <w:marRight w:val="0"/>
          <w:marTop w:val="0"/>
          <w:marBottom w:val="0"/>
          <w:divBdr>
            <w:top w:val="none" w:sz="0" w:space="0" w:color="auto"/>
            <w:left w:val="none" w:sz="0" w:space="0" w:color="auto"/>
            <w:bottom w:val="none" w:sz="0" w:space="0" w:color="auto"/>
            <w:right w:val="none" w:sz="0" w:space="0" w:color="auto"/>
          </w:divBdr>
        </w:div>
        <w:div w:id="825247040">
          <w:blockQuote w:val="1"/>
          <w:marLeft w:val="225"/>
          <w:marRight w:val="0"/>
          <w:marTop w:val="0"/>
          <w:marBottom w:val="0"/>
          <w:divBdr>
            <w:top w:val="none" w:sz="0" w:space="0" w:color="auto"/>
            <w:left w:val="none" w:sz="0" w:space="0" w:color="auto"/>
            <w:bottom w:val="none" w:sz="0" w:space="0" w:color="auto"/>
            <w:right w:val="none" w:sz="0" w:space="0" w:color="auto"/>
          </w:divBdr>
        </w:div>
        <w:div w:id="1446272986">
          <w:blockQuote w:val="1"/>
          <w:marLeft w:val="225"/>
          <w:marRight w:val="0"/>
          <w:marTop w:val="0"/>
          <w:marBottom w:val="0"/>
          <w:divBdr>
            <w:top w:val="none" w:sz="0" w:space="0" w:color="auto"/>
            <w:left w:val="none" w:sz="0" w:space="0" w:color="auto"/>
            <w:bottom w:val="none" w:sz="0" w:space="0" w:color="auto"/>
            <w:right w:val="none" w:sz="0" w:space="0" w:color="auto"/>
          </w:divBdr>
        </w:div>
        <w:div w:id="127782904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comments.xml.rels><?xml version="1.0" encoding="UTF-8" standalone="yes"?>
<Relationships xmlns="http://schemas.openxmlformats.org/package/2006/relationships"><Relationship Id="rId1" Type="http://schemas.openxmlformats.org/officeDocument/2006/relationships/hyperlink" Target="https://github.com/mickaeleskinazi/metaanalysis-psychedelics"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45838</Words>
  <Characters>252111</Characters>
  <Application>Microsoft Office Word</Application>
  <DocSecurity>0</DocSecurity>
  <Lines>2100</Lines>
  <Paragraphs>594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ESKINAZI Mickael</cp:lastModifiedBy>
  <cp:revision>2</cp:revision>
  <dcterms:created xsi:type="dcterms:W3CDTF">2026-02-05T16:35:00Z</dcterms:created>
  <dcterms:modified xsi:type="dcterms:W3CDTF">2026-02-05T16:35:00Z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id="mtdEuibc"/&gt;&lt;style id="http://www.zotero.org/styles/apa" locale="fr-FR"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