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Global dose-response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24"/>
        <w:gridCol w:w="954"/>
        <w:gridCol w:w="1144"/>
        <w:gridCol w:w="1164"/>
        <w:gridCol w:w="754"/>
      </w:tblGrid>
      <w:tr>
        <w:trPr>
          <w:trHeight w:val="4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 (total)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Q (model)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Stars</w:t>
            </w:r>
          </w:p>
        </w:tc>
      </w:tr>
      <w:tr>
        <w:trPr>
          <w:trHeight w:val="43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20.02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***</w:t>
            </w:r>
          </w:p>
        </w:tc>
      </w:tr>
      <w:tr>
        <w:trPr>
          <w:trHeight w:val="43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222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2026-05-17T17:17:15Z</dcterms:modified>
  <cp:category/>
</cp:coreProperties>
</file>