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00"/>
        <w:jc w:val="center"/>
      </w:pPr>
      <w:r>
        <w:rPr>
          <w:rFonts w:ascii="Arial" w:cs="Arial" w:eastAsia="Arial" w:hAnsi="Arial"/>
          <w:b/>
          <w:bCs/>
          <w:color w:val="1B3A5C"/>
          <w:sz w:val="56"/>
          <w:szCs w:val="56"/>
        </w:rPr>
        <w:t xml:space="preserve">TKC Timetable Platform</w:t>
      </w:r>
    </w:p>
    <w:p>
      <w:pPr>
        <w:spacing w:after="100"/>
        <w:jc w:val="center"/>
      </w:pPr>
      <w:r>
        <w:rPr>
          <w:rFonts w:ascii="Arial" w:cs="Arial" w:eastAsia="Arial" w:hAnsi="Arial"/>
          <w:color w:val="2E75B6"/>
          <w:sz w:val="32"/>
          <w:szCs w:val="32"/>
        </w:rPr>
        <w:t xml:space="preserve">Moat Strategy</w:t>
      </w:r>
    </w:p>
    <w:p>
      <w:pPr>
        <w:spacing w:after="100"/>
        <w:jc w:val="center"/>
      </w:pPr>
      <w:r>
        <w:rPr>
          <w:rFonts w:ascii="Arial" w:cs="Arial" w:eastAsia="Arial" w:hAnsi="Arial"/>
          <w:color w:val="666666"/>
          <w:sz w:val="24"/>
          <w:szCs w:val="24"/>
        </w:rPr>
        <w:t xml:space="preserve">Where to Build Defensibility</w:t>
      </w:r>
    </w:p>
    <w:p>
      <w:pPr>
        <w:pBdr>
          <w:bottom w:val="single" w:color="2E75B6" w:sz="6" w:space="1"/>
        </w:pBdr>
        <w:spacing w:after="600"/>
        <w:jc w:val="center"/>
      </w:pPr>
      <w:r>
        <w:rPr>
          <w:rFonts w:ascii="Arial" w:cs="Arial" w:eastAsia="Arial" w:hAnsi="Arial"/>
          <w:sz w:val="12"/>
          <w:szCs w:val="12"/>
        </w:rPr>
        <w:t xml:space="preserve"> </w:t>
      </w:r>
    </w:p>
    <w:p>
      <w:pPr>
        <w:spacing w:after="100"/>
        <w:jc w:val="center"/>
      </w:pPr>
      <w:r>
        <w:rPr>
          <w:rFonts w:ascii="Arial" w:cs="Arial" w:eastAsia="Arial" w:hAnsi="Arial"/>
          <w:color w:val="666666"/>
          <w:sz w:val="22"/>
          <w:szCs w:val="22"/>
        </w:rPr>
        <w:t xml:space="preserve">LB42 Ltd (trading as Kion Technology)</w:t>
      </w:r>
    </w:p>
    <w:p>
      <w:pPr>
        <w:spacing w:after="100"/>
        <w:jc w:val="center"/>
      </w:pPr>
      <w:r>
        <w:rPr>
          <w:rFonts w:ascii="Arial" w:cs="Arial" w:eastAsia="Arial" w:hAnsi="Arial"/>
          <w:color w:val="666666"/>
          <w:sz w:val="22"/>
          <w:szCs w:val="22"/>
        </w:rPr>
        <w:t xml:space="preserve">Michael Barlow, Digital Consultant</w:t>
      </w:r>
    </w:p>
    <w:p>
      <w:pPr>
        <w:spacing w:after="100"/>
        <w:jc w:val="center"/>
      </w:pPr>
      <w:r>
        <w:rPr>
          <w:rFonts w:ascii="Arial" w:cs="Arial" w:eastAsia="Arial" w:hAnsi="Arial"/>
          <w:color w:val="666666"/>
          <w:sz w:val="22"/>
          <w:szCs w:val="22"/>
        </w:rPr>
        <w:t xml:space="preserve">Version 1.0  |  March 2026</w:t>
      </w:r>
    </w:p>
    <w:p>
      <w:pPr>
        <w:sectPr>
          <w:pgSz w:w="11906" w:h="16838" w:orient="portrait"/>
          <w:pgMar w:top="1440" w:right="1440" w:bottom="1440" w:left="1440" w:header="708" w:footer="708" w:gutter="0"/>
          <w:pgNumType/>
          <w:docGrid w:linePitch="360"/>
        </w:sectPr>
      </w:pPr>
    </w:p>
    <w:p>
      <w:pPr>
        <w:pStyle w:val="Heading1"/>
      </w:pPr>
      <w:r>
        <w:rPr>
          <w:rFonts w:ascii="Arial" w:cs="Arial" w:eastAsia="Arial" w:hAnsi="Arial"/>
        </w:rPr>
        <w:t xml:space="preserve">Strategic Context</w:t>
      </w:r>
    </w:p>
    <w:p>
      <w:pPr>
        <w:spacing w:after="120"/>
      </w:pPr>
      <w:r>
        <w:rPr>
          <w:rFonts w:ascii="Arial" w:cs="Arial" w:eastAsia="Arial" w:hAnsi="Arial"/>
          <w:color w:val="000000"/>
          <w:sz w:val="22"/>
          <w:szCs w:val="22"/>
        </w:rPr>
        <w:t xml:space="preserve">The timetable builder is a feature. Features get copied. This document identifies where the real competitive moat should be built for the TKC Timetable Platform.</w:t>
      </w:r>
    </w:p>
    <w:p>
      <w:pPr>
        <w:spacing w:after="120"/>
      </w:pPr>
      <w:r>
        <w:rPr>
          <w:rFonts w:ascii="Arial" w:cs="Arial" w:eastAsia="Arial" w:hAnsi="Arial"/>
          <w:color w:val="000000"/>
          <w:sz w:val="22"/>
          <w:szCs w:val="22"/>
        </w:rPr>
        <w:t xml:space="preserve">A moat is not a product advantage. It is a structural barrier that makes it difficult for competitors to replicate your position, even if they replicate your product. The TKC platform has five potential moat layers, ranked by strategic importance.</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2400"/>
        <w:gridCol w:w="2826"/>
      </w:tblGrid>
      <w:tr>
        <w:trPr>
          <w:tblHeader/>
        </w:trPr>
        <w:tc>
          <w:tcPr>
            <w:tcW w:type="dxa" w:w="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Rank</w:t>
            </w:r>
          </w:p>
        </w:tc>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Moat Layer</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Type of Lock-In</w:t>
            </w:r>
          </w:p>
        </w:tc>
        <w:tc>
          <w:tcPr>
            <w:tcW w:type="dxa" w:w="28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Phase</w:t>
            </w:r>
          </w:p>
        </w:tc>
      </w:tr>
      <w:tr>
        <w:tc>
          <w:tcPr>
            <w:tcW w:type="dxa" w:w="8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1</w:t>
            </w:r>
          </w:p>
        </w:tc>
        <w:tc>
          <w:tcPr>
            <w:tcW w:type="dxa" w:w="30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Notification Engine</w:t>
            </w:r>
          </w:p>
        </w:tc>
        <w:tc>
          <w:tcPr>
            <w:tcW w:type="dxa" w:w="24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Behavioural lock-in</w:t>
            </w:r>
          </w:p>
        </w:tc>
        <w:tc>
          <w:tcPr>
            <w:tcW w:type="dxa" w:w="2826"/>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Phase 7</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2</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Data Ownership</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Structural lock-in</w:t>
            </w:r>
          </w:p>
        </w:tc>
        <w:tc>
          <w:tcPr>
            <w:tcW w:type="dxa" w:w="2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Phases 2–6</w:t>
            </w:r>
          </w:p>
        </w:tc>
      </w:tr>
      <w:tr>
        <w:tc>
          <w:tcPr>
            <w:tcW w:type="dxa" w:w="8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3</w:t>
            </w:r>
          </w:p>
        </w:tc>
        <w:tc>
          <w:tcPr>
            <w:tcW w:type="dxa" w:w="30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Distribution (Championship Relationships)</w:t>
            </w:r>
          </w:p>
        </w:tc>
        <w:tc>
          <w:tcPr>
            <w:tcW w:type="dxa" w:w="24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Market control</w:t>
            </w:r>
          </w:p>
        </w:tc>
        <w:tc>
          <w:tcPr>
            <w:tcW w:type="dxa" w:w="2826"/>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Go-to-market</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4</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Workflow Embedding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Operational lock-in</w:t>
            </w:r>
          </w:p>
        </w:tc>
        <w:tc>
          <w:tcPr>
            <w:tcW w:type="dxa" w:w="2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Phases 3–5</w:t>
            </w:r>
          </w:p>
        </w:tc>
      </w:tr>
      <w:tr>
        <w:tc>
          <w:tcPr>
            <w:tcW w:type="dxa" w:w="8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5</w:t>
            </w:r>
          </w:p>
        </w:tc>
        <w:tc>
          <w:tcPr>
            <w:tcW w:type="dxa" w:w="30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Network Effects (Community Layer)</w:t>
            </w:r>
          </w:p>
        </w:tc>
        <w:tc>
          <w:tcPr>
            <w:tcW w:type="dxa" w:w="24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Scale advantage</w:t>
            </w:r>
          </w:p>
        </w:tc>
        <w:tc>
          <w:tcPr>
            <w:tcW w:type="dxa" w:w="2826"/>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Phase 7</w:t>
            </w:r>
          </w:p>
        </w:tc>
      </w:tr>
    </w:tbl>
    <w:p>
      <w:r>
        <w:br w:type="page"/>
      </w:r>
    </w:p>
    <w:p>
      <w:pPr>
        <w:pStyle w:val="Heading1"/>
      </w:pPr>
      <w:r>
        <w:rPr>
          <w:rFonts w:ascii="Arial" w:cs="Arial" w:eastAsia="Arial" w:hAnsi="Arial"/>
        </w:rPr>
        <w:t xml:space="preserve">Moat Layer 1: Notification Engine</w:t>
      </w:r>
    </w:p>
    <w:p>
      <w:pPr>
        <w:spacing w:after="120"/>
      </w:pPr>
      <w:r>
        <w:rPr>
          <w:rFonts w:ascii="Arial" w:cs="Arial" w:eastAsia="Arial" w:hAnsi="Arial"/>
          <w:b/>
          <w:bCs/>
          <w:color w:val="000000"/>
          <w:sz w:val="22"/>
          <w:szCs w:val="22"/>
        </w:rPr>
        <w:t xml:space="preserve">Rank: #1 — Strongest moat angle</w:t>
      </w:r>
    </w:p>
    <w:p>
      <w:pPr>
        <w:spacing w:after="60"/>
      </w:pPr>
    </w:p>
    <w:p>
      <w:pPr>
        <w:pStyle w:val="Heading2"/>
      </w:pPr>
      <w:r>
        <w:rPr>
          <w:rFonts w:ascii="Arial" w:cs="Arial" w:eastAsia="Arial" w:hAnsi="Arial"/>
        </w:rPr>
        <w:t xml:space="preserve">What to Build</w:t>
      </w:r>
    </w:p>
    <w:p>
      <w:pPr>
        <w:pStyle w:val="ListParagraph"/>
        <w:numPr>
          <w:ilvl w:val="0"/>
          <w:numId w:val="2"/>
        </w:numPr>
        <w:spacing w:after="60"/>
      </w:pPr>
      <w:r>
        <w:rPr>
          <w:rFonts w:ascii="Arial" w:cs="Arial" w:eastAsia="Arial" w:hAnsi="Arial"/>
          <w:color w:val="000000"/>
          <w:sz w:val="22"/>
          <w:szCs w:val="22"/>
        </w:rPr>
        <w:t xml:space="preserve">Alerts tied to specific drivers, classes, sessions and event changes.</w:t>
      </w:r>
    </w:p>
    <w:p>
      <w:pPr>
        <w:pStyle w:val="ListParagraph"/>
        <w:numPr>
          <w:ilvl w:val="0"/>
          <w:numId w:val="2"/>
        </w:numPr>
        <w:spacing w:after="60"/>
      </w:pPr>
      <w:r>
        <w:rPr>
          <w:rFonts w:ascii="Arial" w:cs="Arial" w:eastAsia="Arial" w:hAnsi="Arial"/>
          <w:color w:val="000000"/>
          <w:sz w:val="22"/>
          <w:szCs w:val="22"/>
        </w:rPr>
        <w:t xml:space="preserve">Multi-channel delivery: push (free), SMS and WhatsApp (paid).</w:t>
      </w:r>
    </w:p>
    <w:p>
      <w:pPr>
        <w:pStyle w:val="ListParagraph"/>
        <w:numPr>
          <w:ilvl w:val="0"/>
          <w:numId w:val="2"/>
        </w:numPr>
        <w:spacing w:after="60"/>
      </w:pPr>
      <w:r>
        <w:rPr>
          <w:rFonts w:ascii="Arial" w:cs="Arial" w:eastAsia="Arial" w:hAnsi="Arial"/>
          <w:color w:val="000000"/>
          <w:sz w:val="22"/>
          <w:szCs w:val="22"/>
        </w:rPr>
        <w:t xml:space="preserve">Configurable timing: 5, 10, 15, 30 minutes or 1 hour before a session.</w:t>
      </w:r>
    </w:p>
    <w:p>
      <w:pPr>
        <w:pStyle w:val="ListParagraph"/>
        <w:numPr>
          <w:ilvl w:val="0"/>
          <w:numId w:val="2"/>
        </w:numPr>
        <w:spacing w:after="60"/>
      </w:pPr>
      <w:r>
        <w:rPr>
          <w:rFonts w:ascii="Arial" w:cs="Arial" w:eastAsia="Arial" w:hAnsi="Arial"/>
          <w:color w:val="000000"/>
          <w:sz w:val="22"/>
          <w:szCs w:val="22"/>
        </w:rPr>
        <w:t xml:space="preserve">Multiple alerts per session (e.g. 30 min warning + 10 min warning).</w:t>
      </w:r>
    </w:p>
    <w:p>
      <w:pPr>
        <w:pStyle w:val="ListParagraph"/>
        <w:numPr>
          <w:ilvl w:val="0"/>
          <w:numId w:val="2"/>
        </w:numPr>
        <w:spacing w:after="60"/>
      </w:pPr>
      <w:r>
        <w:rPr>
          <w:rFonts w:ascii="Arial" w:cs="Arial" w:eastAsia="Arial" w:hAnsi="Arial"/>
          <w:color w:val="000000"/>
          <w:sz w:val="22"/>
          <w:szCs w:val="22"/>
        </w:rPr>
        <w:t xml:space="preserve">Timetable change alerts: notify when the schedule is updated mid-event.</w:t>
      </w:r>
    </w:p>
    <w:p>
      <w:pPr>
        <w:pStyle w:val="Heading2"/>
      </w:pPr>
      <w:r>
        <w:rPr>
          <w:rFonts w:ascii="Arial" w:cs="Arial" w:eastAsia="Arial" w:hAnsi="Arial"/>
        </w:rPr>
        <w:t xml:space="preserve">Why This Is the Strongest Moat</w:t>
      </w:r>
    </w:p>
    <w:p>
      <w:pPr>
        <w:spacing w:after="120"/>
      </w:pPr>
      <w:r>
        <w:rPr>
          <w:rFonts w:ascii="Arial" w:cs="Arial" w:eastAsia="Arial" w:hAnsi="Arial"/>
          <w:color w:val="000000"/>
          <w:sz w:val="22"/>
          <w:szCs w:val="22"/>
        </w:rPr>
        <w:t xml:space="preserve">People do not pay for timetables. They pay to not miss their races. The notification engine transforms the platform from a passive reference tool into a mission-critical utility that users depend on during live events.</w:t>
      </w:r>
    </w:p>
    <w:p>
      <w:pPr>
        <w:spacing w:after="120"/>
      </w:pPr>
      <w:r>
        <w:rPr>
          <w:rFonts w:ascii="Arial" w:cs="Arial" w:eastAsia="Arial" w:hAnsi="Arial"/>
          <w:color w:val="000000"/>
          <w:sz w:val="22"/>
          <w:szCs w:val="22"/>
        </w:rPr>
        <w:t xml:space="preserve">Once a parent relies on TKC alerts to know when their child races, switching to a competitor means risking missed sessions. That is behavioural lock-in — the strongest kind.</w:t>
      </w:r>
    </w:p>
    <w:p>
      <w:pPr>
        <w:shd w:fill="E8F0F8" w:val="clear"/>
        <w:spacing w:after="120"/>
        <w:ind w:left="360" w:right="360"/>
      </w:pPr>
      <w:r>
        <w:rPr>
          <w:rFonts w:ascii="Arial" w:cs="Arial" w:eastAsia="Arial" w:hAnsi="Arial"/>
          <w:b/>
          <w:bCs/>
          <w:color w:val="1B3A5C"/>
          <w:sz w:val="20"/>
          <w:szCs w:val="20"/>
        </w:rPr>
        <w:t xml:space="preserve">Key Insight: </w:t>
      </w:r>
      <w:r>
        <w:rPr>
          <w:rFonts w:ascii="Arial" w:cs="Arial" w:eastAsia="Arial" w:hAnsi="Arial"/>
          <w:color w:val="1B3A5C"/>
          <w:sz w:val="20"/>
          <w:szCs w:val="20"/>
        </w:rPr>
        <w:t xml:space="preserve">The product is not a timetable. It is a race-day awareness system. The timetable is just the data layer that powers it.</w:t>
      </w:r>
    </w:p>
    <w:p>
      <w:pPr>
        <w:pStyle w:val="Heading2"/>
      </w:pPr>
      <w:r>
        <w:rPr>
          <w:rFonts w:ascii="Arial" w:cs="Arial" w:eastAsia="Arial" w:hAnsi="Arial"/>
        </w:rPr>
        <w:t xml:space="preserve">How This Creates Defensibility</w:t>
      </w:r>
    </w:p>
    <w:p>
      <w:pPr>
        <w:pStyle w:val="ListParagraph"/>
        <w:numPr>
          <w:ilvl w:val="0"/>
          <w:numId w:val="3"/>
        </w:numPr>
        <w:spacing w:after="60"/>
      </w:pPr>
      <w:r>
        <w:rPr>
          <w:rFonts w:ascii="Arial" w:cs="Arial" w:eastAsia="Arial" w:hAnsi="Arial"/>
          <w:color w:val="000000"/>
          <w:sz w:val="22"/>
          <w:szCs w:val="22"/>
        </w:rPr>
        <w:t xml:space="preserve">Users configure alerts once per event. Reconfiguring on another platform is friction.</w:t>
      </w:r>
    </w:p>
    <w:p>
      <w:pPr>
        <w:pStyle w:val="ListParagraph"/>
        <w:numPr>
          <w:ilvl w:val="0"/>
          <w:numId w:val="3"/>
        </w:numPr>
        <w:spacing w:after="60"/>
      </w:pPr>
      <w:r>
        <w:rPr>
          <w:rFonts w:ascii="Arial" w:cs="Arial" w:eastAsia="Arial" w:hAnsi="Arial"/>
          <w:color w:val="000000"/>
          <w:sz w:val="22"/>
          <w:szCs w:val="22"/>
        </w:rPr>
        <w:t xml:space="preserve">Multi-driver support (parents with two kids racing) increases per-user complexity and switching cost.</w:t>
      </w:r>
    </w:p>
    <w:p>
      <w:pPr>
        <w:pStyle w:val="ListParagraph"/>
        <w:numPr>
          <w:ilvl w:val="0"/>
          <w:numId w:val="3"/>
        </w:numPr>
        <w:spacing w:after="60"/>
      </w:pPr>
      <w:r>
        <w:rPr>
          <w:rFonts w:ascii="Arial" w:cs="Arial" w:eastAsia="Arial" w:hAnsi="Arial"/>
          <w:color w:val="000000"/>
          <w:sz w:val="22"/>
          <w:szCs w:val="22"/>
        </w:rPr>
        <w:t xml:space="preserve">Reliability builds trust. Consistent, timely alerts earn loyalty that a new entrant cannot replicate on day one.</w:t>
      </w:r>
    </w:p>
    <w:p>
      <w:pPr>
        <w:pStyle w:val="ListParagraph"/>
        <w:numPr>
          <w:ilvl w:val="0"/>
          <w:numId w:val="3"/>
        </w:numPr>
        <w:spacing w:after="60"/>
      </w:pPr>
      <w:r>
        <w:rPr>
          <w:rFonts w:ascii="Arial" w:cs="Arial" w:eastAsia="Arial" w:hAnsi="Arial"/>
          <w:color w:val="000000"/>
          <w:sz w:val="22"/>
          <w:szCs w:val="22"/>
        </w:rPr>
        <w:t xml:space="preserve">Paid alerts create revenue, which funds further development, which widens the gap.</w:t>
      </w:r>
    </w:p>
    <w:p>
      <w:r>
        <w:br w:type="page"/>
      </w:r>
    </w:p>
    <w:p>
      <w:pPr>
        <w:pStyle w:val="Heading1"/>
      </w:pPr>
      <w:r>
        <w:rPr>
          <w:rFonts w:ascii="Arial" w:cs="Arial" w:eastAsia="Arial" w:hAnsi="Arial"/>
        </w:rPr>
        <w:t xml:space="preserve">Moat Layer 2: Data Ownership</w:t>
      </w:r>
    </w:p>
    <w:p>
      <w:pPr>
        <w:spacing w:after="120"/>
      </w:pPr>
      <w:r>
        <w:rPr>
          <w:rFonts w:ascii="Arial" w:cs="Arial" w:eastAsia="Arial" w:hAnsi="Arial"/>
          <w:b/>
          <w:bCs/>
          <w:color w:val="000000"/>
          <w:sz w:val="22"/>
          <w:szCs w:val="22"/>
        </w:rPr>
        <w:t xml:space="preserve">Rank: #2 — Foundation layer</w:t>
      </w:r>
    </w:p>
    <w:p>
      <w:pPr>
        <w:spacing w:after="60"/>
      </w:pPr>
    </w:p>
    <w:p>
      <w:pPr>
        <w:pStyle w:val="Heading2"/>
      </w:pPr>
      <w:r>
        <w:rPr>
          <w:rFonts w:ascii="Arial" w:cs="Arial" w:eastAsia="Arial" w:hAnsi="Arial"/>
        </w:rPr>
        <w:t xml:space="preserve">What to Build</w:t>
      </w:r>
    </w:p>
    <w:p>
      <w:pPr>
        <w:pStyle w:val="ListParagraph"/>
        <w:numPr>
          <w:ilvl w:val="0"/>
          <w:numId w:val="4"/>
        </w:numPr>
        <w:spacing w:after="60"/>
      </w:pPr>
      <w:r>
        <w:rPr>
          <w:rFonts w:ascii="Arial" w:cs="Arial" w:eastAsia="Arial" w:hAnsi="Arial"/>
          <w:color w:val="000000"/>
          <w:sz w:val="22"/>
          <w:szCs w:val="22"/>
        </w:rPr>
        <w:t xml:space="preserve">Centralised event and timetable database with structured, normalised data.</w:t>
      </w:r>
    </w:p>
    <w:p>
      <w:pPr>
        <w:pStyle w:val="ListParagraph"/>
        <w:numPr>
          <w:ilvl w:val="0"/>
          <w:numId w:val="4"/>
        </w:numPr>
        <w:spacing w:after="60"/>
      </w:pPr>
      <w:r>
        <w:rPr>
          <w:rFonts w:ascii="Arial" w:cs="Arial" w:eastAsia="Arial" w:hAnsi="Arial"/>
          <w:color w:val="000000"/>
          <w:sz w:val="22"/>
          <w:szCs w:val="22"/>
        </w:rPr>
        <w:t xml:space="preserve">Historical versions of every timetable (version tracking on publish).</w:t>
      </w:r>
    </w:p>
    <w:p>
      <w:pPr>
        <w:pStyle w:val="ListParagraph"/>
        <w:numPr>
          <w:ilvl w:val="0"/>
          <w:numId w:val="4"/>
        </w:numPr>
        <w:spacing w:after="60"/>
      </w:pPr>
      <w:r>
        <w:rPr>
          <w:rFonts w:ascii="Arial" w:cs="Arial" w:eastAsia="Arial" w:hAnsi="Arial"/>
          <w:color w:val="000000"/>
          <w:sz w:val="22"/>
          <w:szCs w:val="22"/>
        </w:rPr>
        <w:t xml:space="preserve">Change tracking with timestamps and diffs.</w:t>
      </w:r>
    </w:p>
    <w:p>
      <w:pPr>
        <w:pStyle w:val="ListParagraph"/>
        <w:numPr>
          <w:ilvl w:val="0"/>
          <w:numId w:val="4"/>
        </w:numPr>
        <w:spacing w:after="60"/>
      </w:pPr>
      <w:r>
        <w:rPr>
          <w:rFonts w:ascii="Arial" w:cs="Arial" w:eastAsia="Arial" w:hAnsi="Arial"/>
          <w:color w:val="000000"/>
          <w:sz w:val="22"/>
          <w:szCs w:val="22"/>
        </w:rPr>
        <w:t xml:space="preserve">Cross-event standardisation: consistent data model regardless of which championship provides the data.</w:t>
      </w:r>
    </w:p>
    <w:p>
      <w:pPr>
        <w:pStyle w:val="Heading2"/>
      </w:pPr>
      <w:r>
        <w:rPr>
          <w:rFonts w:ascii="Arial" w:cs="Arial" w:eastAsia="Arial" w:hAnsi="Arial"/>
        </w:rPr>
        <w:t xml:space="preserve">Why This Matters</w:t>
      </w:r>
    </w:p>
    <w:p>
      <w:pPr>
        <w:spacing w:after="120"/>
      </w:pPr>
      <w:r>
        <w:rPr>
          <w:rFonts w:ascii="Arial" w:cs="Arial" w:eastAsia="Arial" w:hAnsi="Arial"/>
          <w:color w:val="000000"/>
          <w:sz w:val="22"/>
          <w:szCs w:val="22"/>
        </w:rPr>
        <w:t xml:space="preserve">Once organisers rely on your database as the source of truth for their event schedules, switching becomes painful. Their publication workflow, their public URLs, their notification subscribers — all tied to your data layer.</w:t>
      </w:r>
    </w:p>
    <w:p>
      <w:pPr>
        <w:spacing w:after="120"/>
      </w:pPr>
      <w:r>
        <w:rPr>
          <w:rFonts w:ascii="Arial" w:cs="Arial" w:eastAsia="Arial" w:hAnsi="Arial"/>
          <w:color w:val="000000"/>
          <w:sz w:val="22"/>
          <w:szCs w:val="22"/>
        </w:rPr>
        <w:t xml:space="preserve">Data ownership also enables future features: results, standings, historical event archives, driver profiles. The data layer is the foundation for everything that comes after.</w:t>
      </w:r>
    </w:p>
    <w:p>
      <w:pPr>
        <w:shd w:fill="E8F0F8" w:val="clear"/>
        <w:spacing w:after="120"/>
        <w:ind w:left="360" w:right="360"/>
      </w:pPr>
      <w:r>
        <w:rPr>
          <w:rFonts w:ascii="Arial" w:cs="Arial" w:eastAsia="Arial" w:hAnsi="Arial"/>
          <w:b/>
          <w:bCs/>
          <w:color w:val="1B3A5C"/>
          <w:sz w:val="20"/>
          <w:szCs w:val="20"/>
        </w:rPr>
        <w:t xml:space="preserve">Key Insight: </w:t>
      </w:r>
      <w:r>
        <w:rPr>
          <w:rFonts w:ascii="Arial" w:cs="Arial" w:eastAsia="Arial" w:hAnsi="Arial"/>
          <w:color w:val="1B3A5C"/>
          <w:sz w:val="20"/>
          <w:szCs w:val="20"/>
        </w:rPr>
        <w:t xml:space="preserve">You are not building a timetable tool. You are building the canonical database of karting event schedules. The tool is the interface; the data is the asset.</w:t>
      </w:r>
    </w:p>
    <w:p>
      <w:r>
        <w:br w:type="page"/>
      </w:r>
    </w:p>
    <w:p>
      <w:pPr>
        <w:pStyle w:val="Heading1"/>
      </w:pPr>
      <w:r>
        <w:rPr>
          <w:rFonts w:ascii="Arial" w:cs="Arial" w:eastAsia="Arial" w:hAnsi="Arial"/>
        </w:rPr>
        <w:t xml:space="preserve">Moat Layer 3: Distribution</w:t>
      </w:r>
    </w:p>
    <w:p>
      <w:pPr>
        <w:spacing w:after="120"/>
      </w:pPr>
      <w:r>
        <w:rPr>
          <w:rFonts w:ascii="Arial" w:cs="Arial" w:eastAsia="Arial" w:hAnsi="Arial"/>
          <w:b/>
          <w:bCs/>
          <w:color w:val="000000"/>
          <w:sz w:val="22"/>
          <w:szCs w:val="22"/>
        </w:rPr>
        <w:t xml:space="preserve">Rank: #3 — Often ignored, critically important</w:t>
      </w:r>
    </w:p>
    <w:p>
      <w:pPr>
        <w:spacing w:after="60"/>
      </w:pPr>
    </w:p>
    <w:p>
      <w:pPr>
        <w:pStyle w:val="Heading2"/>
      </w:pPr>
      <w:r>
        <w:rPr>
          <w:rFonts w:ascii="Arial" w:cs="Arial" w:eastAsia="Arial" w:hAnsi="Arial"/>
        </w:rPr>
        <w:t xml:space="preserve">What to Build</w:t>
      </w:r>
    </w:p>
    <w:p>
      <w:pPr>
        <w:pStyle w:val="ListParagraph"/>
        <w:numPr>
          <w:ilvl w:val="0"/>
          <w:numId w:val="5"/>
        </w:numPr>
        <w:spacing w:after="60"/>
      </w:pPr>
      <w:r>
        <w:rPr>
          <w:rFonts w:ascii="Arial" w:cs="Arial" w:eastAsia="Arial" w:hAnsi="Arial"/>
          <w:color w:val="000000"/>
          <w:sz w:val="22"/>
          <w:szCs w:val="22"/>
        </w:rPr>
        <w:t xml:space="preserve">Direct relationships with championships, tracks and event organisers.</w:t>
      </w:r>
    </w:p>
    <w:p>
      <w:pPr>
        <w:pStyle w:val="ListParagraph"/>
        <w:numPr>
          <w:ilvl w:val="0"/>
          <w:numId w:val="5"/>
        </w:numPr>
        <w:spacing w:after="60"/>
      </w:pPr>
      <w:r>
        <w:rPr>
          <w:rFonts w:ascii="Arial" w:cs="Arial" w:eastAsia="Arial" w:hAnsi="Arial"/>
          <w:color w:val="000000"/>
          <w:sz w:val="22"/>
          <w:szCs w:val="22"/>
        </w:rPr>
        <w:t xml:space="preserve">Become the default timetable publication method for partner championships.</w:t>
      </w:r>
    </w:p>
    <w:p>
      <w:pPr>
        <w:pStyle w:val="ListParagraph"/>
        <w:numPr>
          <w:ilvl w:val="0"/>
          <w:numId w:val="5"/>
        </w:numPr>
        <w:spacing w:after="60"/>
      </w:pPr>
      <w:r>
        <w:rPr>
          <w:rFonts w:ascii="Arial" w:cs="Arial" w:eastAsia="Arial" w:hAnsi="Arial"/>
          <w:color w:val="000000"/>
          <w:sz w:val="22"/>
          <w:szCs w:val="22"/>
        </w:rPr>
        <w:t xml:space="preserve">Co-branding: “Official timetable powered by TKC” on event communications.</w:t>
      </w:r>
    </w:p>
    <w:p>
      <w:pPr>
        <w:pStyle w:val="ListParagraph"/>
        <w:numPr>
          <w:ilvl w:val="0"/>
          <w:numId w:val="5"/>
        </w:numPr>
        <w:spacing w:after="60"/>
      </w:pPr>
      <w:r>
        <w:rPr>
          <w:rFonts w:ascii="Arial" w:cs="Arial" w:eastAsia="Arial" w:hAnsi="Arial"/>
          <w:color w:val="000000"/>
          <w:sz w:val="22"/>
          <w:szCs w:val="22"/>
        </w:rPr>
        <w:t xml:space="preserve">Integration into existing event communication channels (championship websites, social media, email newsletters).</w:t>
      </w:r>
    </w:p>
    <w:p>
      <w:pPr>
        <w:pStyle w:val="Heading2"/>
      </w:pPr>
      <w:r>
        <w:rPr>
          <w:rFonts w:ascii="Arial" w:cs="Arial" w:eastAsia="Arial" w:hAnsi="Arial"/>
        </w:rPr>
        <w:t xml:space="preserve">Why This Matters</w:t>
      </w:r>
    </w:p>
    <w:p>
      <w:pPr>
        <w:spacing w:after="120"/>
      </w:pPr>
      <w:r>
        <w:rPr>
          <w:rFonts w:ascii="Arial" w:cs="Arial" w:eastAsia="Arial" w:hAnsi="Arial"/>
          <w:color w:val="000000"/>
          <w:sz w:val="22"/>
          <w:szCs w:val="22"/>
        </w:rPr>
        <w:t xml:space="preserve">If you own distribution, competitors cannot get access. A technically identical product is worthless if the championships are already publishing through your platform and their drivers are already using your alerts.</w:t>
      </w:r>
    </w:p>
    <w:p>
      <w:pPr>
        <w:spacing w:after="120"/>
      </w:pPr>
      <w:r>
        <w:rPr>
          <w:rFonts w:ascii="Arial" w:cs="Arial" w:eastAsia="Arial" w:hAnsi="Arial"/>
          <w:color w:val="000000"/>
          <w:sz w:val="22"/>
          <w:szCs w:val="22"/>
        </w:rPr>
        <w:t xml:space="preserve">Distribution is a relationship-based moat. It is slow to build but extremely hard to break once established. In a niche market like karting, there are a finite number of championships and tracks. Locking in early matters disproportionately.</w:t>
      </w:r>
    </w:p>
    <w:p>
      <w:pPr>
        <w:shd w:fill="E8F0F8" w:val="clear"/>
        <w:spacing w:after="120"/>
        <w:ind w:left="360" w:right="360"/>
      </w:pPr>
      <w:r>
        <w:rPr>
          <w:rFonts w:ascii="Arial" w:cs="Arial" w:eastAsia="Arial" w:hAnsi="Arial"/>
          <w:b/>
          <w:bCs/>
          <w:color w:val="1B3A5C"/>
          <w:sz w:val="20"/>
          <w:szCs w:val="20"/>
        </w:rPr>
        <w:t xml:space="preserve">Key Insight: </w:t>
      </w:r>
      <w:r>
        <w:rPr>
          <w:rFonts w:ascii="Arial" w:cs="Arial" w:eastAsia="Arial" w:hAnsi="Arial"/>
          <w:color w:val="1B3A5C"/>
          <w:sz w:val="20"/>
          <w:szCs w:val="20"/>
        </w:rPr>
        <w:t xml:space="preserve">The first product to become “the default” in a niche wins. Not because it is better, but because switching is unnecessary.</w:t>
      </w:r>
    </w:p>
    <w:p>
      <w:r>
        <w:br w:type="page"/>
      </w:r>
    </w:p>
    <w:p>
      <w:pPr>
        <w:pStyle w:val="Heading1"/>
      </w:pPr>
      <w:r>
        <w:rPr>
          <w:rFonts w:ascii="Arial" w:cs="Arial" w:eastAsia="Arial" w:hAnsi="Arial"/>
        </w:rPr>
        <w:t xml:space="preserve">Moat Layer 4: Workflow Embedding</w:t>
      </w:r>
    </w:p>
    <w:p>
      <w:pPr>
        <w:spacing w:after="120"/>
      </w:pPr>
      <w:r>
        <w:rPr>
          <w:rFonts w:ascii="Arial" w:cs="Arial" w:eastAsia="Arial" w:hAnsi="Arial"/>
          <w:b/>
          <w:bCs/>
          <w:color w:val="000000"/>
          <w:sz w:val="22"/>
          <w:szCs w:val="22"/>
        </w:rPr>
        <w:t xml:space="preserve">Rank: #4 — Operational lock-in</w:t>
      </w:r>
    </w:p>
    <w:p>
      <w:pPr>
        <w:spacing w:after="60"/>
      </w:pPr>
    </w:p>
    <w:p>
      <w:pPr>
        <w:pStyle w:val="Heading2"/>
      </w:pPr>
      <w:r>
        <w:rPr>
          <w:rFonts w:ascii="Arial" w:cs="Arial" w:eastAsia="Arial" w:hAnsi="Arial"/>
        </w:rPr>
        <w:t xml:space="preserve">What to Build</w:t>
      </w:r>
    </w:p>
    <w:p>
      <w:pPr>
        <w:pStyle w:val="ListParagraph"/>
        <w:numPr>
          <w:ilvl w:val="0"/>
          <w:numId w:val="6"/>
        </w:numPr>
        <w:spacing w:after="60"/>
      </w:pPr>
      <w:r>
        <w:rPr>
          <w:rFonts w:ascii="Arial" w:cs="Arial" w:eastAsia="Arial" w:hAnsi="Arial"/>
          <w:color w:val="000000"/>
          <w:sz w:val="22"/>
          <w:szCs w:val="22"/>
        </w:rPr>
        <w:t xml:space="preserve">Make organisers run their event operations through the platform: publishing schedules, updating sessions mid-event, pushing changes to all subscribers.</w:t>
      </w:r>
    </w:p>
    <w:p>
      <w:pPr>
        <w:pStyle w:val="ListParagraph"/>
        <w:numPr>
          <w:ilvl w:val="0"/>
          <w:numId w:val="6"/>
        </w:numPr>
        <w:spacing w:after="60"/>
      </w:pPr>
      <w:r>
        <w:rPr>
          <w:rFonts w:ascii="Arial" w:cs="Arial" w:eastAsia="Arial" w:hAnsi="Arial"/>
          <w:color w:val="000000"/>
          <w:sz w:val="22"/>
          <w:szCs w:val="22"/>
        </w:rPr>
        <w:t xml:space="preserve">Event duplication and templates so organisers build next season’s events from last season’s data.</w:t>
      </w:r>
    </w:p>
    <w:p>
      <w:pPr>
        <w:pStyle w:val="ListParagraph"/>
        <w:numPr>
          <w:ilvl w:val="0"/>
          <w:numId w:val="6"/>
        </w:numPr>
        <w:spacing w:after="60"/>
      </w:pPr>
      <w:r>
        <w:rPr>
          <w:rFonts w:ascii="Arial" w:cs="Arial" w:eastAsia="Arial" w:hAnsi="Arial"/>
          <w:color w:val="000000"/>
          <w:sz w:val="22"/>
          <w:szCs w:val="22"/>
        </w:rPr>
        <w:t xml:space="preserve">Archive and historical access so organisers rely on TKC as their operational record.</w:t>
      </w:r>
    </w:p>
    <w:p>
      <w:pPr>
        <w:pStyle w:val="Heading2"/>
      </w:pPr>
      <w:r>
        <w:rPr>
          <w:rFonts w:ascii="Arial" w:cs="Arial" w:eastAsia="Arial" w:hAnsi="Arial"/>
        </w:rPr>
        <w:t xml:space="preserve">Why This Matters</w:t>
      </w:r>
    </w:p>
    <w:p>
      <w:pPr>
        <w:spacing w:after="120"/>
      </w:pPr>
      <w:r>
        <w:rPr>
          <w:rFonts w:ascii="Arial" w:cs="Arial" w:eastAsia="Arial" w:hAnsi="Arial"/>
          <w:color w:val="000000"/>
          <w:sz w:val="22"/>
          <w:szCs w:val="22"/>
        </w:rPr>
        <w:t xml:space="preserve">When the platform becomes part of how an organiser runs their event — not just how they publish a timetable — it becomes operationally embedded. Removing it means changing the entire event management process.</w:t>
      </w:r>
    </w:p>
    <w:p>
      <w:pPr>
        <w:spacing w:after="120"/>
      </w:pPr>
      <w:r>
        <w:rPr>
          <w:rFonts w:ascii="Arial" w:cs="Arial" w:eastAsia="Arial" w:hAnsi="Arial"/>
          <w:color w:val="000000"/>
          <w:sz w:val="22"/>
          <w:szCs w:val="22"/>
        </w:rPr>
        <w:t xml:space="preserve">Templates and duplication are particularly powerful: once an organiser has built three seasons of events in the system, they are not going to rebuild that library elsewhere.</w:t>
      </w:r>
    </w:p>
    <w:p>
      <w:pPr>
        <w:shd w:fill="E8F0F8" w:val="clear"/>
        <w:spacing w:after="120"/>
        <w:ind w:left="360" w:right="360"/>
      </w:pPr>
      <w:r>
        <w:rPr>
          <w:rFonts w:ascii="Arial" w:cs="Arial" w:eastAsia="Arial" w:hAnsi="Arial"/>
          <w:b/>
          <w:bCs/>
          <w:color w:val="1B3A5C"/>
          <w:sz w:val="20"/>
          <w:szCs w:val="20"/>
        </w:rPr>
        <w:t xml:space="preserve">Key Insight: </w:t>
      </w:r>
      <w:r>
        <w:rPr>
          <w:rFonts w:ascii="Arial" w:cs="Arial" w:eastAsia="Arial" w:hAnsi="Arial"/>
          <w:color w:val="1B3A5C"/>
          <w:sz w:val="20"/>
          <w:szCs w:val="20"/>
        </w:rPr>
        <w:t xml:space="preserve">The deeper you embed into operational workflow, the higher the switching cost. Templates and historical data are quiet but powerful retention mechanisms.</w:t>
      </w:r>
    </w:p>
    <w:p>
      <w:r>
        <w:br w:type="page"/>
      </w:r>
    </w:p>
    <w:p>
      <w:pPr>
        <w:pStyle w:val="Heading1"/>
      </w:pPr>
      <w:r>
        <w:rPr>
          <w:rFonts w:ascii="Arial" w:cs="Arial" w:eastAsia="Arial" w:hAnsi="Arial"/>
        </w:rPr>
        <w:t xml:space="preserve">Moat Layer 5: Network Effects</w:t>
      </w:r>
    </w:p>
    <w:p>
      <w:pPr>
        <w:spacing w:after="120"/>
      </w:pPr>
      <w:r>
        <w:rPr>
          <w:rFonts w:ascii="Arial" w:cs="Arial" w:eastAsia="Arial" w:hAnsi="Arial"/>
          <w:b/>
          <w:bCs/>
          <w:color w:val="000000"/>
          <w:sz w:val="22"/>
          <w:szCs w:val="22"/>
        </w:rPr>
        <w:t xml:space="preserve">Rank: #5 — Emerges from Phase 7</w:t>
      </w:r>
    </w:p>
    <w:p>
      <w:pPr>
        <w:spacing w:after="60"/>
      </w:pPr>
    </w:p>
    <w:p>
      <w:pPr>
        <w:pStyle w:val="Heading2"/>
      </w:pPr>
      <w:r>
        <w:rPr>
          <w:rFonts w:ascii="Arial" w:cs="Arial" w:eastAsia="Arial" w:hAnsi="Arial"/>
        </w:rPr>
        <w:t xml:space="preserve">What to Build</w:t>
      </w:r>
    </w:p>
    <w:p>
      <w:pPr>
        <w:pStyle w:val="ListParagraph"/>
        <w:numPr>
          <w:ilvl w:val="0"/>
          <w:numId w:val="7"/>
        </w:numPr>
        <w:spacing w:after="60"/>
      </w:pPr>
      <w:r>
        <w:rPr>
          <w:rFonts w:ascii="Arial" w:cs="Arial" w:eastAsia="Arial" w:hAnsi="Arial"/>
          <w:color w:val="000000"/>
          <w:sz w:val="22"/>
          <w:szCs w:val="22"/>
        </w:rPr>
        <w:t xml:space="preserve">Community timetable sharing: one user’s upload benefits all users at the same event.</w:t>
      </w:r>
    </w:p>
    <w:p>
      <w:pPr>
        <w:pStyle w:val="ListParagraph"/>
        <w:numPr>
          <w:ilvl w:val="0"/>
          <w:numId w:val="7"/>
        </w:numPr>
        <w:spacing w:after="60"/>
      </w:pPr>
      <w:r>
        <w:rPr>
          <w:rFonts w:ascii="Arial" w:cs="Arial" w:eastAsia="Arial" w:hAnsi="Arial"/>
          <w:color w:val="000000"/>
          <w:sz w:val="22"/>
          <w:szCs w:val="22"/>
        </w:rPr>
        <w:t xml:space="preserve">“Official vs community” trust layer with adoption counts and verification signals.</w:t>
      </w:r>
    </w:p>
    <w:p>
      <w:pPr>
        <w:pStyle w:val="ListParagraph"/>
        <w:numPr>
          <w:ilvl w:val="0"/>
          <w:numId w:val="7"/>
        </w:numPr>
        <w:spacing w:after="60"/>
      </w:pPr>
      <w:r>
        <w:rPr>
          <w:rFonts w:ascii="Arial" w:cs="Arial" w:eastAsia="Arial" w:hAnsi="Arial"/>
          <w:color w:val="000000"/>
          <w:sz w:val="22"/>
          <w:szCs w:val="22"/>
        </w:rPr>
        <w:t xml:space="preserve">Championship matching: users search for their event and find timetables already submitted by other users.</w:t>
      </w:r>
    </w:p>
    <w:p>
      <w:pPr>
        <w:pStyle w:val="ListParagraph"/>
        <w:numPr>
          <w:ilvl w:val="0"/>
          <w:numId w:val="7"/>
        </w:numPr>
        <w:spacing w:after="60"/>
      </w:pPr>
      <w:r>
        <w:rPr>
          <w:rFonts w:ascii="Arial" w:cs="Arial" w:eastAsia="Arial" w:hAnsi="Arial"/>
          <w:color w:val="000000"/>
          <w:sz w:val="22"/>
          <w:szCs w:val="22"/>
        </w:rPr>
        <w:t xml:space="preserve">Crowdsourced accuracy: multiple uploads for the same event can be compared and validated.</w:t>
      </w:r>
    </w:p>
    <w:p>
      <w:pPr>
        <w:pStyle w:val="Heading2"/>
      </w:pPr>
      <w:r>
        <w:rPr>
          <w:rFonts w:ascii="Arial" w:cs="Arial" w:eastAsia="Arial" w:hAnsi="Arial"/>
        </w:rPr>
        <w:t xml:space="preserve">Why This Matters</w:t>
      </w:r>
    </w:p>
    <w:p>
      <w:pPr>
        <w:spacing w:after="120"/>
      </w:pPr>
      <w:r>
        <w:rPr>
          <w:rFonts w:ascii="Arial" w:cs="Arial" w:eastAsia="Arial" w:hAnsi="Arial"/>
          <w:color w:val="000000"/>
          <w:sz w:val="22"/>
          <w:szCs w:val="22"/>
        </w:rPr>
        <w:t xml:space="preserve">Network effects mean more users create more value, which attracts more users. The community timetable layer is where this begins. A new entrant with zero community data cannot offer the same “search and find your event” experience.</w:t>
      </w:r>
    </w:p>
    <w:p>
      <w:pPr>
        <w:spacing w:after="120"/>
      </w:pPr>
      <w:r>
        <w:rPr>
          <w:rFonts w:ascii="Arial" w:cs="Arial" w:eastAsia="Arial" w:hAnsi="Arial"/>
          <w:color w:val="000000"/>
          <w:sz w:val="22"/>
          <w:szCs w:val="22"/>
        </w:rPr>
        <w:t xml:space="preserve">This is the slowest moat layer to build but the hardest to replicate. It requires time, users and trust — none of which can be shortcut.</w:t>
      </w:r>
    </w:p>
    <w:p>
      <w:pPr>
        <w:shd w:fill="E8F0F8" w:val="clear"/>
        <w:spacing w:after="120"/>
        <w:ind w:left="360" w:right="360"/>
      </w:pPr>
      <w:r>
        <w:rPr>
          <w:rFonts w:ascii="Arial" w:cs="Arial" w:eastAsia="Arial" w:hAnsi="Arial"/>
          <w:b/>
          <w:bCs/>
          <w:color w:val="1B3A5C"/>
          <w:sz w:val="20"/>
          <w:szCs w:val="20"/>
        </w:rPr>
        <w:t xml:space="preserve">Key Insight: </w:t>
      </w:r>
      <w:r>
        <w:rPr>
          <w:rFonts w:ascii="Arial" w:cs="Arial" w:eastAsia="Arial" w:hAnsi="Arial"/>
          <w:color w:val="1B3A5C"/>
          <w:sz w:val="20"/>
          <w:szCs w:val="20"/>
        </w:rPr>
        <w:t xml:space="preserve">The community data layer is the moat that compounds. Every uploaded timetable makes the platform more valuable for the next user.</w:t>
      </w:r>
    </w:p>
    <w:p>
      <w:r>
        <w:br w:type="page"/>
      </w:r>
    </w:p>
    <w:p>
      <w:pPr>
        <w:pStyle w:val="Heading1"/>
      </w:pPr>
      <w:r>
        <w:rPr>
          <w:rFonts w:ascii="Arial" w:cs="Arial" w:eastAsia="Arial" w:hAnsi="Arial"/>
        </w:rPr>
        <w:t xml:space="preserve">Moat Build Sequence</w:t>
      </w:r>
    </w:p>
    <w:p>
      <w:pPr>
        <w:spacing w:after="120"/>
      </w:pPr>
      <w:r>
        <w:rPr>
          <w:rFonts w:ascii="Arial" w:cs="Arial" w:eastAsia="Arial" w:hAnsi="Arial"/>
          <w:color w:val="000000"/>
          <w:sz w:val="22"/>
          <w:szCs w:val="22"/>
        </w:rPr>
        <w:t xml:space="preserve">Moats are not built in parallel. They must be sequenced so each layer reinforces the next.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2200"/>
        <w:gridCol w:w="3826"/>
      </w:tblGrid>
      <w:tr>
        <w:trPr>
          <w:tblHeader/>
        </w:trPr>
        <w:tc>
          <w:tcPr>
            <w:tcW w:type="dxa" w:w="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Sequence</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When</w:t>
            </w:r>
          </w:p>
        </w:tc>
        <w:tc>
          <w:tcPr>
            <w:tcW w:type="dxa" w:w="38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Depends On</w:t>
            </w:r>
          </w:p>
        </w:tc>
      </w:tr>
      <w:tr>
        <w:tc>
          <w:tcPr>
            <w:tcW w:type="dxa" w:w="8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1st</w:t>
            </w:r>
          </w:p>
        </w:tc>
        <w:tc>
          <w:tcPr>
            <w:tcW w:type="dxa" w:w="22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Data Ownership</w:t>
            </w:r>
          </w:p>
        </w:tc>
        <w:tc>
          <w:tcPr>
            <w:tcW w:type="dxa" w:w="22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Phases 2–4 (now)</w:t>
            </w:r>
          </w:p>
        </w:tc>
        <w:tc>
          <w:tcPr>
            <w:tcW w:type="dxa" w:w="3826"/>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Clean schema, reliable persistence, version tracking.</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2nd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Workflow Embedding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Phases 3–5</w:t>
            </w:r>
          </w:p>
        </w:tc>
        <w:tc>
          <w:tcPr>
            <w:tcW w:type="dxa" w:w="3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Data ownership. Organisers must trust the data before embedding into workflow.</w:t>
            </w:r>
          </w:p>
        </w:tc>
      </w:tr>
      <w:tr>
        <w:tc>
          <w:tcPr>
            <w:tcW w:type="dxa" w:w="8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3rd</w:t>
            </w:r>
          </w:p>
        </w:tc>
        <w:tc>
          <w:tcPr>
            <w:tcW w:type="dxa" w:w="22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Distribution</w:t>
            </w:r>
          </w:p>
        </w:tc>
        <w:tc>
          <w:tcPr>
            <w:tcW w:type="dxa" w:w="22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Phase 4 onward + GTM</w:t>
            </w:r>
          </w:p>
        </w:tc>
        <w:tc>
          <w:tcPr>
            <w:tcW w:type="dxa" w:w="3826"/>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Working product. You cannot sell relationships without a credible live product.</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4th</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Notification Engine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Phase 7 (first feature to build)</w:t>
            </w:r>
          </w:p>
        </w:tc>
        <w:tc>
          <w:tcPr>
            <w:tcW w:type="dxa" w:w="3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Data ownership + at least one championship publishing via TKC.</w:t>
            </w:r>
          </w:p>
        </w:tc>
      </w:tr>
      <w:tr>
        <w:tc>
          <w:tcPr>
            <w:tcW w:type="dxa" w:w="8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5th</w:t>
            </w:r>
          </w:p>
        </w:tc>
        <w:tc>
          <w:tcPr>
            <w:tcW w:type="dxa" w:w="22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Network Effects</w:t>
            </w:r>
          </w:p>
        </w:tc>
        <w:tc>
          <w:tcPr>
            <w:tcW w:type="dxa" w:w="22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Phase 7 (community features)</w:t>
            </w:r>
          </w:p>
        </w:tc>
        <w:tc>
          <w:tcPr>
            <w:tcW w:type="dxa" w:w="3826"/>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Notification engine driving user adoption. Community data grows from alert subscribers.</w:t>
            </w:r>
          </w:p>
        </w:tc>
      </w:tr>
    </w:tbl>
    <w:p>
      <w:pPr>
        <w:spacing w:after="60"/>
      </w:pPr>
    </w:p>
    <w:p>
      <w:pPr>
        <w:spacing w:after="120"/>
      </w:pPr>
      <w:r>
        <w:rPr>
          <w:rFonts w:ascii="Arial" w:cs="Arial" w:eastAsia="Arial" w:hAnsi="Arial"/>
          <w:color w:val="000000"/>
          <w:sz w:val="22"/>
          <w:szCs w:val="22"/>
        </w:rPr>
        <w:t xml:space="preserve">Data ownership is the foundation. Everything else is built on top of it. The notification engine is the most commercially valuable layer but it requires data to exist first. Distribution is built through relationships, not code.</w:t>
      </w:r>
    </w:p>
    <w:p>
      <w:r>
        <w:br w:type="page"/>
      </w:r>
    </w:p>
    <w:p>
      <w:pPr>
        <w:pStyle w:val="Heading1"/>
      </w:pPr>
      <w:r>
        <w:rPr>
          <w:rFonts w:ascii="Arial" w:cs="Arial" w:eastAsia="Arial" w:hAnsi="Arial"/>
        </w:rPr>
        <w:t xml:space="preserve">What Is Not a Moat</w:t>
      </w:r>
    </w:p>
    <w:p>
      <w:pPr>
        <w:spacing w:after="120"/>
      </w:pPr>
      <w:r>
        <w:rPr>
          <w:rFonts w:ascii="Arial" w:cs="Arial" w:eastAsia="Arial" w:hAnsi="Arial"/>
          <w:color w:val="000000"/>
          <w:sz w:val="22"/>
          <w:szCs w:val="22"/>
        </w:rPr>
        <w:t xml:space="preserve">It is important to be honest about what does not constitute a defensible position: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Not a Moat</w:t>
            </w:r>
          </w:p>
        </w:tc>
        <w:tc>
          <w:tcPr>
            <w:tcW w:type="dxa" w:w="60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Why</w:t>
            </w:r>
          </w:p>
        </w:tc>
      </w:tr>
      <w:tr>
        <w:tc>
          <w:tcPr>
            <w:tcW w:type="dxa" w:w="30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The timetable builder UI</w:t>
            </w:r>
          </w:p>
        </w:tc>
        <w:tc>
          <w:tcPr>
            <w:tcW w:type="dxa" w:w="6026"/>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Replicable in weeks by any competent developer.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The tech stack</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Next.js + Supabase is standard. No proprietary technology.</w:t>
            </w:r>
          </w:p>
        </w:tc>
      </w:tr>
      <w:tr>
        <w:tc>
          <w:tcPr>
            <w:tcW w:type="dxa" w:w="30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The AI extraction feature</w:t>
            </w:r>
          </w:p>
        </w:tc>
        <w:tc>
          <w:tcPr>
            <w:tcW w:type="dxa" w:w="6026"/>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Claude API is available to anyone. The extraction prompt is not a significant IP barrier.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Being first to market</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Only matters if you convert early access into data, relationships and habits.</w:t>
            </w:r>
          </w:p>
        </w:tc>
      </w:tr>
      <w:tr>
        <w:tc>
          <w:tcPr>
            <w:tcW w:type="dxa" w:w="30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The codebase</w:t>
            </w:r>
          </w:p>
        </w:tc>
        <w:tc>
          <w:tcPr>
            <w:tcW w:type="dxa" w:w="6026"/>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Code is a commodity. What you build on top of it is not.</w:t>
            </w:r>
          </w:p>
        </w:tc>
      </w:tr>
    </w:tbl>
    <w:p>
      <w:pPr>
        <w:spacing w:after="60"/>
      </w:pPr>
    </w:p>
    <w:p>
      <w:pPr>
        <w:shd w:fill="E8F0F8" w:val="clear"/>
        <w:spacing w:after="120"/>
        <w:ind w:left="360" w:right="360"/>
      </w:pPr>
      <w:r>
        <w:rPr>
          <w:rFonts w:ascii="Arial" w:cs="Arial" w:eastAsia="Arial" w:hAnsi="Arial"/>
          <w:b/>
          <w:bCs/>
          <w:color w:val="1B3A5C"/>
          <w:sz w:val="20"/>
          <w:szCs w:val="20"/>
        </w:rPr>
        <w:t xml:space="preserve">Key Insight: </w:t>
      </w:r>
      <w:r>
        <w:rPr>
          <w:rFonts w:ascii="Arial" w:cs="Arial" w:eastAsia="Arial" w:hAnsi="Arial"/>
          <w:color w:val="1B3A5C"/>
          <w:sz w:val="20"/>
          <w:szCs w:val="20"/>
        </w:rPr>
        <w:t xml:space="preserve">The moat is never the product. The moat is data, behaviour, relationships and scale. Build those.</w:t>
      </w:r>
    </w:p>
    <w:p>
      <w:pPr>
        <w:spacing w:after="60"/>
      </w:pPr>
    </w:p>
    <w:p>
      <w:pPr>
        <w:pBdr>
          <w:top w:val="single" w:color="2E75B6" w:sz="2" w:space="1"/>
        </w:pBdr>
        <w:spacing w:before="400" w:after="120"/>
      </w:pPr>
      <w:r>
        <w:rPr>
          <w:rFonts w:ascii="Arial" w:cs="Arial" w:eastAsia="Arial" w:hAnsi="Arial"/>
          <w:i/>
          <w:iCs/>
          <w:color w:val="666666"/>
          <w:sz w:val="18"/>
          <w:szCs w:val="18"/>
        </w:rPr>
        <w:t xml:space="preserve">Prepared by LB42 Ltd (trading as Kion Technology). Michael Barlow, Digital Consultant. March 2026.</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2" w:space="1"/>
      </w:pBdr>
      <w:tabs>
        <w:tab w:val="right" w:pos="9026"/>
      </w:tabs>
    </w:pPr>
    <w:r>
      <w:rPr>
        <w:rFonts w:ascii="Arial" w:cs="Arial" w:eastAsia="Arial" w:hAnsi="Arial"/>
        <w:color w:val="666666"/>
        <w:sz w:val="16"/>
        <w:szCs w:val="16"/>
      </w:rPr>
      <w:t xml:space="preserve">LB42 Ltd (trading as Kion Technology)</w:t>
    </w:r>
    <w:r>
      <w:rPr>
        <w:rFonts w:ascii="Arial" w:cs="Arial" w:eastAsia="Arial" w:hAnsi="Arial"/>
        <w:color w:val="666666"/>
        <w:sz w:val="16"/>
        <w:szCs w:val="16"/>
      </w:rPr>
      <w:t xml:space="preserve">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2" w:space="1"/>
      </w:pBdr>
      <w:tabs>
        <w:tab w:val="right" w:pos="9026"/>
      </w:tabs>
    </w:pPr>
    <w:r>
      <w:rPr>
        <w:rFonts w:ascii="Arial" w:cs="Arial" w:eastAsia="Arial" w:hAnsi="Arial"/>
        <w:color w:val="666666"/>
        <w:sz w:val="16"/>
        <w:szCs w:val="16"/>
      </w:rPr>
      <w:t xml:space="preserve">TKC  —  Moat Strategy</w:t>
    </w:r>
    <w:r>
      <w:rPr>
        <w:rFonts w:ascii="Arial" w:cs="Arial" w:eastAsia="Arial" w:hAnsi="Arial"/>
        <w:color w:val="666666"/>
        <w:sz w:val="16"/>
        <w:szCs w:val="16"/>
      </w:rPr>
      <w:t xml:space="preserve">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5C"/>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2026-03-22T11:46:11.248Z</dcterms:created>
  <dcterms:modified xsi:type="dcterms:W3CDTF">2026-03-22T11:46:11.272Z</dcterms:modified>
</cp:coreProperties>
</file>

<file path=docProps/custom.xml><?xml version="1.0" encoding="utf-8"?>
<Properties xmlns="http://schemas.openxmlformats.org/officeDocument/2006/custom-properties" xmlns:vt="http://schemas.openxmlformats.org/officeDocument/2006/docPropsVTypes"/>
</file>