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TKC Timetable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SWOT Analysis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Strategic Assessment for Stakeholders</w:t>
      </w:r>
    </w:p>
    <w:p>
      <w:pPr>
        <w:pBdr>
          <w:bottom w:val="single" w:color="2E75B6" w:sz="6" w:space="1"/>
        </w:pBdr>
        <w:spacing w:after="60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LB42 Ltd (trading as Kion Technology)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Michael Barlow, Digital Consultant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March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SWOT Analysis Overview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SWOT analysis evaluates the TKC Timetable Platform across internal strengths and weaknesses and external opportunities and threats. It is intended as a strategic reference for business partners and the founding team.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analysis covers the full product scope: the championship tool (Phases 1–6) and the driver/parent consumer layer (Phase 7).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Positive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Strengths: Clear problem, low complexity, cost-efficient, disciplined roadmap, strategic AI use.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Weaknesses: Single operator, AI build dependency, schema rigidity risk, limited differentiation at MVP.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Opportunities: Expand beyond karting, SaaS monetisation, white-labelling, data ownership, first-mover advantage.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Threats: Low barrier to entry, incumbent evolution, adoption friction, data accuracy liability, cost scaling.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Strengths (Internal Advantages)</w:t>
      </w:r>
    </w:p>
    <w:p>
      <w:pPr>
        <w:pStyle w:val="Heading2"/>
      </w:pPr>
      <w:r>
        <w:rPr>
          <w:rFonts w:ascii="Arial" w:cs="Arial" w:eastAsia="Arial" w:hAnsi="Arial"/>
        </w:rPr>
        <w:t xml:space="preserve">S1: Clear, Narrow Problem with Proven Demand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product solves a specific operational pain: event timetable management for karting. This is already validated through a working prototype and internal use. It is not a speculative product built on assumptions.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Low market validation risk. The problem exists and is being solved manually today.</w:t>
      </w:r>
    </w:p>
    <w:p>
      <w:pPr>
        <w:pStyle w:val="Heading2"/>
      </w:pPr>
      <w:r>
        <w:rPr>
          <w:rFonts w:ascii="Arial" w:cs="Arial" w:eastAsia="Arial" w:hAnsi="Arial"/>
        </w:rPr>
        <w:t xml:space="preserve">S2: Low Technical Complexity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MVP requires no heavy real-time systems, no complex third-party integrations and no exotic infrastructure. The serverless stack (Next.js, Supabase, Netlify) is well-documented and widely supported.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Faster build, fewer failure points, lower development cost.</w:t>
      </w:r>
    </w:p>
    <w:p>
      <w:pPr>
        <w:pStyle w:val="Heading2"/>
      </w:pPr>
      <w:r>
        <w:rPr>
          <w:rFonts w:ascii="Arial" w:cs="Arial" w:eastAsia="Arial" w:hAnsi="Arial"/>
        </w:rPr>
        <w:t xml:space="preserve">S3: Strong Architecture Decisions Made Early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Row-level security is designed in from the start, not bolted on later. The relational schema is clean and normalised. There is no unnecessary API abstraction layer adding complexity.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Avoids the common SaaS pattern of rebuilding security and data layers post-launch.</w:t>
      </w:r>
    </w:p>
    <w:p>
      <w:pPr>
        <w:pStyle w:val="Heading2"/>
      </w:pPr>
      <w:r>
        <w:rPr>
          <w:rFonts w:ascii="Arial" w:cs="Arial" w:eastAsia="Arial" w:hAnsi="Arial"/>
        </w:rPr>
        <w:t xml:space="preserve">S4: Cost-Efficient Infrastructure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Early-stage running costs are extremely low: £15–£67 per month depending on stage. The platform scales gradually with usage rather than requiring upfront infrastructure investment.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Low financial risk to launch. No significant burn before revenue.</w:t>
      </w:r>
    </w:p>
    <w:p>
      <w:pPr>
        <w:pStyle w:val="Heading2"/>
      </w:pPr>
      <w:r>
        <w:rPr>
          <w:rFonts w:ascii="Arial" w:cs="Arial" w:eastAsia="Arial" w:hAnsi="Arial"/>
        </w:rPr>
        <w:t xml:space="preserve">S5: Phased Roadmap with Discipline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roadmap is structured into clear phases (1–6 core, 7 expansion) with an MVP-first mindset. Feature creep is managed through explicit phase boundaries and acceptance criteria.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Increases the likelihood of actually shipping a working product.</w:t>
      </w:r>
    </w:p>
    <w:p>
      <w:pPr>
        <w:pStyle w:val="Heading2"/>
      </w:pPr>
      <w:r>
        <w:rPr>
          <w:rFonts w:ascii="Arial" w:cs="Arial" w:eastAsia="Arial" w:hAnsi="Arial"/>
        </w:rPr>
        <w:t xml:space="preserve">S6: AI Used Strategically, Not Recklessly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There is no AI dependency in the core product (Phases 1–6). AI is introduced only where it adds clear value: document extraction and intelligent alerts in Phase 7. This keeps production costs predictable and avoids latency and reliability risks in the core platform.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Production cost profile remains low and predictable until consumer features are launched.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Weaknesses (Internal Limitations)</w:t>
      </w:r>
    </w:p>
    <w:p>
      <w:pPr>
        <w:pStyle w:val="Heading2"/>
      </w:pPr>
      <w:r>
        <w:rPr>
          <w:rFonts w:ascii="Arial" w:cs="Arial" w:eastAsia="Arial" w:hAnsi="Arial"/>
        </w:rPr>
        <w:t xml:space="preserve">W1: Heavy Reliance on a Single Operator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product owner, architect and primary driver of execution are the same person. Knowledge is centralised. There is no redundancy in decision-making or operational capacity.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Bottleneck risk. Scaling the business requires delegating before it becomes urgent.</w:t>
      </w:r>
    </w:p>
    <w:p>
      <w:pPr>
        <w:pStyle w:val="Heading2"/>
      </w:pPr>
      <w:r>
        <w:rPr>
          <w:rFonts w:ascii="Arial" w:cs="Arial" w:eastAsia="Arial" w:hAnsi="Arial"/>
        </w:rPr>
        <w:t xml:space="preserve">W2: Claude Code Build Dependency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execution relies heavily on AI coding tooling. Output quality depends on prompt control, review discipline and the operator’s ability to steer the agent effectively.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Risk of inconsistent or messy output if review standards slip. Requires disciplined commit-and-test workflow.</w:t>
      </w:r>
    </w:p>
    <w:p>
      <w:pPr>
        <w:pStyle w:val="Heading2"/>
      </w:pPr>
      <w:r>
        <w:rPr>
          <w:rFonts w:ascii="Arial" w:cs="Arial" w:eastAsia="Arial" w:hAnsi="Arial"/>
        </w:rPr>
        <w:t xml:space="preserve">W3: Schema Rigidity Risk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structured relational data model is a strength for data integrity but introduces rigidity. Karting events vary widely in format: some have qualifying heats, others have group stages, some run across non-consecutive days.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May require awkward workarounds or schema refactors to accommodate edge cases. Needs early exposure to varied real-world event formats.</w:t>
      </w:r>
    </w:p>
    <w:p>
      <w:pPr>
        <w:pStyle w:val="Heading2"/>
      </w:pPr>
      <w:r>
        <w:rPr>
          <w:rFonts w:ascii="Arial" w:cs="Arial" w:eastAsia="Arial" w:hAnsi="Arial"/>
        </w:rPr>
        <w:t xml:space="preserve">W4: Limited Differentiation at MVP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core feature (timetable builder and viewer) is useful but not inherently defensible. A competitor with basic web development skills could replicate the MVP functionality.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On its own, the MVP is not a moat. Defensibility must come from data, network effects or operational depth.</w:t>
      </w:r>
    </w:p>
    <w:p>
      <w:pPr>
        <w:pStyle w:val="Heading2"/>
      </w:pPr>
      <w:r>
        <w:rPr>
          <w:rFonts w:ascii="Arial" w:cs="Arial" w:eastAsia="Arial" w:hAnsi="Arial"/>
        </w:rPr>
        <w:t xml:space="preserve">W5: No Built-In Network Effects (Yet)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MVP is primarily a single-organisation utility tool. The value of the platform does not inherently increase as more users join. Growth at this stage relies on direct sales and onboarding, not product virality.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Growth is linear, not exponential, until the consumer layer (Phase 7) introduces community and sharing dynamics.</w:t>
      </w:r>
    </w:p>
    <w:p>
      <w:pPr>
        <w:pStyle w:val="Heading2"/>
      </w:pPr>
      <w:r>
        <w:rPr>
          <w:rFonts w:ascii="Arial" w:cs="Arial" w:eastAsia="Arial" w:hAnsi="Arial"/>
        </w:rPr>
        <w:t xml:space="preserve">W6: Phase 7 Introduces a Major Complexity Jump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7 adds AI extraction, payment processing, push/SMS/WhatsApp notifications and PWA requirements. This moves the product from a straightforward tool to a multi-layered platform with significantly more moving parts.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Risk of overcomplication, delayed delivery and technical debt if Phase 7 is not scoped and built with the same discipline as Phases 1–6.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Opportunities (External Upside)</w:t>
      </w:r>
    </w:p>
    <w:p>
      <w:pPr>
        <w:pStyle w:val="Heading2"/>
      </w:pPr>
      <w:r>
        <w:rPr>
          <w:rFonts w:ascii="Arial" w:cs="Arial" w:eastAsia="Arial" w:hAnsi="Arial"/>
        </w:rPr>
        <w:t xml:space="preserve">O1: Expand Beyond Karting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same system applies to motorsport events, track days, club racing and potentially non-motorsport scheduling (athletics meetings, swimming galas, multi-discipline sports days). The timetable structure is generic enough to serve adjacent markets with minimal modification.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Total addressable market widens significantly beyond the initial karting niche.</w:t>
      </w:r>
    </w:p>
    <w:p>
      <w:pPr>
        <w:pStyle w:val="Heading2"/>
      </w:pPr>
      <w:r>
        <w:rPr>
          <w:rFonts w:ascii="Arial" w:cs="Arial" w:eastAsia="Arial" w:hAnsi="Arial"/>
        </w:rPr>
        <w:t xml:space="preserve">O2: Strong SaaS Monetisation Path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7 unlocks multiple revenue streams: subscription model for alerts, add-on pricing for SMS and WhatsApp, per-event pricing for occasional users. All of these are recurring or usage-based with low marginal cost.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Clear path to recurring revenue without heavy sales infrastructure.</w:t>
      </w:r>
    </w:p>
    <w:p>
      <w:pPr>
        <w:pStyle w:val="Heading2"/>
      </w:pPr>
      <w:r>
        <w:rPr>
          <w:rFonts w:ascii="Arial" w:cs="Arial" w:eastAsia="Arial" w:hAnsi="Arial"/>
        </w:rPr>
        <w:t xml:space="preserve">O3: White-Labelling and Licensing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Championships, tracks and event organisers are potential B2B customers for a white-labelled version of the platform. This creates a high-margin revenue stream where the customer pays for branding and configuration, not custom development.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High-margin B2B revenue with minimal incremental build cost per customer.</w:t>
      </w:r>
    </w:p>
    <w:p>
      <w:pPr>
        <w:pStyle w:val="Heading2"/>
      </w:pPr>
      <w:r>
        <w:rPr>
          <w:rFonts w:ascii="Arial" w:cs="Arial" w:eastAsia="Arial" w:hAnsi="Arial"/>
        </w:rPr>
        <w:t xml:space="preserve">O4: Data Ownership and Future Features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Once the platform controls timetable data, expansion into results publishing, live updates, announcements and driver dashboards becomes a natural extension. The data layer is the foundation for a broader event operations platform.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Owning the data layer creates strategic optionality for future product development.</w:t>
      </w:r>
    </w:p>
    <w:p>
      <w:pPr>
        <w:pStyle w:val="Heading2"/>
      </w:pPr>
      <w:r>
        <w:rPr>
          <w:rFonts w:ascii="Arial" w:cs="Arial" w:eastAsia="Arial" w:hAnsi="Arial"/>
        </w:rPr>
        <w:t xml:space="preserve">O5: First-Mover Advantage Within Niche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Karting and grassroots event scheduling is underserved by technology. Most solutions are manual (printed timetables, PDFs emailed around, WhatsApp groups). There is no dominant digital tool in this space.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Opportunity to become the default tool before a competitor emerges.</w:t>
      </w:r>
    </w:p>
    <w:p>
      <w:pPr>
        <w:pStyle w:val="Heading2"/>
      </w:pPr>
      <w:r>
        <w:rPr>
          <w:rFonts w:ascii="Arial" w:cs="Arial" w:eastAsia="Arial" w:hAnsi="Arial"/>
        </w:rPr>
        <w:t xml:space="preserve">O6: Community Layer (Phase 7)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community timetable sharing feature in Phase 7 introduces the first network effect: each user’s upload benefits other users at the same event. Combined with alerts and driver management, this creates an engagement loop that increases switching cost.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This is where defensibility begins to emerge. The community data becomes harder to replicate than the software itself.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Threats (External Risks)</w:t>
      </w:r>
    </w:p>
    <w:p>
      <w:pPr>
        <w:pStyle w:val="Heading2"/>
      </w:pPr>
      <w:r>
        <w:rPr>
          <w:rFonts w:ascii="Arial" w:cs="Arial" w:eastAsia="Arial" w:hAnsi="Arial"/>
        </w:rPr>
        <w:t xml:space="preserve">T1: Low Barrier to Entry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tech stack is accessible and the core concept is straightforward. A competitor with reasonable web development skills could rebuild the MVP functionality in weeks, especially with AI coding tools.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Speed to market and community data are more defensible than the code itself.</w:t>
      </w:r>
    </w:p>
    <w:p>
      <w:pPr>
        <w:pStyle w:val="Heading2"/>
      </w:pPr>
      <w:r>
        <w:rPr>
          <w:rFonts w:ascii="Arial" w:cs="Arial" w:eastAsia="Arial" w:hAnsi="Arial"/>
        </w:rPr>
        <w:t xml:space="preserve">T2: Incumbent Tools Evolving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Existing timing software providers and event management platforms could add timetable features as an extension of their current product. They already have customer relationships and distribution channels.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Risk of being absorbed or replaced by a feature addition from an established player. Mitigation: move faster and own the consumer experience they cannot easily replicate.</w:t>
      </w:r>
    </w:p>
    <w:p>
      <w:pPr>
        <w:pStyle w:val="Heading2"/>
      </w:pPr>
      <w:r>
        <w:rPr>
          <w:rFonts w:ascii="Arial" w:cs="Arial" w:eastAsia="Arial" w:hAnsi="Arial"/>
        </w:rPr>
        <w:t xml:space="preserve">T3: Adoption Friction in Motorsport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motorsport industry, particularly at grassroots level, is often slow to adopt new tools. There is significant reliance on established processes and personal relationships. Selling technology to volunteer-run organisations requires patience.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Sales and onboarding may be slower and more relationship-dependent than expected. Internal use as proof-of-concept is critical before external sales.</w:t>
      </w:r>
    </w:p>
    <w:p>
      <w:pPr>
        <w:pStyle w:val="Heading2"/>
      </w:pPr>
      <w:r>
        <w:rPr>
          <w:rFonts w:ascii="Arial" w:cs="Arial" w:eastAsia="Arial" w:hAnsi="Arial"/>
        </w:rPr>
        <w:t xml:space="preserve">T4: Data Accuracy Liability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a timetable is wrong, the real-world impact is immediate: missed races, incorrect preparation, complaints. This is particularly acute for the AI extraction feature where OCR errors could propagate without review.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Trust becomes critical. The review-and-approve flow before saving extracted data is essential. Consider displaying confidence scores and flagging uncertain entries visually.</w:t>
      </w:r>
    </w:p>
    <w:p>
      <w:pPr>
        <w:pStyle w:val="Heading2"/>
      </w:pPr>
      <w:r>
        <w:rPr>
          <w:rFonts w:ascii="Arial" w:cs="Arial" w:eastAsia="Arial" w:hAnsi="Arial"/>
        </w:rPr>
        <w:t xml:space="preserve">T5: Messaging and Alert Cost Scaling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SMS and WhatsApp costs scale linearly with usage. At high volumes with low subscription prices, messaging costs could erode margins if pricing is not carefully controlled.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Subscription pricing must account for per-message costs. Push notifications (free) should be the default channel, with SMS/WhatsApp as premium add-ons.</w:t>
      </w:r>
    </w:p>
    <w:p>
      <w:pPr>
        <w:pStyle w:val="Heading2"/>
      </w:pPr>
      <w:r>
        <w:rPr>
          <w:rFonts w:ascii="Arial" w:cs="Arial" w:eastAsia="Arial" w:hAnsi="Arial"/>
        </w:rPr>
        <w:t xml:space="preserve">T6: Platform Dependency Risk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product depends on Supabase, Netlify, Resend, Claude API and Twilio. Pricing changes, service discontinuation or rate limit changes from any of these vendors could impact margins or require migration.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Implication: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Monitor vendor pricing changes. Avoid deep coupling where possible. The relational schema is portable to any PostgreSQL host if Supabase becomes unviable.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Strategic Summary</w:t>
      </w:r>
    </w:p>
    <w:p>
      <w:pPr>
        <w:pStyle w:val="Heading2"/>
      </w:pPr>
      <w:r>
        <w:rPr>
          <w:rFonts w:ascii="Arial" w:cs="Arial" w:eastAsia="Arial" w:hAnsi="Arial"/>
        </w:rPr>
        <w:t xml:space="preserve">Where This Is Strong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Getting to market quickly with low capital exposure.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Solving a real, validated operational problem.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Doing it cheaply, cleanly and with architectural discipline.</w:t>
      </w:r>
    </w:p>
    <w:p>
      <w:pPr>
        <w:pStyle w:val="Heading2"/>
      </w:pPr>
      <w:r>
        <w:rPr>
          <w:rFonts w:ascii="Arial" w:cs="Arial" w:eastAsia="Arial" w:hAnsi="Arial"/>
        </w:rPr>
        <w:t xml:space="preserve">Where This Is Weak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Defensibility at MVP stage.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Differentiation beyond basic timetable functionality.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Reliance on a single operator and AI build tooling.</w:t>
      </w:r>
    </w:p>
    <w:p>
      <w:pPr>
        <w:pStyle w:val="Heading2"/>
      </w:pPr>
      <w:r>
        <w:rPr>
          <w:rFonts w:ascii="Arial" w:cs="Arial" w:eastAsia="Arial" w:hAnsi="Arial"/>
        </w:rPr>
        <w:t xml:space="preserve">Where the Real Upside Is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7: alerts, consumer layer and community sharing.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White-labelling and B2B licensing.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Owning the timetable data layer as a foundation for broader event operations.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Critical Insight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Right now, this is a good product. It becomes a strong business only when it transitions from a timetable tool into one of two things: a data platform that owns the scheduling layer for events, or a notification and engagement system that drivers and parents depend on.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MVP proves the product works. Phase 7 proves the business works. The moat is built from community data, notification dependency and operational depth — not from the code itself.</w:t>
      </w:r>
    </w:p>
    <w:p>
      <w:pPr>
        <w:spacing w:after="60"/>
      </w:pPr>
    </w:p>
    <w:p>
      <w:pPr>
        <w:pBdr>
          <w:top w:val="single" w:color="2E75B6" w:sz="2" w:space="1"/>
        </w:pBdr>
        <w:spacing w:before="400"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Prepared by LB42 Ltd (trading as Kion Technology). Michael Barlow, Digital Consultant. March 2026.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LB42 Ltd (trading as Kion Technology)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TKC Timetable Platform  —  SWOT Analysis</w:t>
    </w:r>
    <w:r>
      <w:rPr>
        <w:rFonts w:ascii="Arial" w:cs="Arial" w:eastAsia="Arial" w:hAnsi="Arial"/>
        <w:color w:val="666666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2026-03-22T11:31:50.926Z</dcterms:created>
  <dcterms:modified xsi:type="dcterms:W3CDTF">2026-03-22T11:31:50.927Z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