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28"/>
          <w:szCs w:val="28"/>
        </w:rPr>
        <w:t xml:space="preserve">Technical, Commercial and Delivery Blueprint</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Prepared by 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Document Version 1.0  |  21 March 2026</w:t>
      </w:r>
    </w:p>
    <w:p>
      <w:pPr>
        <w:spacing w:after="100"/>
        <w:jc w:val="center"/>
      </w:pPr>
      <w:r>
        <w:rPr>
          <w:rFonts w:ascii="Arial" w:cs="Arial" w:eastAsia="Arial" w:hAnsi="Arial"/>
          <w:color w:val="666666"/>
          <w:sz w:val="22"/>
          <w:szCs w:val="22"/>
        </w:rPr>
        <w:t xml:space="preserve">Status: Draft for Stakeholder Circulation</w:t>
      </w:r>
    </w:p>
    <w:p>
      <w:pPr>
        <w:spacing w:before="2000"/>
        <w:jc w:val="center"/>
      </w:pPr>
      <w:r>
        <w:rPr>
          <w:rFonts w:ascii="Arial" w:cs="Arial" w:eastAsia="Arial" w:hAnsi="Arial"/>
          <w:i/>
          <w:iCs/>
          <w:color w:val="666666"/>
          <w:sz w:val="20"/>
          <w:szCs w:val="20"/>
        </w:rPr>
        <w:t xml:space="preserve">Prepared for stakeholders and business partners of the TKC Timetable Platform project.</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pPr>
      <w:r>
        <w:rPr>
          <w:rFonts w:ascii="Arial" w:cs="Arial" w:eastAsia="Arial" w:hAnsi="Arial"/>
          <w:color w:val="000000"/>
          <w:sz w:val="22"/>
          <w:szCs w:val="22"/>
        </w:rPr>
        <w:t xml:space="preserve">The TKC Timetable Platform is a timetable creation and publishing system for karting events. It provides event organisers with a structured admin tool for building multi-day schedules and delivers a responsive, mobile-friendly public timetable for drivers, teams and spectators.</w:t>
      </w:r>
    </w:p>
    <w:p>
      <w:pPr>
        <w:spacing w:after="120"/>
      </w:pPr>
      <w:r>
        <w:rPr>
          <w:rFonts w:ascii="Arial" w:cs="Arial" w:eastAsia="Arial" w:hAnsi="Arial"/>
          <w:color w:val="000000"/>
          <w:sz w:val="22"/>
          <w:szCs w:val="22"/>
        </w:rPr>
        <w:t xml:space="preserve">A working front-end prototype exists with a functional admin UI, functional public timetable rendering and JSON as the current data layer. There is no production back end, no persistent database and no live production AI dependency.</w:t>
      </w:r>
    </w:p>
    <w:p>
      <w:pPr>
        <w:spacing w:after="120"/>
      </w:pPr>
      <w:r>
        <w:rPr>
          <w:rFonts w:ascii="Arial" w:cs="Arial" w:eastAsia="Arial" w:hAnsi="Arial"/>
          <w:color w:val="000000"/>
          <w:sz w:val="22"/>
          <w:szCs w:val="22"/>
        </w:rPr>
        <w:t xml:space="preserve">This document sets out the technical architecture, product scope, delivery roadmap, cost profile, risk landscape and commercialisation path for the platform. It is intended as a working blueprint for business partners involved in funding, building or operating the product.</w:t>
      </w:r>
    </w:p>
    <w:p>
      <w:pPr>
        <w:spacing w:after="60"/>
      </w:pPr>
    </w:p>
    <w:p>
      <w:pPr>
        <w:spacing w:after="120"/>
      </w:pPr>
      <w:r>
        <w:rPr>
          <w:rFonts w:ascii="Arial" w:cs="Arial" w:eastAsia="Arial" w:hAnsi="Arial"/>
          <w:b/>
          <w:bCs/>
          <w:color w:val="000000"/>
          <w:sz w:val="22"/>
          <w:szCs w:val="22"/>
        </w:rPr>
        <w:t xml:space="preserve">IP Ownership</w:t>
      </w:r>
    </w:p>
    <w:p>
      <w:pPr>
        <w:spacing w:after="120"/>
      </w:pPr>
      <w:r>
        <w:rPr>
          <w:rFonts w:ascii="Arial" w:cs="Arial" w:eastAsia="Arial" w:hAnsi="Arial"/>
          <w:color w:val="000000"/>
          <w:sz w:val="22"/>
          <w:szCs w:val="22"/>
        </w:rPr>
        <w:t xml:space="preserve">All intellectual property in the TKC Timetable Platform is currently held by LB42 Ltd (trading as Kion Technology). IP ownership transfers to the project entity or purchaser upon completion of the agreed build and commercial terms.</w:t>
      </w:r>
    </w:p>
    <w:p>
      <w:r>
        <w:br w:type="page"/>
      </w:r>
    </w:p>
    <w:p>
      <w:pPr>
        <w:pStyle w:val="Heading1"/>
      </w:pPr>
      <w:r>
        <w:rPr>
          <w:rFonts w:ascii="Arial" w:cs="Arial" w:eastAsia="Arial" w:hAnsi="Arial"/>
        </w:rPr>
        <w:t xml:space="preserve">Investment Case</w:t>
      </w:r>
    </w:p>
    <w:p>
      <w:pPr>
        <w:pStyle w:val="Heading2"/>
      </w:pPr>
      <w:r>
        <w:rPr>
          <w:rFonts w:ascii="Arial" w:cs="Arial" w:eastAsia="Arial" w:hAnsi="Arial"/>
        </w:rPr>
        <w:t xml:space="preserve">Why This Project Is Compelling</w:t>
      </w:r>
    </w:p>
    <w:p>
      <w:pPr>
        <w:pStyle w:val="ListParagraph"/>
        <w:numPr>
          <w:ilvl w:val="0"/>
          <w:numId w:val="2"/>
        </w:numPr>
        <w:spacing w:after="60"/>
      </w:pPr>
      <w:r>
        <w:rPr>
          <w:rFonts w:ascii="Arial" w:cs="Arial" w:eastAsia="Arial" w:hAnsi="Arial"/>
          <w:color w:val="000000"/>
          <w:sz w:val="22"/>
          <w:szCs w:val="22"/>
        </w:rPr>
        <w:t xml:space="preserve">Solves a specific operational problem in a niche but commercially meaningful sector: karting and event operations.</w:t>
      </w:r>
    </w:p>
    <w:p>
      <w:pPr>
        <w:pStyle w:val="ListParagraph"/>
        <w:numPr>
          <w:ilvl w:val="0"/>
          <w:numId w:val="2"/>
        </w:numPr>
        <w:spacing w:after="60"/>
      </w:pPr>
      <w:r>
        <w:rPr>
          <w:rFonts w:ascii="Arial" w:cs="Arial" w:eastAsia="Arial" w:hAnsi="Arial"/>
          <w:color w:val="000000"/>
          <w:sz w:val="22"/>
          <w:szCs w:val="22"/>
        </w:rPr>
        <w:t xml:space="preserve">Identifiable early user base: internal operations first, then teams, drivers, spectators and event organisers.</w:t>
      </w:r>
    </w:p>
    <w:p>
      <w:pPr>
        <w:pStyle w:val="ListParagraph"/>
        <w:numPr>
          <w:ilvl w:val="0"/>
          <w:numId w:val="2"/>
        </w:numPr>
        <w:spacing w:after="60"/>
      </w:pPr>
      <w:r>
        <w:rPr>
          <w:rFonts w:ascii="Arial" w:cs="Arial" w:eastAsia="Arial" w:hAnsi="Arial"/>
          <w:color w:val="000000"/>
          <w:sz w:val="22"/>
          <w:szCs w:val="22"/>
        </w:rPr>
        <w:t xml:space="preserve">Low technical complexity relative to most investor-backed products, improving delivery certainty.</w:t>
      </w:r>
    </w:p>
    <w:p>
      <w:pPr>
        <w:pStyle w:val="ListParagraph"/>
        <w:numPr>
          <w:ilvl w:val="0"/>
          <w:numId w:val="2"/>
        </w:numPr>
        <w:spacing w:after="60"/>
      </w:pPr>
      <w:r>
        <w:rPr>
          <w:rFonts w:ascii="Arial" w:cs="Arial" w:eastAsia="Arial" w:hAnsi="Arial"/>
          <w:color w:val="000000"/>
          <w:sz w:val="22"/>
          <w:szCs w:val="22"/>
        </w:rPr>
        <w:t xml:space="preserve">Lightweight infrastructure profile reduces burn and makes early profitability more achievable.</w:t>
      </w:r>
    </w:p>
    <w:p>
      <w:pPr>
        <w:pStyle w:val="ListParagraph"/>
        <w:numPr>
          <w:ilvl w:val="0"/>
          <w:numId w:val="2"/>
        </w:numPr>
        <w:spacing w:after="60"/>
      </w:pPr>
      <w:r>
        <w:rPr>
          <w:rFonts w:ascii="Arial" w:cs="Arial" w:eastAsia="Arial" w:hAnsi="Arial"/>
          <w:color w:val="000000"/>
          <w:sz w:val="22"/>
          <w:szCs w:val="22"/>
        </w:rPr>
        <w:t xml:space="preserve">Straightforward migration path from prototype to production.</w:t>
      </w:r>
    </w:p>
    <w:p>
      <w:pPr>
        <w:pStyle w:val="Heading2"/>
      </w:pPr>
      <w:r>
        <w:rPr>
          <w:rFonts w:ascii="Arial" w:cs="Arial" w:eastAsia="Arial" w:hAnsi="Arial"/>
        </w:rPr>
        <w:t xml:space="preserve">Core Thesis</w:t>
      </w:r>
    </w:p>
    <w:p>
      <w:pPr>
        <w:spacing w:after="120"/>
      </w:pPr>
      <w:r>
        <w:rPr>
          <w:rFonts w:ascii="Arial" w:cs="Arial" w:eastAsia="Arial" w:hAnsi="Arial"/>
          <w:color w:val="000000"/>
          <w:sz w:val="22"/>
          <w:szCs w:val="22"/>
        </w:rPr>
        <w:t xml:space="preserve">The platform can be brought to a robust production state with modest time investment, modest technical risk and low monthly operating cost. It is suitable for phased commercialisation, starting with an internal operational tool and expanding into a broader event-management utility.</w:t>
      </w:r>
    </w:p>
    <w:p>
      <w:pPr>
        <w:pStyle w:val="Heading2"/>
      </w:pPr>
      <w:r>
        <w:rPr>
          <w:rFonts w:ascii="Arial" w:cs="Arial" w:eastAsia="Arial" w:hAnsi="Arial"/>
        </w:rPr>
        <w:t xml:space="preserve">Principal Value Drivers</w:t>
      </w:r>
    </w:p>
    <w:p>
      <w:pPr>
        <w:pStyle w:val="ListParagraph"/>
        <w:numPr>
          <w:ilvl w:val="0"/>
          <w:numId w:val="3"/>
        </w:numPr>
        <w:spacing w:after="60"/>
      </w:pPr>
      <w:r>
        <w:rPr>
          <w:rFonts w:ascii="Arial" w:cs="Arial" w:eastAsia="Arial" w:hAnsi="Arial"/>
          <w:color w:val="000000"/>
          <w:sz w:val="22"/>
          <w:szCs w:val="22"/>
        </w:rPr>
        <w:t xml:space="preserve">Operational efficiency for event organisers.</w:t>
      </w:r>
    </w:p>
    <w:p>
      <w:pPr>
        <w:pStyle w:val="ListParagraph"/>
        <w:numPr>
          <w:ilvl w:val="0"/>
          <w:numId w:val="3"/>
        </w:numPr>
        <w:spacing w:after="60"/>
      </w:pPr>
      <w:r>
        <w:rPr>
          <w:rFonts w:ascii="Arial" w:cs="Arial" w:eastAsia="Arial" w:hAnsi="Arial"/>
          <w:color w:val="000000"/>
          <w:sz w:val="22"/>
          <w:szCs w:val="22"/>
        </w:rPr>
        <w:t xml:space="preserve">Improved public timetable clarity and event professionalism.</w:t>
      </w:r>
    </w:p>
    <w:p>
      <w:pPr>
        <w:pStyle w:val="ListParagraph"/>
        <w:numPr>
          <w:ilvl w:val="0"/>
          <w:numId w:val="3"/>
        </w:numPr>
        <w:spacing w:after="60"/>
      </w:pPr>
      <w:r>
        <w:rPr>
          <w:rFonts w:ascii="Arial" w:cs="Arial" w:eastAsia="Arial" w:hAnsi="Arial"/>
          <w:color w:val="000000"/>
          <w:sz w:val="22"/>
          <w:szCs w:val="22"/>
        </w:rPr>
        <w:t xml:space="preserve">Centralised schedule management with fewer manual errors.</w:t>
      </w:r>
    </w:p>
    <w:p>
      <w:pPr>
        <w:pStyle w:val="ListParagraph"/>
        <w:numPr>
          <w:ilvl w:val="0"/>
          <w:numId w:val="3"/>
        </w:numPr>
        <w:spacing w:after="60"/>
      </w:pPr>
      <w:r>
        <w:rPr>
          <w:rFonts w:ascii="Arial" w:cs="Arial" w:eastAsia="Arial" w:hAnsi="Arial"/>
          <w:color w:val="000000"/>
          <w:sz w:val="22"/>
          <w:szCs w:val="22"/>
        </w:rPr>
        <w:t xml:space="preserve">Expansion potential into results, announcements, live updates, notifications and multi-event portfolio management.</w:t>
      </w:r>
    </w:p>
    <w:p>
      <w:r>
        <w:br w:type="page"/>
      </w:r>
    </w:p>
    <w:p>
      <w:pPr>
        <w:pStyle w:val="Heading1"/>
      </w:pPr>
      <w:r>
        <w:rPr>
          <w:rFonts w:ascii="Arial" w:cs="Arial" w:eastAsia="Arial" w:hAnsi="Arial"/>
        </w:rPr>
        <w:t xml:space="preserve">Product Scope</w:t>
      </w:r>
    </w:p>
    <w:p>
      <w:pPr>
        <w:pStyle w:val="Heading2"/>
      </w:pPr>
      <w:r>
        <w:rPr>
          <w:rFonts w:ascii="Arial" w:cs="Arial" w:eastAsia="Arial" w:hAnsi="Arial"/>
        </w:rPr>
        <w:t xml:space="preserve">Phase 1: Core Product</w:t>
      </w:r>
    </w:p>
    <w:p>
      <w:pPr>
        <w:spacing w:after="120"/>
      </w:pPr>
      <w:r>
        <w:rPr>
          <w:rFonts w:ascii="Arial" w:cs="Arial" w:eastAsia="Arial" w:hAnsi="Arial"/>
          <w:b/>
          <w:bCs/>
          <w:color w:val="000000"/>
          <w:sz w:val="22"/>
          <w:szCs w:val="22"/>
        </w:rPr>
        <w:t xml:space="preserve">Admin Interface</w:t>
      </w:r>
    </w:p>
    <w:p>
      <w:pPr>
        <w:pStyle w:val="ListParagraph"/>
        <w:numPr>
          <w:ilvl w:val="0"/>
          <w:numId w:val="4"/>
        </w:numPr>
        <w:spacing w:after="60"/>
      </w:pPr>
      <w:r>
        <w:rPr>
          <w:rFonts w:ascii="Arial" w:cs="Arial" w:eastAsia="Arial" w:hAnsi="Arial"/>
          <w:color w:val="000000"/>
          <w:sz w:val="22"/>
          <w:szCs w:val="22"/>
        </w:rPr>
        <w:t xml:space="preserve">Create events with metadata, multi-day timetable structure and sections.</w:t>
      </w:r>
    </w:p>
    <w:p>
      <w:pPr>
        <w:pStyle w:val="ListParagraph"/>
        <w:numPr>
          <w:ilvl w:val="0"/>
          <w:numId w:val="4"/>
        </w:numPr>
        <w:spacing w:after="60"/>
      </w:pPr>
      <w:r>
        <w:rPr>
          <w:rFonts w:ascii="Arial" w:cs="Arial" w:eastAsia="Arial" w:hAnsi="Arial"/>
          <w:color w:val="000000"/>
          <w:sz w:val="22"/>
          <w:szCs w:val="22"/>
        </w:rPr>
        <w:t xml:space="preserve">Add, edit, delete and reorder sessions with names, timings and notes.</w:t>
      </w:r>
    </w:p>
    <w:p>
      <w:pPr>
        <w:pStyle w:val="ListParagraph"/>
        <w:numPr>
          <w:ilvl w:val="0"/>
          <w:numId w:val="4"/>
        </w:numPr>
        <w:spacing w:after="60"/>
      </w:pPr>
      <w:r>
        <w:rPr>
          <w:rFonts w:ascii="Arial" w:cs="Arial" w:eastAsia="Arial" w:hAnsi="Arial"/>
          <w:color w:val="000000"/>
          <w:sz w:val="22"/>
          <w:szCs w:val="22"/>
        </w:rPr>
        <w:t xml:space="preserve">Preview timetable before publication.</w:t>
      </w:r>
    </w:p>
    <w:p>
      <w:pPr>
        <w:pStyle w:val="ListParagraph"/>
        <w:numPr>
          <w:ilvl w:val="0"/>
          <w:numId w:val="4"/>
        </w:numPr>
        <w:spacing w:after="60"/>
      </w:pPr>
      <w:r>
        <w:rPr>
          <w:rFonts w:ascii="Arial" w:cs="Arial" w:eastAsia="Arial" w:hAnsi="Arial"/>
          <w:color w:val="000000"/>
          <w:sz w:val="22"/>
          <w:szCs w:val="22"/>
        </w:rPr>
        <w:t xml:space="preserve">Publish or unpublish events.</w:t>
      </w:r>
    </w:p>
    <w:p>
      <w:pPr>
        <w:spacing w:after="120"/>
      </w:pPr>
      <w:r>
        <w:rPr>
          <w:rFonts w:ascii="Arial" w:cs="Arial" w:eastAsia="Arial" w:hAnsi="Arial"/>
          <w:b/>
          <w:bCs/>
          <w:color w:val="000000"/>
          <w:sz w:val="22"/>
          <w:szCs w:val="22"/>
        </w:rPr>
        <w:t xml:space="preserve">Public Interface</w:t>
      </w:r>
    </w:p>
    <w:p>
      <w:pPr>
        <w:pStyle w:val="ListParagraph"/>
        <w:numPr>
          <w:ilvl w:val="0"/>
          <w:numId w:val="5"/>
        </w:numPr>
        <w:spacing w:after="60"/>
      </w:pPr>
      <w:r>
        <w:rPr>
          <w:rFonts w:ascii="Arial" w:cs="Arial" w:eastAsia="Arial" w:hAnsi="Arial"/>
          <w:color w:val="000000"/>
          <w:sz w:val="22"/>
          <w:szCs w:val="22"/>
        </w:rPr>
        <w:t xml:space="preserve">Responsive public timetable page with day-by-day navigation.</w:t>
      </w:r>
    </w:p>
    <w:p>
      <w:pPr>
        <w:pStyle w:val="ListParagraph"/>
        <w:numPr>
          <w:ilvl w:val="0"/>
          <w:numId w:val="5"/>
        </w:numPr>
        <w:spacing w:after="60"/>
      </w:pPr>
      <w:r>
        <w:rPr>
          <w:rFonts w:ascii="Arial" w:cs="Arial" w:eastAsia="Arial" w:hAnsi="Arial"/>
          <w:color w:val="000000"/>
          <w:sz w:val="22"/>
          <w:szCs w:val="22"/>
        </w:rPr>
        <w:t xml:space="preserve">Clear session layout, printable timetable view.</w:t>
      </w:r>
    </w:p>
    <w:p>
      <w:pPr>
        <w:pStyle w:val="ListParagraph"/>
        <w:numPr>
          <w:ilvl w:val="0"/>
          <w:numId w:val="5"/>
        </w:numPr>
        <w:spacing w:after="60"/>
      </w:pPr>
      <w:r>
        <w:rPr>
          <w:rFonts w:ascii="Arial" w:cs="Arial" w:eastAsia="Arial" w:hAnsi="Arial"/>
          <w:color w:val="000000"/>
          <w:sz w:val="22"/>
          <w:szCs w:val="22"/>
        </w:rPr>
        <w:t xml:space="preserve">Reliable mobile experience for trackside use.</w:t>
      </w:r>
    </w:p>
    <w:p>
      <w:pPr>
        <w:spacing w:after="120"/>
      </w:pPr>
      <w:r>
        <w:rPr>
          <w:rFonts w:ascii="Arial" w:cs="Arial" w:eastAsia="Arial" w:hAnsi="Arial"/>
          <w:b/>
          <w:bCs/>
          <w:color w:val="000000"/>
          <w:sz w:val="22"/>
          <w:szCs w:val="22"/>
        </w:rPr>
        <w:t xml:space="preserve">Data Layer</w:t>
      </w:r>
    </w:p>
    <w:p>
      <w:pPr>
        <w:pStyle w:val="ListParagraph"/>
        <w:numPr>
          <w:ilvl w:val="0"/>
          <w:numId w:val="6"/>
        </w:numPr>
        <w:spacing w:after="60"/>
      </w:pPr>
      <w:r>
        <w:rPr>
          <w:rFonts w:ascii="Arial" w:cs="Arial" w:eastAsia="Arial" w:hAnsi="Arial"/>
          <w:color w:val="000000"/>
          <w:sz w:val="22"/>
          <w:szCs w:val="22"/>
        </w:rPr>
        <w:t xml:space="preserve">Structured timetable entities, event metadata, session rows, optional notes and display labels.</w:t>
      </w:r>
    </w:p>
    <w:p>
      <w:pPr>
        <w:pStyle w:val="ListParagraph"/>
        <w:numPr>
          <w:ilvl w:val="0"/>
          <w:numId w:val="6"/>
        </w:numPr>
        <w:spacing w:after="60"/>
      </w:pPr>
      <w:r>
        <w:rPr>
          <w:rFonts w:ascii="Arial" w:cs="Arial" w:eastAsia="Arial" w:hAnsi="Arial"/>
          <w:color w:val="000000"/>
          <w:sz w:val="22"/>
          <w:szCs w:val="22"/>
        </w:rPr>
        <w:t xml:space="preserve">Internal JSON representation, later replaced by relational persistence.</w:t>
      </w:r>
    </w:p>
    <w:p>
      <w:pPr>
        <w:pStyle w:val="Heading2"/>
      </w:pPr>
      <w:r>
        <w:rPr>
          <w:rFonts w:ascii="Arial" w:cs="Arial" w:eastAsia="Arial" w:hAnsi="Arial"/>
        </w:rPr>
        <w:t xml:space="preserve">Phase 2: Platform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Multi-User</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Admin login, role-based access, team/organisation ownership, audit-friendly edit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&amp; Persistence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Permanent event storage, versioning, draft vs published states, recovery and rollback.</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Communications</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Email login or magic links, publication notifications, change alerts, optional push notifications.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Operations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 duplication, template creation, bulk edits, archive and restore.</w:t>
            </w:r>
          </w:p>
        </w:tc>
      </w:tr>
    </w:tbl>
    <w:p>
      <w:pPr>
        <w:pStyle w:val="Heading2"/>
      </w:pPr>
      <w:r>
        <w:rPr>
          <w:rFonts w:ascii="Arial" w:cs="Arial" w:eastAsia="Arial" w:hAnsi="Arial"/>
        </w:rPr>
        <w:t xml:space="preserve">Phase 3: Expansion Potential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Commercial</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Sponsor placements, premium public views, white-labelling for venues or championships, API access for partner systems.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Operational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Live updates, race control notices, results publishing, driver briefing updates, incident or delay notices.</w:t>
            </w:r>
          </w:p>
        </w:tc>
      </w:tr>
    </w:tbl>
    <w:p>
      <w:r>
        <w:br w:type="page"/>
      </w:r>
    </w:p>
    <w:p>
      <w:pPr>
        <w:pStyle w:val="Heading1"/>
      </w:pPr>
      <w:r>
        <w:rPr>
          <w:rFonts w:ascii="Arial" w:cs="Arial" w:eastAsia="Arial" w:hAnsi="Arial"/>
        </w:rPr>
        <w:t xml:space="preserve">Technical Architecture</w:t>
      </w:r>
    </w:p>
    <w:p>
      <w:pPr>
        <w:pStyle w:val="Heading2"/>
      </w:pPr>
      <w:r>
        <w:rPr>
          <w:rFonts w:ascii="Arial" w:cs="Arial" w:eastAsia="Arial" w:hAnsi="Arial"/>
        </w:rPr>
        <w:t xml:space="preserve">Recommended Target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Front End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Static-first web app (modern JS framework)</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Low hosting cost, high performance. Existing prototype reduces rework.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Back 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Serverless API routes / edge functions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Intermittent workload, small data volume, event-driven traffic peaks.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Hosted PostgreSQL via Supabase</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Auth, Postgres, row-level security, storage and serverless tooling in one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Email magic link / passwordless via Supabase Auth</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Reduces support overhead for low-volume admin users.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Resend (transactional email)</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Simple integration for login emails, publication notices and system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Netlify (static hosting + deploy previews)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Fast deployment, simple CI/CD from GitHub, low early-stage cost.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Source Control</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GitHub</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Version control, branch strategy, pull requests and deployment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Dev Tooling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Pro / Claude Code (development only)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not required in production. Used for development support only.</w:t>
            </w:r>
          </w:p>
        </w:tc>
      </w:tr>
    </w:tbl>
    <w:p>
      <w:pPr>
        <w:pStyle w:val="Heading2"/>
      </w:pPr>
      <w:r>
        <w:rPr>
          <w:rFonts w:ascii="Arial" w:cs="Arial" w:eastAsia="Arial" w:hAnsi="Arial"/>
        </w:rPr>
        <w:t xml:space="preserve">Logical System Components</w:t>
      </w:r>
    </w:p>
    <w:p>
      <w:pPr>
        <w:pStyle w:val="ListParagraph"/>
        <w:numPr>
          <w:ilvl w:val="0"/>
          <w:numId w:val="7"/>
        </w:numPr>
        <w:spacing w:after="60"/>
      </w:pPr>
      <w:r>
        <w:rPr>
          <w:rFonts w:ascii="Arial" w:cs="Arial" w:eastAsia="Arial" w:hAnsi="Arial"/>
          <w:color w:val="000000"/>
          <w:sz w:val="22"/>
          <w:szCs w:val="22"/>
        </w:rPr>
        <w:t xml:space="preserve">Admin web app</w:t>
      </w:r>
    </w:p>
    <w:p>
      <w:pPr>
        <w:pStyle w:val="ListParagraph"/>
        <w:numPr>
          <w:ilvl w:val="0"/>
          <w:numId w:val="7"/>
        </w:numPr>
        <w:spacing w:after="60"/>
      </w:pPr>
      <w:r>
        <w:rPr>
          <w:rFonts w:ascii="Arial" w:cs="Arial" w:eastAsia="Arial" w:hAnsi="Arial"/>
          <w:color w:val="000000"/>
          <w:sz w:val="22"/>
          <w:szCs w:val="22"/>
        </w:rPr>
        <w:t xml:space="preserve">Public timetable web app</w:t>
      </w:r>
    </w:p>
    <w:p>
      <w:pPr>
        <w:pStyle w:val="ListParagraph"/>
        <w:numPr>
          <w:ilvl w:val="0"/>
          <w:numId w:val="7"/>
        </w:numPr>
        <w:spacing w:after="60"/>
      </w:pPr>
      <w:r>
        <w:rPr>
          <w:rFonts w:ascii="Arial" w:cs="Arial" w:eastAsia="Arial" w:hAnsi="Arial"/>
          <w:color w:val="000000"/>
          <w:sz w:val="22"/>
          <w:szCs w:val="22"/>
        </w:rPr>
        <w:t xml:space="preserve">Authentication layer</w:t>
      </w:r>
    </w:p>
    <w:p>
      <w:pPr>
        <w:pStyle w:val="ListParagraph"/>
        <w:numPr>
          <w:ilvl w:val="0"/>
          <w:numId w:val="7"/>
        </w:numPr>
        <w:spacing w:after="60"/>
      </w:pPr>
      <w:r>
        <w:rPr>
          <w:rFonts w:ascii="Arial" w:cs="Arial" w:eastAsia="Arial" w:hAnsi="Arial"/>
          <w:color w:val="000000"/>
          <w:sz w:val="22"/>
          <w:szCs w:val="22"/>
        </w:rPr>
        <w:t xml:space="preserve">Database</w:t>
      </w:r>
    </w:p>
    <w:p>
      <w:pPr>
        <w:pStyle w:val="ListParagraph"/>
        <w:numPr>
          <w:ilvl w:val="0"/>
          <w:numId w:val="7"/>
        </w:numPr>
        <w:spacing w:after="60"/>
      </w:pPr>
      <w:r>
        <w:rPr>
          <w:rFonts w:ascii="Arial" w:cs="Arial" w:eastAsia="Arial" w:hAnsi="Arial"/>
          <w:color w:val="000000"/>
          <w:sz w:val="22"/>
          <w:szCs w:val="22"/>
        </w:rPr>
        <w:t xml:space="preserve">Email service</w:t>
      </w:r>
    </w:p>
    <w:p>
      <w:pPr>
        <w:pStyle w:val="ListParagraph"/>
        <w:numPr>
          <w:ilvl w:val="0"/>
          <w:numId w:val="7"/>
        </w:numPr>
        <w:spacing w:after="60"/>
      </w:pPr>
      <w:r>
        <w:rPr>
          <w:rFonts w:ascii="Arial" w:cs="Arial" w:eastAsia="Arial" w:hAnsi="Arial"/>
          <w:color w:val="000000"/>
          <w:sz w:val="22"/>
          <w:szCs w:val="22"/>
        </w:rPr>
        <w:t xml:space="preserve">Deployment pipeline</w:t>
      </w:r>
    </w:p>
    <w:p>
      <w:pPr>
        <w:pStyle w:val="ListParagraph"/>
        <w:numPr>
          <w:ilvl w:val="0"/>
          <w:numId w:val="7"/>
        </w:numPr>
        <w:spacing w:after="60"/>
      </w:pPr>
      <w:r>
        <w:rPr>
          <w:rFonts w:ascii="Arial" w:cs="Arial" w:eastAsia="Arial" w:hAnsi="Arial"/>
          <w:color w:val="000000"/>
          <w:sz w:val="22"/>
          <w:szCs w:val="22"/>
        </w:rPr>
        <w:t xml:space="preserve">Monitoring and logging</w:t>
      </w:r>
    </w:p>
    <w:p>
      <w:pPr>
        <w:pStyle w:val="ListParagraph"/>
        <w:numPr>
          <w:ilvl w:val="0"/>
          <w:numId w:val="7"/>
        </w:numPr>
        <w:spacing w:after="60"/>
      </w:pPr>
      <w:r>
        <w:rPr>
          <w:rFonts w:ascii="Arial" w:cs="Arial" w:eastAsia="Arial" w:hAnsi="Arial"/>
          <w:color w:val="000000"/>
          <w:sz w:val="22"/>
          <w:szCs w:val="22"/>
        </w:rPr>
        <w:t xml:space="preserve">File or asset storage (if branding and attachments are later introduced)</w:t>
      </w:r>
    </w:p>
    <w:p>
      <w:pPr>
        <w:pStyle w:val="Heading2"/>
      </w:pPr>
      <w:r>
        <w:rPr>
          <w:rFonts w:ascii="Arial" w:cs="Arial" w:eastAsia="Arial" w:hAnsi="Arial"/>
        </w:rPr>
        <w:t xml:space="preserve">Data Model (High-Level)</w:t>
      </w:r>
    </w:p>
    <w:p>
      <w:pPr>
        <w:spacing w:after="120"/>
      </w:pPr>
      <w:r>
        <w:rPr>
          <w:rFonts w:ascii="Arial" w:cs="Arial" w:eastAsia="Arial" w:hAnsi="Arial"/>
          <w:b/>
          <w:bCs/>
          <w:color w:val="000000"/>
          <w:sz w:val="22"/>
          <w:szCs w:val="22"/>
        </w:rPr>
        <w:t xml:space="preserve">Core Entities</w:t>
      </w:r>
    </w:p>
    <w:p>
      <w:pPr>
        <w:spacing w:after="120"/>
      </w:pPr>
      <w:r>
        <w:rPr>
          <w:rFonts w:ascii="Arial" w:cs="Arial" w:eastAsia="Arial" w:hAnsi="Arial"/>
          <w:color w:val="000000"/>
          <w:sz w:val="22"/>
          <w:szCs w:val="22"/>
        </w:rPr>
        <w:t xml:space="preserve">Organisation, User, Role, Event, EventDay, TimetableEntry, PublicationState, NotificationLog, AuditLog.</w:t>
      </w:r>
    </w:p>
    <w:p>
      <w:pPr>
        <w:spacing w:after="120"/>
      </w:pPr>
      <w:r>
        <w:rPr>
          <w:rFonts w:ascii="Arial" w:cs="Arial" w:eastAsia="Arial" w:hAnsi="Arial"/>
          <w:b/>
          <w:bCs/>
          <w:color w:val="000000"/>
          <w:sz w:val="22"/>
          <w:szCs w:val="22"/>
        </w:rPr>
        <w:t xml:space="preserve">Future Entities</w:t>
      </w:r>
    </w:p>
    <w:p>
      <w:pPr>
        <w:spacing w:after="120"/>
      </w:pPr>
      <w:r>
        <w:rPr>
          <w:rFonts w:ascii="Arial" w:cs="Arial" w:eastAsia="Arial" w:hAnsi="Arial"/>
          <w:color w:val="000000"/>
          <w:sz w:val="22"/>
          <w:szCs w:val="22"/>
        </w:rPr>
        <w:t xml:space="preserve">Venue, Template, SponsorAsset, PublicAnnouncement, ChangeHistorySnapshot.</w:t>
      </w:r>
    </w:p>
    <w:p>
      <w:r>
        <w:br w:type="page"/>
      </w:r>
    </w:p>
    <w:p>
      <w:pPr>
        <w:pStyle w:val="Heading1"/>
      </w:pPr>
      <w:r>
        <w:rPr>
          <w:rFonts w:ascii="Arial" w:cs="Arial" w:eastAsia="Arial" w:hAnsi="Arial"/>
        </w:rPr>
        <w:t xml:space="preserve">Environment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Feature development, experimentation and rapid iteration.</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Local codebase, GitHub dev branch, local env vars, local mock or dev database.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Pre-production testing and stakeholder review.</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Preview deployment, staging database, controlled test email config, representative event data.</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Production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Public live environment for events and real administrators.</w:t>
            </w:r>
          </w:p>
        </w:tc>
        <w:tc>
          <w:tcPr>
            <w:tcW w:type="dxa" w:w="4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Production deployment, production database, production email, secret management, monitoring, backups.</w:t>
            </w:r>
          </w:p>
        </w:tc>
      </w:tr>
    </w:tbl>
    <w:p>
      <w:pPr>
        <w:spacing w:after="60"/>
      </w:pPr>
    </w:p>
    <w:p>
      <w:pPr>
        <w:spacing w:after="120"/>
      </w:pPr>
      <w:r>
        <w:rPr>
          <w:rFonts w:ascii="Arial" w:cs="Arial" w:eastAsia="Arial" w:hAnsi="Arial"/>
          <w:b/>
          <w:bCs/>
          <w:color w:val="000000"/>
          <w:sz w:val="22"/>
          <w:szCs w:val="22"/>
        </w:rPr>
        <w:t xml:space="preserve">Environment Principles</w:t>
      </w:r>
    </w:p>
    <w:p>
      <w:pPr>
        <w:pStyle w:val="ListParagraph"/>
        <w:numPr>
          <w:ilvl w:val="0"/>
          <w:numId w:val="8"/>
        </w:numPr>
        <w:spacing w:after="60"/>
      </w:pPr>
      <w:r>
        <w:rPr>
          <w:rFonts w:ascii="Arial" w:cs="Arial" w:eastAsia="Arial" w:hAnsi="Arial"/>
          <w:color w:val="000000"/>
          <w:sz w:val="22"/>
          <w:szCs w:val="22"/>
        </w:rPr>
        <w:t xml:space="preserve">Strict separation of production and non-production data.</w:t>
      </w:r>
    </w:p>
    <w:p>
      <w:pPr>
        <w:pStyle w:val="ListParagraph"/>
        <w:numPr>
          <w:ilvl w:val="0"/>
          <w:numId w:val="8"/>
        </w:numPr>
        <w:spacing w:after="60"/>
      </w:pPr>
      <w:r>
        <w:rPr>
          <w:rFonts w:ascii="Arial" w:cs="Arial" w:eastAsia="Arial" w:hAnsi="Arial"/>
          <w:color w:val="000000"/>
          <w:sz w:val="22"/>
          <w:szCs w:val="22"/>
        </w:rPr>
        <w:t xml:space="preserve">Secrets never hard-coded.</w:t>
      </w:r>
    </w:p>
    <w:p>
      <w:pPr>
        <w:pStyle w:val="ListParagraph"/>
        <w:numPr>
          <w:ilvl w:val="0"/>
          <w:numId w:val="8"/>
        </w:numPr>
        <w:spacing w:after="60"/>
      </w:pPr>
      <w:r>
        <w:rPr>
          <w:rFonts w:ascii="Arial" w:cs="Arial" w:eastAsia="Arial" w:hAnsi="Arial"/>
          <w:color w:val="000000"/>
          <w:sz w:val="22"/>
          <w:szCs w:val="22"/>
        </w:rPr>
        <w:t xml:space="preserve">Role-based access to production.</w:t>
      </w:r>
    </w:p>
    <w:p>
      <w:pPr>
        <w:pStyle w:val="ListParagraph"/>
        <w:numPr>
          <w:ilvl w:val="0"/>
          <w:numId w:val="8"/>
        </w:numPr>
        <w:spacing w:after="60"/>
      </w:pPr>
      <w:r>
        <w:rPr>
          <w:rFonts w:ascii="Arial" w:cs="Arial" w:eastAsia="Arial" w:hAnsi="Arial"/>
          <w:color w:val="000000"/>
          <w:sz w:val="22"/>
          <w:szCs w:val="22"/>
        </w:rPr>
        <w:t xml:space="preserve">Controlled release process with rollback path for every deployment.</w:t>
      </w:r>
    </w:p>
    <w:p>
      <w:r>
        <w:br w:type="page"/>
      </w:r>
    </w:p>
    <w:p>
      <w:pPr>
        <w:pStyle w:val="Heading1"/>
      </w:pPr>
      <w:r>
        <w:rPr>
          <w:rFonts w:ascii="Arial" w:cs="Arial" w:eastAsia="Arial" w:hAnsi="Arial"/>
        </w:rPr>
        <w:t xml:space="preserve">Deployment and Release Model</w:t>
      </w:r>
    </w:p>
    <w:p>
      <w:pPr>
        <w:spacing w:after="120"/>
      </w:pPr>
      <w:r>
        <w:rPr>
          <w:rFonts w:ascii="Arial" w:cs="Arial" w:eastAsia="Arial" w:hAnsi="Arial"/>
          <w:b/>
          <w:bCs/>
          <w:color w:val="000000"/>
          <w:sz w:val="22"/>
          <w:szCs w:val="22"/>
        </w:rPr>
        <w:t xml:space="preserve">Release Workflow</w:t>
      </w:r>
    </w:p>
    <w:p>
      <w:pPr>
        <w:pStyle w:val="ListParagraph"/>
        <w:numPr>
          <w:ilvl w:val="0"/>
          <w:numId w:val="9"/>
        </w:numPr>
        <w:spacing w:after="60"/>
      </w:pPr>
      <w:r>
        <w:rPr>
          <w:rFonts w:ascii="Arial" w:cs="Arial" w:eastAsia="Arial" w:hAnsi="Arial"/>
          <w:color w:val="000000"/>
          <w:sz w:val="22"/>
          <w:szCs w:val="22"/>
        </w:rPr>
        <w:t xml:space="preserve">Feature branch created.</w:t>
      </w:r>
    </w:p>
    <w:p>
      <w:pPr>
        <w:pStyle w:val="ListParagraph"/>
        <w:numPr>
          <w:ilvl w:val="0"/>
          <w:numId w:val="9"/>
        </w:numPr>
        <w:spacing w:after="60"/>
      </w:pPr>
      <w:r>
        <w:rPr>
          <w:rFonts w:ascii="Arial" w:cs="Arial" w:eastAsia="Arial" w:hAnsi="Arial"/>
          <w:color w:val="000000"/>
          <w:sz w:val="22"/>
          <w:szCs w:val="22"/>
        </w:rPr>
        <w:t xml:space="preserve">Code reviewed.</w:t>
      </w:r>
    </w:p>
    <w:p>
      <w:pPr>
        <w:pStyle w:val="ListParagraph"/>
        <w:numPr>
          <w:ilvl w:val="0"/>
          <w:numId w:val="9"/>
        </w:numPr>
        <w:spacing w:after="60"/>
      </w:pPr>
      <w:r>
        <w:rPr>
          <w:rFonts w:ascii="Arial" w:cs="Arial" w:eastAsia="Arial" w:hAnsi="Arial"/>
          <w:color w:val="000000"/>
          <w:sz w:val="22"/>
          <w:szCs w:val="22"/>
        </w:rPr>
        <w:t xml:space="preserve">Preview deployment generated.</w:t>
      </w:r>
    </w:p>
    <w:p>
      <w:pPr>
        <w:pStyle w:val="ListParagraph"/>
        <w:numPr>
          <w:ilvl w:val="0"/>
          <w:numId w:val="9"/>
        </w:numPr>
        <w:spacing w:after="60"/>
      </w:pPr>
      <w:r>
        <w:rPr>
          <w:rFonts w:ascii="Arial" w:cs="Arial" w:eastAsia="Arial" w:hAnsi="Arial"/>
          <w:color w:val="000000"/>
          <w:sz w:val="22"/>
          <w:szCs w:val="22"/>
        </w:rPr>
        <w:t xml:space="preserve">Functional testing completed.</w:t>
      </w:r>
    </w:p>
    <w:p>
      <w:pPr>
        <w:pStyle w:val="ListParagraph"/>
        <w:numPr>
          <w:ilvl w:val="0"/>
          <w:numId w:val="9"/>
        </w:numPr>
        <w:spacing w:after="60"/>
      </w:pPr>
      <w:r>
        <w:rPr>
          <w:rFonts w:ascii="Arial" w:cs="Arial" w:eastAsia="Arial" w:hAnsi="Arial"/>
          <w:color w:val="000000"/>
          <w:sz w:val="22"/>
          <w:szCs w:val="22"/>
        </w:rPr>
        <w:t xml:space="preserve">Approval recorded.</w:t>
      </w:r>
    </w:p>
    <w:p>
      <w:pPr>
        <w:pStyle w:val="ListParagraph"/>
        <w:numPr>
          <w:ilvl w:val="0"/>
          <w:numId w:val="9"/>
        </w:numPr>
        <w:spacing w:after="60"/>
      </w:pPr>
      <w:r>
        <w:rPr>
          <w:rFonts w:ascii="Arial" w:cs="Arial" w:eastAsia="Arial" w:hAnsi="Arial"/>
          <w:color w:val="000000"/>
          <w:sz w:val="22"/>
          <w:szCs w:val="22"/>
        </w:rPr>
        <w:t xml:space="preserve">Merge to main.</w:t>
      </w:r>
    </w:p>
    <w:p>
      <w:pPr>
        <w:pStyle w:val="ListParagraph"/>
        <w:numPr>
          <w:ilvl w:val="0"/>
          <w:numId w:val="9"/>
        </w:numPr>
        <w:spacing w:after="60"/>
      </w:pPr>
      <w:r>
        <w:rPr>
          <w:rFonts w:ascii="Arial" w:cs="Arial" w:eastAsia="Arial" w:hAnsi="Arial"/>
          <w:color w:val="000000"/>
          <w:sz w:val="22"/>
          <w:szCs w:val="22"/>
        </w:rPr>
        <w:t xml:space="preserve">Production deployment executed.</w:t>
      </w:r>
    </w:p>
    <w:p>
      <w:pPr>
        <w:pStyle w:val="ListParagraph"/>
        <w:numPr>
          <w:ilvl w:val="0"/>
          <w:numId w:val="9"/>
        </w:numPr>
        <w:spacing w:after="60"/>
      </w:pPr>
      <w:r>
        <w:rPr>
          <w:rFonts w:ascii="Arial" w:cs="Arial" w:eastAsia="Arial" w:hAnsi="Arial"/>
          <w:color w:val="000000"/>
          <w:sz w:val="22"/>
          <w:szCs w:val="22"/>
        </w:rPr>
        <w:t xml:space="preserve">Smoke tests completed.</w:t>
      </w:r>
    </w:p>
    <w:p>
      <w:pPr>
        <w:pStyle w:val="ListParagraph"/>
        <w:numPr>
          <w:ilvl w:val="0"/>
          <w:numId w:val="9"/>
        </w:numPr>
        <w:spacing w:after="60"/>
      </w:pPr>
      <w:r>
        <w:rPr>
          <w:rFonts w:ascii="Arial" w:cs="Arial" w:eastAsia="Arial" w:hAnsi="Arial"/>
          <w:color w:val="000000"/>
          <w:sz w:val="22"/>
          <w:szCs w:val="22"/>
        </w:rPr>
        <w:t xml:space="preserve">Rollback if required.</w:t>
      </w:r>
    </w:p>
    <w:p>
      <w:pPr>
        <w:spacing w:after="60"/>
      </w:pPr>
    </w:p>
    <w:p>
      <w:pPr>
        <w:spacing w:after="120"/>
      </w:pPr>
      <w:r>
        <w:rPr>
          <w:rFonts w:ascii="Arial" w:cs="Arial" w:eastAsia="Arial" w:hAnsi="Arial"/>
          <w:color w:val="000000"/>
          <w:sz w:val="22"/>
          <w:szCs w:val="22"/>
        </w:rPr>
        <w:t xml:space="preserve">The deployment model is low-risk, traceable and cost-efficient. It avoids bespoke infrastructure and keeps recovery straightforward. Source control is GitHub as the source of truth, with automatic deploys from main and preview deploys from feature branches. Database migrations are versioned and applied through controlled release steps.</w:t>
      </w:r>
    </w:p>
    <w:p>
      <w:r>
        <w:br w:type="page"/>
      </w:r>
    </w:p>
    <w:p>
      <w:pPr>
        <w:pStyle w:val="Heading1"/>
      </w:pPr>
      <w:r>
        <w:rPr>
          <w:rFonts w:ascii="Arial" w:cs="Arial" w:eastAsia="Arial" w:hAnsi="Arial"/>
        </w:rPr>
        <w:t xml:space="preserve">Hosting and Infrastructure Costs</w:t>
      </w:r>
    </w:p>
    <w:p>
      <w:pPr>
        <w:spacing w:after="120"/>
      </w:pPr>
      <w:r>
        <w:rPr>
          <w:rFonts w:ascii="Arial" w:cs="Arial" w:eastAsia="Arial" w:hAnsi="Arial"/>
          <w:color w:val="000000"/>
          <w:sz w:val="22"/>
          <w:szCs w:val="22"/>
        </w:rPr>
        <w:t xml:space="preserve">Official vendor pricing is predominantly quoted in USD. Sterling equivalents will vary with FX. For indicative conversion only, the live USD/GBP rate on 21 March 2026 was approximately 0.749.</w:t>
      </w:r>
    </w:p>
    <w:p>
      <w:pPr>
        <w:pStyle w:val="Heading2"/>
      </w:pPr>
      <w:r>
        <w:rPr>
          <w:rFonts w:ascii="Arial" w:cs="Arial" w:eastAsia="Arial" w:hAnsi="Arial"/>
        </w:rPr>
        <w:t xml:space="preserve">Baseline Stack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 (USD)</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GitHub</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3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Suitable for early-stage private repository 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Netlify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 → Personal/Pro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$0–$20/seat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Credit-based pricing applies to usage.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Supabase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 → Pro</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$0–$25</w:t>
            </w:r>
          </w:p>
        </w:tc>
        <w:tc>
          <w:tcPr>
            <w:tcW w:type="dxa" w:w="3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 at $25/month per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 → Paid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$0–$20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Pay-as-you-go for transactional email.</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Claude (dev only)</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3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Development support only. Not required in production.</w:t>
            </w:r>
          </w:p>
        </w:tc>
      </w:tr>
    </w:tbl>
    <w:p>
      <w:pPr>
        <w:pStyle w:val="Heading2"/>
      </w:pPr>
      <w:r>
        <w:rPr>
          <w:rFonts w:ascii="Arial" w:cs="Arial" w:eastAsia="Arial" w:hAnsi="Arial"/>
        </w:rPr>
        <w:t xml:space="preserve">Estimated Cost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USD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GBP (approx)</w:t>
            </w:r>
          </w:p>
        </w:tc>
        <w:tc>
          <w:tcPr>
            <w:tcW w:type="dxa" w:w="3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Prototype to Private Beta</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$20–$54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£15–£40</w:t>
            </w:r>
          </w:p>
        </w:tc>
        <w:tc>
          <w:tcPr>
            <w:tcW w:type="dxa" w:w="3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GitHub Free, Netlify Free/Personal, Supabase Free/Pro, Resend Free, Claude 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Launch-Ready (Small 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$54–$90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£40–£67</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Netlify Personal/Pro, Supabase Pro, Resend low usage.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Small Team Operational</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$90–$180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£67–£135</w:t>
            </w:r>
          </w:p>
        </w:tc>
        <w:tc>
          <w:tcPr>
            <w:tcW w:type="dxa" w:w="3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Multiple paid seats, production DB active, email usage increasing.</w:t>
            </w:r>
          </w:p>
        </w:tc>
      </w:tr>
    </w:tbl>
    <w:p>
      <w:pPr>
        <w:pStyle w:val="Heading2"/>
      </w:pPr>
      <w:r>
        <w:rPr>
          <w:rFonts w:ascii="Arial" w:cs="Arial" w:eastAsia="Arial" w:hAnsi="Arial"/>
        </w:rPr>
        <w:t xml:space="preserve">Cost Risk Notes</w:t>
      </w:r>
    </w:p>
    <w:p>
      <w:pPr>
        <w:pStyle w:val="ListParagraph"/>
        <w:numPr>
          <w:ilvl w:val="0"/>
          <w:numId w:val="10"/>
        </w:numPr>
        <w:spacing w:after="60"/>
      </w:pPr>
      <w:r>
        <w:rPr>
          <w:rFonts w:ascii="Arial" w:cs="Arial" w:eastAsia="Arial" w:hAnsi="Arial"/>
          <w:color w:val="000000"/>
          <w:sz w:val="22"/>
          <w:szCs w:val="22"/>
        </w:rPr>
        <w:t xml:space="preserve">Netlify now uses credits as well as plan fees; usage spikes can add cost if not monitored.</w:t>
      </w:r>
    </w:p>
    <w:p>
      <w:pPr>
        <w:pStyle w:val="ListParagraph"/>
        <w:numPr>
          <w:ilvl w:val="0"/>
          <w:numId w:val="10"/>
        </w:numPr>
        <w:spacing w:after="60"/>
      </w:pPr>
      <w:r>
        <w:rPr>
          <w:rFonts w:ascii="Arial" w:cs="Arial" w:eastAsia="Arial" w:hAnsi="Arial"/>
          <w:color w:val="000000"/>
          <w:sz w:val="22"/>
          <w:szCs w:val="22"/>
        </w:rPr>
        <w:t xml:space="preserve">Supabase overages for Edge Functions and storage are usage-based above included quotas.</w:t>
      </w:r>
    </w:p>
    <w:p>
      <w:pPr>
        <w:pStyle w:val="ListParagraph"/>
        <w:numPr>
          <w:ilvl w:val="0"/>
          <w:numId w:val="10"/>
        </w:numPr>
        <w:spacing w:after="60"/>
      </w:pPr>
      <w:r>
        <w:rPr>
          <w:rFonts w:ascii="Arial" w:cs="Arial" w:eastAsia="Arial" w:hAnsi="Arial"/>
          <w:color w:val="000000"/>
          <w:sz w:val="22"/>
          <w:szCs w:val="22"/>
        </w:rPr>
        <w:t xml:space="preserve">GitHub Actions pricing changed in 2026 with a platform charge model for some runner usage scenarios.</w:t>
      </w:r>
    </w:p>
    <w:p>
      <w:r>
        <w:br w:type="page"/>
      </w:r>
    </w:p>
    <w:p>
      <w:pPr>
        <w:pStyle w:val="Heading1"/>
      </w:pPr>
      <w:r>
        <w:rPr>
          <w:rFonts w:ascii="Arial" w:cs="Arial" w:eastAsia="Arial" w:hAnsi="Arial"/>
        </w:rPr>
        <w:t xml:space="preserve">Build Budget Estimate</w:t>
      </w:r>
    </w:p>
    <w:p>
      <w:pPr>
        <w:spacing w:after="120"/>
      </w:pPr>
      <w:r>
        <w:rPr>
          <w:rFonts w:ascii="Arial" w:cs="Arial" w:eastAsia="Arial" w:hAnsi="Arial"/>
          <w:color w:val="000000"/>
          <w:sz w:val="22"/>
          <w:szCs w:val="22"/>
        </w:rPr>
        <w:t xml:space="preserve">This is an estimated delivery budget, not a vendor quote. It assumes a disciplined, single-product build with one lead developer or a small fractional team, and no major scope drift. The primary investment required is time, not capital.</w:t>
      </w:r>
    </w:p>
    <w:p>
      <w:pPr>
        <w:pStyle w:val="Heading2"/>
      </w:pPr>
      <w:r>
        <w:rPr>
          <w:rFonts w:ascii="Arial" w:cs="Arial" w:eastAsia="Arial" w:hAnsi="Arial"/>
        </w:rPr>
        <w:t xml:space="preserve">Delivery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626"/>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(weeks)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Cash Cost (USD)</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Cash Cost (GBP approx)</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Solo Founder + AI</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8–14</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$500–$4,000</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£375–£3,000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Fractional Professional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$10,000–$35,000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£7,500–£26,000</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Small Agency / Contract Team</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10–16</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$35,000–$90,000</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£26,000–£67,000</w:t>
            </w:r>
          </w:p>
        </w:tc>
      </w:tr>
    </w:tbl>
    <w:p>
      <w:pPr>
        <w:pStyle w:val="Heading2"/>
      </w:pPr>
      <w:r>
        <w:rPr>
          <w:rFonts w:ascii="Arial" w:cs="Arial" w:eastAsia="Arial" w:hAnsi="Arial"/>
        </w:rPr>
        <w:t xml:space="preserve">Recommended Budget Position</w:t>
      </w:r>
    </w:p>
    <w:p>
      <w:pPr>
        <w:spacing w:after="120"/>
      </w:pPr>
      <w:r>
        <w:rPr>
          <w:rFonts w:ascii="Arial" w:cs="Arial" w:eastAsia="Arial" w:hAnsi="Arial"/>
          <w:color w:val="000000"/>
          <w:sz w:val="22"/>
          <w:szCs w:val="22"/>
        </w:rPr>
        <w:t xml:space="preserve">An initial budget of $15,000–$30,000 (approximately £11,000–£22,500) is sufficient to take the product from working prototype to a robust production MVP with sound deployment, persistence, authentication, monitoring and launch readiness, without overcapitalising the build.</w:t>
      </w:r>
    </w:p>
    <w:p>
      <w:pPr>
        <w:spacing w:after="120"/>
      </w:pPr>
      <w:r>
        <w:rPr>
          <w:rFonts w:ascii="Arial" w:cs="Arial" w:eastAsia="Arial" w:hAnsi="Arial"/>
          <w:color w:val="000000"/>
          <w:sz w:val="22"/>
          <w:szCs w:val="22"/>
        </w:rPr>
        <w:t xml:space="preserve">The founding team’s primary contribution at this stage is time. The cash budget covers subscriptions, hosting and any targeted external support where needed.</w:t>
      </w:r>
    </w:p>
    <w:p>
      <w:r>
        <w:br w:type="page"/>
      </w:r>
    </w:p>
    <w:p>
      <w:pPr>
        <w:pStyle w:val="Heading1"/>
      </w:pPr>
      <w:r>
        <w:rPr>
          <w:rFonts w:ascii="Arial" w:cs="Arial" w:eastAsia="Arial" w:hAnsi="Arial"/>
        </w:rPr>
        <w:t xml:space="preserve">Delivery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28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Objectives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 Current Position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Complete</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Prototype exists with admin UI, public timetable and JSON data model.</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Working prototype. No production persistence.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Foundation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2–3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GitHub as source of truth, normalised folder structure, deployment pipeline, staging + production environments.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Repository structure, branching strategy, Netlify deployment, environment variables.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 Back End &amp; Persistence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2–4 weeks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Introduce database, design schema, create CRUD APIs, persist draft/published states, basic admin auth.</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Supabase project, schema migrations, auth flow, connected admin save/load.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Production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2–3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Validation and guardrails, improved editing workflow, draft/publish lifecycle, archive and duplicate support.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Production-grade admin experience, reduced operator error.</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4: Public Release Readiness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1–2 weeks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Optimise responsive timetable, improve print layout, performance testing, accessibility, SEO.</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Launch-ready public front end, print-friendly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Notifications &amp; 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Email login and notices, publication alerts, optional push notification groundwork.</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Transactional email integration, notification logs.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6: Post-Launch Expansion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Ongoing</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Template system, multi-org support, version history, white-labelling, live updates.</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Commercial scaling features, partner-ready platform.</w:t>
            </w:r>
          </w:p>
        </w:tc>
      </w:tr>
    </w:tbl>
    <w:p>
      <w:pPr>
        <w:pStyle w:val="Heading2"/>
      </w:pPr>
      <w:r>
        <w:rPr>
          <w:rFonts w:ascii="Arial" w:cs="Arial" w:eastAsia="Arial" w:hAnsi="Arial"/>
        </w:rPr>
        <w:t xml:space="preserve">Timeline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Track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Elapsed Time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Lean MVP</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8–10 weeks</w:t>
            </w:r>
          </w:p>
        </w:tc>
        <w:tc>
          <w:tcPr>
            <w:tcW w:type="dxa" w:w="5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Fastest credible route to a production MVP with persistence, auth and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Robust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10–14 weeks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Includes hardening, documentation and operational readiness.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Expanded Platform</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14–20 weeks</w:t>
            </w:r>
          </w:p>
        </w:tc>
        <w:tc>
          <w:tcPr>
            <w:tcW w:type="dxa" w:w="5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Adds notifications, richer admin, templates and multi-user readiness.</w:t>
            </w:r>
          </w:p>
        </w:tc>
      </w:tr>
    </w:tbl>
    <w:p>
      <w:r>
        <w:br w:type="page"/>
      </w:r>
    </w:p>
    <w:p>
      <w:pPr>
        <w:pStyle w:val="Heading1"/>
      </w:pPr>
      <w:r>
        <w:rPr>
          <w:rFonts w:ascii="Arial" w:cs="Arial" w:eastAsia="Arial" w:hAnsi="Arial"/>
        </w:rPr>
        <w:t xml:space="preserve">Operating Model</w:t>
      </w:r>
    </w:p>
    <w:p>
      <w:pPr>
        <w:pStyle w:val="Heading2"/>
      </w:pPr>
      <w:r>
        <w:rPr>
          <w:rFonts w:ascii="Arial" w:cs="Arial" w:eastAsia="Arial" w:hAnsi="Arial"/>
        </w:rPr>
        <w:t xml:space="preserve">Ongoing Running Tasks</w:t>
      </w:r>
    </w:p>
    <w:p>
      <w:pPr>
        <w:pStyle w:val="ListParagraph"/>
        <w:numPr>
          <w:ilvl w:val="0"/>
          <w:numId w:val="11"/>
        </w:numPr>
        <w:spacing w:after="60"/>
      </w:pPr>
      <w:r>
        <w:rPr>
          <w:rFonts w:ascii="Arial" w:cs="Arial" w:eastAsia="Arial" w:hAnsi="Arial"/>
          <w:color w:val="000000"/>
          <w:sz w:val="22"/>
          <w:szCs w:val="22"/>
        </w:rPr>
        <w:t xml:space="preserve">Deployment monitoring.</w:t>
      </w:r>
    </w:p>
    <w:p>
      <w:pPr>
        <w:pStyle w:val="ListParagraph"/>
        <w:numPr>
          <w:ilvl w:val="0"/>
          <w:numId w:val="11"/>
        </w:numPr>
        <w:spacing w:after="60"/>
      </w:pPr>
      <w:r>
        <w:rPr>
          <w:rFonts w:ascii="Arial" w:cs="Arial" w:eastAsia="Arial" w:hAnsi="Arial"/>
          <w:color w:val="000000"/>
          <w:sz w:val="22"/>
          <w:szCs w:val="22"/>
        </w:rPr>
        <w:t xml:space="preserve">Database health checks.</w:t>
      </w:r>
    </w:p>
    <w:p>
      <w:pPr>
        <w:pStyle w:val="ListParagraph"/>
        <w:numPr>
          <w:ilvl w:val="0"/>
          <w:numId w:val="11"/>
        </w:numPr>
        <w:spacing w:after="60"/>
      </w:pPr>
      <w:r>
        <w:rPr>
          <w:rFonts w:ascii="Arial" w:cs="Arial" w:eastAsia="Arial" w:hAnsi="Arial"/>
          <w:color w:val="000000"/>
          <w:sz w:val="22"/>
          <w:szCs w:val="22"/>
        </w:rPr>
        <w:t xml:space="preserve">Secret and key rotation.</w:t>
      </w:r>
    </w:p>
    <w:p>
      <w:pPr>
        <w:pStyle w:val="ListParagraph"/>
        <w:numPr>
          <w:ilvl w:val="0"/>
          <w:numId w:val="11"/>
        </w:numPr>
        <w:spacing w:after="60"/>
      </w:pPr>
      <w:r>
        <w:rPr>
          <w:rFonts w:ascii="Arial" w:cs="Arial" w:eastAsia="Arial" w:hAnsi="Arial"/>
          <w:color w:val="000000"/>
          <w:sz w:val="22"/>
          <w:szCs w:val="22"/>
        </w:rPr>
        <w:t xml:space="preserve">Release management.</w:t>
      </w:r>
    </w:p>
    <w:p>
      <w:pPr>
        <w:pStyle w:val="ListParagraph"/>
        <w:numPr>
          <w:ilvl w:val="0"/>
          <w:numId w:val="11"/>
        </w:numPr>
        <w:spacing w:after="60"/>
      </w:pPr>
      <w:r>
        <w:rPr>
          <w:rFonts w:ascii="Arial" w:cs="Arial" w:eastAsia="Arial" w:hAnsi="Arial"/>
          <w:color w:val="000000"/>
          <w:sz w:val="22"/>
          <w:szCs w:val="22"/>
        </w:rPr>
        <w:t xml:space="preserve">Bug triage.</w:t>
      </w:r>
    </w:p>
    <w:p>
      <w:pPr>
        <w:pStyle w:val="ListParagraph"/>
        <w:numPr>
          <w:ilvl w:val="0"/>
          <w:numId w:val="11"/>
        </w:numPr>
        <w:spacing w:after="60"/>
      </w:pPr>
      <w:r>
        <w:rPr>
          <w:rFonts w:ascii="Arial" w:cs="Arial" w:eastAsia="Arial" w:hAnsi="Arial"/>
          <w:color w:val="000000"/>
          <w:sz w:val="22"/>
          <w:szCs w:val="22"/>
        </w:rPr>
        <w:t xml:space="preserve">Event support during peak periods.</w:t>
      </w:r>
    </w:p>
    <w:p>
      <w:pPr>
        <w:pStyle w:val="ListParagraph"/>
        <w:numPr>
          <w:ilvl w:val="0"/>
          <w:numId w:val="11"/>
        </w:numPr>
        <w:spacing w:after="60"/>
      </w:pPr>
      <w:r>
        <w:rPr>
          <w:rFonts w:ascii="Arial" w:cs="Arial" w:eastAsia="Arial" w:hAnsi="Arial"/>
          <w:color w:val="000000"/>
          <w:sz w:val="22"/>
          <w:szCs w:val="22"/>
        </w:rPr>
        <w:t xml:space="preserve">Backup checks.</w:t>
      </w:r>
    </w:p>
    <w:p>
      <w:pPr>
        <w:pStyle w:val="ListParagraph"/>
        <w:numPr>
          <w:ilvl w:val="0"/>
          <w:numId w:val="11"/>
        </w:numPr>
        <w:spacing w:after="60"/>
      </w:pPr>
      <w:r>
        <w:rPr>
          <w:rFonts w:ascii="Arial" w:cs="Arial" w:eastAsia="Arial" w:hAnsi="Arial"/>
          <w:color w:val="000000"/>
          <w:sz w:val="22"/>
          <w:szCs w:val="22"/>
        </w:rPr>
        <w:t xml:space="preserve">Vendor billing review.</w:t>
      </w:r>
    </w:p>
    <w:p>
      <w:pPr>
        <w:pStyle w:val="Heading2"/>
      </w:pPr>
      <w:r>
        <w:rPr>
          <w:rFonts w:ascii="Arial" w:cs="Arial" w:eastAsia="Arial" w:hAnsi="Arial"/>
        </w:rPr>
        <w:t xml:space="preserve">Recommended Operational Roles</w:t>
      </w:r>
    </w:p>
    <w:p>
      <w:pPr>
        <w:pStyle w:val="ListParagraph"/>
        <w:numPr>
          <w:ilvl w:val="0"/>
          <w:numId w:val="12"/>
        </w:numPr>
        <w:spacing w:after="60"/>
      </w:pPr>
      <w:r>
        <w:rPr>
          <w:rFonts w:ascii="Arial" w:cs="Arial" w:eastAsia="Arial" w:hAnsi="Arial"/>
          <w:color w:val="000000"/>
          <w:sz w:val="22"/>
          <w:szCs w:val="22"/>
        </w:rPr>
        <w:t xml:space="preserve">Product owner.</w:t>
      </w:r>
    </w:p>
    <w:p>
      <w:pPr>
        <w:pStyle w:val="ListParagraph"/>
        <w:numPr>
          <w:ilvl w:val="0"/>
          <w:numId w:val="12"/>
        </w:numPr>
        <w:spacing w:after="60"/>
      </w:pPr>
      <w:r>
        <w:rPr>
          <w:rFonts w:ascii="Arial" w:cs="Arial" w:eastAsia="Arial" w:hAnsi="Arial"/>
          <w:color w:val="000000"/>
          <w:sz w:val="22"/>
          <w:szCs w:val="22"/>
        </w:rPr>
        <w:t xml:space="preserve">Technical maintainer or fractional developer.</w:t>
      </w:r>
    </w:p>
    <w:p>
      <w:pPr>
        <w:pStyle w:val="ListParagraph"/>
        <w:numPr>
          <w:ilvl w:val="0"/>
          <w:numId w:val="12"/>
        </w:numPr>
        <w:spacing w:after="60"/>
      </w:pPr>
      <w:r>
        <w:rPr>
          <w:rFonts w:ascii="Arial" w:cs="Arial" w:eastAsia="Arial" w:hAnsi="Arial"/>
          <w:color w:val="000000"/>
          <w:sz w:val="22"/>
          <w:szCs w:val="22"/>
        </w:rPr>
        <w:t xml:space="preserve">Event operations administrator.</w:t>
      </w:r>
    </w:p>
    <w:p>
      <w:pPr>
        <w:pStyle w:val="ListParagraph"/>
        <w:numPr>
          <w:ilvl w:val="0"/>
          <w:numId w:val="12"/>
        </w:numPr>
        <w:spacing w:after="60"/>
      </w:pPr>
      <w:r>
        <w:rPr>
          <w:rFonts w:ascii="Arial" w:cs="Arial" w:eastAsia="Arial" w:hAnsi="Arial"/>
          <w:color w:val="000000"/>
          <w:sz w:val="22"/>
          <w:szCs w:val="22"/>
        </w:rPr>
        <w:t xml:space="preserve">Support contact for launch windows.</w:t>
      </w:r>
    </w:p>
    <w:p>
      <w:pPr>
        <w:pStyle w:val="Heading2"/>
      </w:pPr>
      <w:r>
        <w:rPr>
          <w:rFonts w:ascii="Arial" w:cs="Arial" w:eastAsia="Arial" w:hAnsi="Arial"/>
        </w:rPr>
        <w:t xml:space="preserve">Estimated Monthly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6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High</w:t>
            </w:r>
          </w:p>
        </w:tc>
        <w:tc>
          <w:tcPr>
            <w:tcW w:type="dxa" w:w="4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Hours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16</w:t>
            </w:r>
          </w:p>
        </w:tc>
        <w:tc>
          <w:tcPr>
            <w:tcW w:type="dxa" w:w="4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Low if stable and simple; higher during active events or feature rollout.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Cost (USD)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$3,000+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 the low end, founder-led. At the high end, retained developer support.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Cost (GBP)</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£2,250+</w:t>
            </w:r>
          </w:p>
        </w:tc>
        <w:tc>
          <w:tcPr>
            <w:tcW w:type="dxa" w:w="4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Approximate at prevailing FX rates.</w:t>
            </w:r>
          </w:p>
        </w:tc>
      </w:tr>
    </w:tbl>
    <w:p>
      <w:r>
        <w:br w:type="page"/>
      </w:r>
    </w:p>
    <w:p>
      <w:pPr>
        <w:pStyle w:val="Heading1"/>
      </w:pPr>
      <w:r>
        <w:rPr>
          <w:rFonts w:ascii="Arial" w:cs="Arial" w:eastAsia="Arial" w:hAnsi="Arial"/>
        </w:rPr>
        <w:t xml:space="preserve">Risk Register</w:t>
      </w:r>
    </w:p>
    <w:p>
      <w:pPr>
        <w:pStyle w:val="Heading2"/>
      </w:pPr>
      <w:r>
        <w:rPr>
          <w:rFonts w:ascii="Arial" w:cs="Arial" w:eastAsia="Arial" w:hAnsi="Arial"/>
        </w:rPr>
        <w:t xml:space="preserve">Technical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Prototype code may not be structured for scale.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4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Hardening and refactor phase before production cutover.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Schema changes after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Versioned migrations and careful data modelling upfront.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Uncontrolled scope growth.</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4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Strict phase-based roadmap and launch criteria.</w:t>
            </w:r>
          </w:p>
        </w:tc>
      </w:tr>
    </w:tbl>
    <w:p>
      <w:pPr>
        <w:pStyle w:val="Heading2"/>
      </w:pPr>
      <w:r>
        <w:rPr>
          <w:rFonts w:ascii="Arial" w:cs="Arial" w:eastAsia="Arial" w:hAnsi="Arial"/>
        </w:rPr>
        <w:t xml:space="preserve">Operational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changes close to event start.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4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Draft/publish workflow, visible timestamps and notification controls.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Reliance on a single operator.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Role-based access and training documentation.</w:t>
            </w:r>
          </w:p>
        </w:tc>
      </w:tr>
    </w:tbl>
    <w:p>
      <w:pPr>
        <w:pStyle w:val="Heading2"/>
      </w:pPr>
      <w:r>
        <w:rPr>
          <w:rFonts w:ascii="Arial" w:cs="Arial" w:eastAsia="Arial" w:hAnsi="Arial"/>
        </w:rPr>
        <w:t xml:space="preserve">Commercial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Slow adoption outside internal use.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4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 internal operations as proving ground before wider rollout.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Stakeholder expectation exceeds current scope.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State clearly this is an operational SaaS with phased expansion.</w:t>
            </w:r>
          </w:p>
        </w:tc>
      </w:tr>
    </w:tbl>
    <w:p>
      <w:pPr>
        <w:pStyle w:val="Heading2"/>
      </w:pPr>
      <w:r>
        <w:rPr>
          <w:rFonts w:ascii="Arial" w:cs="Arial" w:eastAsia="Arial" w:hAnsi="Arial"/>
        </w:rPr>
        <w:t xml:space="preserve">Cost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Usage-based overages on hosting or backend.</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Low–Medium</w:t>
            </w:r>
          </w:p>
        </w:tc>
        <w:tc>
          <w:tcPr>
            <w:tcW w:type="dxa" w:w="4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Monitoring, plan governance and alert thresholds.</w:t>
            </w:r>
          </w:p>
        </w:tc>
      </w:tr>
    </w:tbl>
    <w:p>
      <w:r>
        <w:br w:type="page"/>
      </w:r>
    </w:p>
    <w:p>
      <w:pPr>
        <w:pStyle w:val="Heading1"/>
      </w:pPr>
      <w:r>
        <w:rPr>
          <w:rFonts w:ascii="Arial" w:cs="Arial" w:eastAsia="Arial" w:hAnsi="Arial"/>
        </w:rPr>
        <w:t xml:space="preserve">Security and Governance</w:t>
      </w:r>
    </w:p>
    <w:p>
      <w:pPr>
        <w:pStyle w:val="Heading2"/>
      </w:pPr>
      <w:r>
        <w:rPr>
          <w:rFonts w:ascii="Arial" w:cs="Arial" w:eastAsia="Arial" w:hAnsi="Arial"/>
        </w:rPr>
        <w:t xml:space="preserve">Minimum Security Controls</w:t>
      </w:r>
    </w:p>
    <w:p>
      <w:pPr>
        <w:pStyle w:val="ListParagraph"/>
        <w:numPr>
          <w:ilvl w:val="0"/>
          <w:numId w:val="13"/>
        </w:numPr>
        <w:spacing w:after="60"/>
      </w:pPr>
      <w:r>
        <w:rPr>
          <w:rFonts w:ascii="Arial" w:cs="Arial" w:eastAsia="Arial" w:hAnsi="Arial"/>
          <w:color w:val="000000"/>
          <w:sz w:val="22"/>
          <w:szCs w:val="22"/>
        </w:rPr>
        <w:t xml:space="preserve">Environment-based secrets management.</w:t>
      </w:r>
    </w:p>
    <w:p>
      <w:pPr>
        <w:pStyle w:val="ListParagraph"/>
        <w:numPr>
          <w:ilvl w:val="0"/>
          <w:numId w:val="13"/>
        </w:numPr>
        <w:spacing w:after="60"/>
      </w:pPr>
      <w:r>
        <w:rPr>
          <w:rFonts w:ascii="Arial" w:cs="Arial" w:eastAsia="Arial" w:hAnsi="Arial"/>
          <w:color w:val="000000"/>
          <w:sz w:val="22"/>
          <w:szCs w:val="22"/>
        </w:rPr>
        <w:t xml:space="preserve">Authenticated admin routes only.</w:t>
      </w:r>
    </w:p>
    <w:p>
      <w:pPr>
        <w:pStyle w:val="ListParagraph"/>
        <w:numPr>
          <w:ilvl w:val="0"/>
          <w:numId w:val="13"/>
        </w:numPr>
        <w:spacing w:after="60"/>
      </w:pPr>
      <w:r>
        <w:rPr>
          <w:rFonts w:ascii="Arial" w:cs="Arial" w:eastAsia="Arial" w:hAnsi="Arial"/>
          <w:color w:val="000000"/>
          <w:sz w:val="22"/>
          <w:szCs w:val="22"/>
        </w:rPr>
        <w:t xml:space="preserve">Least-privilege database roles.</w:t>
      </w:r>
    </w:p>
    <w:p>
      <w:pPr>
        <w:pStyle w:val="ListParagraph"/>
        <w:numPr>
          <w:ilvl w:val="0"/>
          <w:numId w:val="13"/>
        </w:numPr>
        <w:spacing w:after="60"/>
      </w:pPr>
      <w:r>
        <w:rPr>
          <w:rFonts w:ascii="Arial" w:cs="Arial" w:eastAsia="Arial" w:hAnsi="Arial"/>
          <w:color w:val="000000"/>
          <w:sz w:val="22"/>
          <w:szCs w:val="22"/>
        </w:rPr>
        <w:t xml:space="preserve">HTTPS-only production deployment.</w:t>
      </w:r>
    </w:p>
    <w:p>
      <w:pPr>
        <w:pStyle w:val="ListParagraph"/>
        <w:numPr>
          <w:ilvl w:val="0"/>
          <w:numId w:val="13"/>
        </w:numPr>
        <w:spacing w:after="60"/>
      </w:pPr>
      <w:r>
        <w:rPr>
          <w:rFonts w:ascii="Arial" w:cs="Arial" w:eastAsia="Arial" w:hAnsi="Arial"/>
          <w:color w:val="000000"/>
          <w:sz w:val="22"/>
          <w:szCs w:val="22"/>
        </w:rPr>
        <w:t xml:space="preserve">Audit logging for admin actions.</w:t>
      </w:r>
    </w:p>
    <w:p>
      <w:pPr>
        <w:pStyle w:val="ListParagraph"/>
        <w:numPr>
          <w:ilvl w:val="0"/>
          <w:numId w:val="13"/>
        </w:numPr>
        <w:spacing w:after="60"/>
      </w:pPr>
      <w:r>
        <w:rPr>
          <w:rFonts w:ascii="Arial" w:cs="Arial" w:eastAsia="Arial" w:hAnsi="Arial"/>
          <w:color w:val="000000"/>
          <w:sz w:val="22"/>
          <w:szCs w:val="22"/>
        </w:rPr>
        <w:t xml:space="preserve">Backups and restore testing.</w:t>
      </w:r>
    </w:p>
    <w:p>
      <w:pPr>
        <w:pStyle w:val="Heading2"/>
      </w:pPr>
      <w:r>
        <w:rPr>
          <w:rFonts w:ascii="Arial" w:cs="Arial" w:eastAsia="Arial" w:hAnsi="Arial"/>
        </w:rPr>
        <w:t xml:space="preserve">Governance Controls</w:t>
      </w:r>
    </w:p>
    <w:p>
      <w:pPr>
        <w:pStyle w:val="ListParagraph"/>
        <w:numPr>
          <w:ilvl w:val="0"/>
          <w:numId w:val="14"/>
        </w:numPr>
        <w:spacing w:after="60"/>
      </w:pPr>
      <w:r>
        <w:rPr>
          <w:rFonts w:ascii="Arial" w:cs="Arial" w:eastAsia="Arial" w:hAnsi="Arial"/>
          <w:color w:val="000000"/>
          <w:sz w:val="22"/>
          <w:szCs w:val="22"/>
        </w:rPr>
        <w:t xml:space="preserve">Change approval before production release.</w:t>
      </w:r>
    </w:p>
    <w:p>
      <w:pPr>
        <w:pStyle w:val="ListParagraph"/>
        <w:numPr>
          <w:ilvl w:val="0"/>
          <w:numId w:val="14"/>
        </w:numPr>
        <w:spacing w:after="60"/>
      </w:pPr>
      <w:r>
        <w:rPr>
          <w:rFonts w:ascii="Arial" w:cs="Arial" w:eastAsia="Arial" w:hAnsi="Arial"/>
          <w:color w:val="000000"/>
          <w:sz w:val="22"/>
          <w:szCs w:val="22"/>
        </w:rPr>
        <w:t xml:space="preserve">Named ownership of production credentials.</w:t>
      </w:r>
    </w:p>
    <w:p>
      <w:pPr>
        <w:pStyle w:val="ListParagraph"/>
        <w:numPr>
          <w:ilvl w:val="0"/>
          <w:numId w:val="14"/>
        </w:numPr>
        <w:spacing w:after="60"/>
      </w:pPr>
      <w:r>
        <w:rPr>
          <w:rFonts w:ascii="Arial" w:cs="Arial" w:eastAsia="Arial" w:hAnsi="Arial"/>
          <w:color w:val="000000"/>
          <w:sz w:val="22"/>
          <w:szCs w:val="22"/>
        </w:rPr>
        <w:t xml:space="preserve">Documented release notes.</w:t>
      </w:r>
    </w:p>
    <w:p>
      <w:pPr>
        <w:pStyle w:val="ListParagraph"/>
        <w:numPr>
          <w:ilvl w:val="0"/>
          <w:numId w:val="14"/>
        </w:numPr>
        <w:spacing w:after="60"/>
      </w:pPr>
      <w:r>
        <w:rPr>
          <w:rFonts w:ascii="Arial" w:cs="Arial" w:eastAsia="Arial" w:hAnsi="Arial"/>
          <w:color w:val="000000"/>
          <w:sz w:val="22"/>
          <w:szCs w:val="22"/>
        </w:rPr>
        <w:t xml:space="preserve">Defined incident response contact.</w:t>
      </w:r>
    </w:p>
    <w:p>
      <w:r>
        <w:br w:type="page"/>
      </w:r>
    </w:p>
    <w:p>
      <w:pPr>
        <w:pStyle w:val="Heading1"/>
      </w:pPr>
      <w:r>
        <w:rPr>
          <w:rFonts w:ascii="Arial" w:cs="Arial" w:eastAsia="Arial" w:hAnsi="Arial"/>
        </w:rPr>
        <w:t xml:space="preserve">Commercialisation Path</w:t>
      </w:r>
    </w:p>
    <w:p>
      <w:pPr>
        <w:pStyle w:val="Heading2"/>
      </w:pPr>
      <w:r>
        <w:rPr>
          <w:rFonts w:ascii="Arial" w:cs="Arial" w:eastAsia="Arial" w:hAnsi="Arial"/>
        </w:rPr>
        <w:t xml:space="preserve">Go-to-Market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7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Initial</w:t>
            </w:r>
          </w:p>
        </w:tc>
        <w:tc>
          <w:tcPr>
            <w:tcW w:type="dxa" w:w="7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Internal operational use and proof of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Next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Licensing to championships, venues or event organisers.</w:t>
            </w:r>
          </w:p>
        </w:tc>
      </w:tr>
    </w:tbl>
    <w:p>
      <w:pPr>
        <w:pStyle w:val="Heading2"/>
      </w:pPr>
      <w:r>
        <w:rPr>
          <w:rFonts w:ascii="Arial" w:cs="Arial" w:eastAsia="Arial" w:hAnsi="Arial"/>
        </w:rPr>
        <w:t xml:space="preserve">Potential Revenue Models</w:t>
      </w:r>
    </w:p>
    <w:p>
      <w:pPr>
        <w:pStyle w:val="ListParagraph"/>
        <w:numPr>
          <w:ilvl w:val="0"/>
          <w:numId w:val="15"/>
        </w:numPr>
        <w:spacing w:after="60"/>
      </w:pPr>
      <w:r>
        <w:rPr>
          <w:rFonts w:ascii="Arial" w:cs="Arial" w:eastAsia="Arial" w:hAnsi="Arial"/>
          <w:color w:val="000000"/>
          <w:sz w:val="22"/>
          <w:szCs w:val="22"/>
        </w:rPr>
        <w:t xml:space="preserve">Per-organisation subscription.</w:t>
      </w:r>
    </w:p>
    <w:p>
      <w:pPr>
        <w:pStyle w:val="ListParagraph"/>
        <w:numPr>
          <w:ilvl w:val="0"/>
          <w:numId w:val="15"/>
        </w:numPr>
        <w:spacing w:after="60"/>
      </w:pPr>
      <w:r>
        <w:rPr>
          <w:rFonts w:ascii="Arial" w:cs="Arial" w:eastAsia="Arial" w:hAnsi="Arial"/>
          <w:color w:val="000000"/>
          <w:sz w:val="22"/>
          <w:szCs w:val="22"/>
        </w:rPr>
        <w:t xml:space="preserve">Per-event fee.</w:t>
      </w:r>
    </w:p>
    <w:p>
      <w:pPr>
        <w:pStyle w:val="ListParagraph"/>
        <w:numPr>
          <w:ilvl w:val="0"/>
          <w:numId w:val="15"/>
        </w:numPr>
        <w:spacing w:after="60"/>
      </w:pPr>
      <w:r>
        <w:rPr>
          <w:rFonts w:ascii="Arial" w:cs="Arial" w:eastAsia="Arial" w:hAnsi="Arial"/>
          <w:color w:val="000000"/>
          <w:sz w:val="22"/>
          <w:szCs w:val="22"/>
        </w:rPr>
        <w:t xml:space="preserve">Tiered SaaS plans.</w:t>
      </w:r>
    </w:p>
    <w:p>
      <w:pPr>
        <w:pStyle w:val="ListParagraph"/>
        <w:numPr>
          <w:ilvl w:val="0"/>
          <w:numId w:val="15"/>
        </w:numPr>
        <w:spacing w:after="60"/>
      </w:pPr>
      <w:r>
        <w:rPr>
          <w:rFonts w:ascii="Arial" w:cs="Arial" w:eastAsia="Arial" w:hAnsi="Arial"/>
          <w:color w:val="000000"/>
          <w:sz w:val="22"/>
          <w:szCs w:val="22"/>
        </w:rPr>
        <w:t xml:space="preserve">White-label deployment fee.</w:t>
      </w:r>
    </w:p>
    <w:p>
      <w:pPr>
        <w:pStyle w:val="ListParagraph"/>
        <w:numPr>
          <w:ilvl w:val="0"/>
          <w:numId w:val="15"/>
        </w:numPr>
        <w:spacing w:after="60"/>
      </w:pPr>
      <w:r>
        <w:rPr>
          <w:rFonts w:ascii="Arial" w:cs="Arial" w:eastAsia="Arial" w:hAnsi="Arial"/>
          <w:color w:val="000000"/>
          <w:sz w:val="22"/>
          <w:szCs w:val="22"/>
        </w:rPr>
        <w:t xml:space="preserve">Sponsor-supported public timetable pages.</w:t>
      </w:r>
    </w:p>
    <w:p>
      <w:pPr>
        <w:spacing w:after="60"/>
      </w:pPr>
    </w:p>
    <w:p>
      <w:pPr>
        <w:spacing w:after="120"/>
      </w:pPr>
      <w:r>
        <w:rPr>
          <w:rFonts w:ascii="Arial" w:cs="Arial" w:eastAsia="Arial" w:hAnsi="Arial"/>
          <w:color w:val="000000"/>
          <w:sz w:val="22"/>
          <w:szCs w:val="22"/>
        </w:rPr>
        <w:t xml:space="preserve">Commercial pricing should be set only after the MVP has been used repeatedly in live operations and the support burden is understood.</w:t>
      </w:r>
    </w:p>
    <w:p>
      <w:r>
        <w:br w:type="page"/>
      </w:r>
    </w:p>
    <w:p>
      <w:pPr>
        <w:pStyle w:val="Heading1"/>
      </w:pPr>
      <w:r>
        <w:rPr>
          <w:rFonts w:ascii="Arial" w:cs="Arial" w:eastAsia="Arial" w:hAnsi="Arial"/>
        </w:rPr>
        <w:t xml:space="preserve">Recommended Decisions Now</w:t>
      </w:r>
    </w:p>
    <w:p>
      <w:pPr>
        <w:pStyle w:val="ListParagraph"/>
        <w:numPr>
          <w:ilvl w:val="0"/>
          <w:numId w:val="16"/>
        </w:numPr>
        <w:spacing w:after="60"/>
      </w:pPr>
      <w:r>
        <w:rPr>
          <w:rFonts w:ascii="Arial" w:cs="Arial" w:eastAsia="Arial" w:hAnsi="Arial"/>
          <w:color w:val="000000"/>
          <w:sz w:val="22"/>
          <w:szCs w:val="22"/>
        </w:rPr>
        <w:t xml:space="preserve">Move the codebase into GitHub immediately.</w:t>
      </w:r>
    </w:p>
    <w:p>
      <w:pPr>
        <w:pStyle w:val="ListParagraph"/>
        <w:numPr>
          <w:ilvl w:val="0"/>
          <w:numId w:val="16"/>
        </w:numPr>
        <w:spacing w:after="60"/>
      </w:pPr>
      <w:r>
        <w:rPr>
          <w:rFonts w:ascii="Arial" w:cs="Arial" w:eastAsia="Arial" w:hAnsi="Arial"/>
          <w:color w:val="000000"/>
          <w:sz w:val="22"/>
          <w:szCs w:val="22"/>
        </w:rPr>
        <w:t xml:space="preserve">Stop treating the prototype environment as the long-term production home.</w:t>
      </w:r>
    </w:p>
    <w:p>
      <w:pPr>
        <w:pStyle w:val="ListParagraph"/>
        <w:numPr>
          <w:ilvl w:val="0"/>
          <w:numId w:val="16"/>
        </w:numPr>
        <w:spacing w:after="60"/>
      </w:pPr>
      <w:r>
        <w:rPr>
          <w:rFonts w:ascii="Arial" w:cs="Arial" w:eastAsia="Arial" w:hAnsi="Arial"/>
          <w:color w:val="000000"/>
          <w:sz w:val="22"/>
          <w:szCs w:val="22"/>
        </w:rPr>
        <w:t xml:space="preserve">Choose Netlify and Supabase as the default production stack unless a stronger reason appears.</w:t>
      </w:r>
    </w:p>
    <w:p>
      <w:pPr>
        <w:pStyle w:val="ListParagraph"/>
        <w:numPr>
          <w:ilvl w:val="0"/>
          <w:numId w:val="16"/>
        </w:numPr>
        <w:spacing w:after="60"/>
      </w:pPr>
      <w:r>
        <w:rPr>
          <w:rFonts w:ascii="Arial" w:cs="Arial" w:eastAsia="Arial" w:hAnsi="Arial"/>
          <w:color w:val="000000"/>
          <w:sz w:val="22"/>
          <w:szCs w:val="22"/>
        </w:rPr>
        <w:t xml:space="preserve">Build production persistence before adding non-essential features.</w:t>
      </w:r>
    </w:p>
    <w:p>
      <w:pPr>
        <w:pStyle w:val="ListParagraph"/>
        <w:numPr>
          <w:ilvl w:val="0"/>
          <w:numId w:val="16"/>
        </w:numPr>
        <w:spacing w:after="60"/>
      </w:pPr>
      <w:r>
        <w:rPr>
          <w:rFonts w:ascii="Arial" w:cs="Arial" w:eastAsia="Arial" w:hAnsi="Arial"/>
          <w:color w:val="000000"/>
          <w:sz w:val="22"/>
          <w:szCs w:val="22"/>
        </w:rPr>
        <w:t xml:space="preserve">Keep AI confined to development support rather than production runtime.</w:t>
      </w:r>
    </w:p>
    <w:p>
      <w:pPr>
        <w:pStyle w:val="ListParagraph"/>
        <w:numPr>
          <w:ilvl w:val="0"/>
          <w:numId w:val="16"/>
        </w:numPr>
        <w:spacing w:after="60"/>
      </w:pPr>
      <w:r>
        <w:rPr>
          <w:rFonts w:ascii="Arial" w:cs="Arial" w:eastAsia="Arial" w:hAnsi="Arial"/>
          <w:color w:val="000000"/>
          <w:sz w:val="22"/>
          <w:szCs w:val="22"/>
        </w:rPr>
        <w:t xml:space="preserve">Fund the project as an MVP first, not as a fully expanded event-tech platform.</w:t>
      </w:r>
    </w:p>
    <w:p>
      <w:r>
        <w:br w:type="page"/>
      </w:r>
    </w:p>
    <w:p>
      <w:pPr>
        <w:pStyle w:val="Heading1"/>
      </w:pPr>
      <w:r>
        <w:rPr>
          <w:rFonts w:ascii="Arial" w:cs="Arial" w:eastAsia="Arial" w:hAnsi="Arial"/>
        </w:rPr>
        <w:t xml:space="preserve">Conclusion</w:t>
      </w:r>
    </w:p>
    <w:p>
      <w:pPr>
        <w:spacing w:after="120"/>
      </w:pPr>
      <w:r>
        <w:rPr>
          <w:rFonts w:ascii="Arial" w:cs="Arial" w:eastAsia="Arial" w:hAnsi="Arial"/>
          <w:color w:val="000000"/>
          <w:sz w:val="22"/>
          <w:szCs w:val="22"/>
        </w:rPr>
        <w:t xml:space="preserve">The TKC Timetable Platform is a credible low-cost software product with a clean path to market. The current prototype demonstrates core utility. The technical path to a secure, persistent and commercially viable MVP is straightforward.</w:t>
      </w:r>
    </w:p>
    <w:p>
      <w:pPr>
        <w:spacing w:after="120"/>
      </w:pPr>
      <w:r>
        <w:rPr>
          <w:rFonts w:ascii="Arial" w:cs="Arial" w:eastAsia="Arial" w:hAnsi="Arial"/>
          <w:color w:val="000000"/>
          <w:sz w:val="22"/>
          <w:szCs w:val="22"/>
        </w:rPr>
        <w:t xml:space="preserve">Infrastructure costs are modest, delivery risk is manageable and the platform can be launched in staged form without excessive capital exposure. The primary investment required is time, supported by a modest cash budget for subscriptions and targeted external support.</w:t>
      </w:r>
    </w:p>
    <w:p>
      <w:pPr>
        <w:spacing w:after="120"/>
      </w:pPr>
      <w:r>
        <w:rPr>
          <w:rFonts w:ascii="Arial" w:cs="Arial" w:eastAsia="Arial" w:hAnsi="Arial"/>
          <w:color w:val="000000"/>
          <w:sz w:val="22"/>
          <w:szCs w:val="22"/>
        </w:rPr>
        <w:t xml:space="preserve">A disciplined scope-controlled build is sufficient to reach a production MVP and establish commercial proof.</w:t>
      </w:r>
    </w:p>
    <w:p>
      <w:pPr>
        <w:spacing w:after="60"/>
      </w:pPr>
    </w:p>
    <w:p>
      <w:pPr>
        <w:pBdr>
          <w:top w:val="single" w:color="2E75B6" w:sz="2" w:space="1"/>
        </w:pBdr>
        <w:spacing w:before="400" w:after="120"/>
      </w:pPr>
      <w:r>
        <w:rPr>
          <w:rFonts w:ascii="Arial" w:cs="Arial" w:eastAsia="Arial" w:hAnsi="Arial"/>
          <w:b/>
          <w:bCs/>
          <w:color w:val="666666"/>
          <w:sz w:val="20"/>
          <w:szCs w:val="20"/>
        </w:rPr>
        <w:t xml:space="preserve">Disclaimer</w:t>
      </w:r>
    </w:p>
    <w:p>
      <w:pPr>
        <w:spacing w:after="60"/>
      </w:pPr>
      <w:r>
        <w:rPr>
          <w:rFonts w:ascii="Arial" w:cs="Arial" w:eastAsia="Arial" w:hAnsi="Arial"/>
          <w:i/>
          <w:iCs/>
          <w:color w:val="666666"/>
          <w:sz w:val="18"/>
          <w:szCs w:val="18"/>
        </w:rPr>
        <w:t xml:space="preserve">All delivery budgets, staffing costs, monthly maintenance costs and roadmap durations are planning estimates derived from the stated project scope and normal product-delivery practice. Vendor subscription prices are cited from current public sources as of 21 March 2026 and may change. All intellectual property in the TKC Timetable Platform is held by LB42 Ltd until the build is purchased under agreed commercial terms.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Timetable Platform  —  Technical Blueprint</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5"/>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2026-03-21T13:49:22.334Z</dcterms:created>
  <dcterms:modified xsi:type="dcterms:W3CDTF">2026-03-21T13:49:22.335Z</dcterms:modified>
</cp:coreProperties>
</file>

<file path=docProps/custom.xml><?xml version="1.0" encoding="utf-8"?>
<Properties xmlns="http://schemas.openxmlformats.org/officeDocument/2006/custom-properties" xmlns:vt="http://schemas.openxmlformats.org/officeDocument/2006/docPropsVTypes"/>
</file>