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pPr>
      <w:r w:rsidDel="00000000" w:rsidR="00000000" w:rsidRPr="00000000">
        <w:rPr>
          <w:rtl w:val="0"/>
        </w:rPr>
      </w:r>
    </w:p>
    <w:p w:rsidR="00000000" w:rsidDel="00000000" w:rsidP="00000000" w:rsidRDefault="00000000" w:rsidRPr="00000000" w14:paraId="00000002">
      <w:pPr>
        <w:spacing w:line="240" w:lineRule="auto"/>
        <w:jc w:val="both"/>
        <w:rPr/>
      </w:pPr>
      <w:r w:rsidDel="00000000" w:rsidR="00000000" w:rsidRPr="00000000">
        <w:rPr>
          <w:rtl w:val="0"/>
        </w:rPr>
        <w:t xml:space="preserve">By: Mick Deines, Hannah Chavla, Marion Garabedian, Naudia Watkins, Samantha Kravitz</w:t>
      </w:r>
    </w:p>
    <w:p w:rsidR="00000000" w:rsidDel="00000000" w:rsidP="00000000" w:rsidRDefault="00000000" w:rsidRPr="00000000" w14:paraId="00000003">
      <w:pPr>
        <w:spacing w:line="240" w:lineRule="auto"/>
        <w:jc w:val="both"/>
        <w:rPr/>
      </w:pPr>
      <w:r w:rsidDel="00000000" w:rsidR="00000000" w:rsidRPr="00000000">
        <w:rPr>
          <w:rtl w:val="0"/>
        </w:rPr>
        <w:t xml:space="preserve">Edited by: Daniel Schwartz</w:t>
      </w:r>
      <w:r w:rsidDel="00000000" w:rsidR="00000000" w:rsidRPr="00000000">
        <w:rPr>
          <w:rtl w:val="0"/>
        </w:rPr>
      </w:r>
    </w:p>
    <w:p w:rsidR="00000000" w:rsidDel="00000000" w:rsidP="00000000" w:rsidRDefault="00000000" w:rsidRPr="00000000" w14:paraId="00000004">
      <w:pPr>
        <w:spacing w:line="240" w:lineRule="auto"/>
        <w:jc w:val="both"/>
        <w:rPr>
          <w:b w:val="1"/>
          <w:bCs w:val="1"/>
        </w:rPr>
      </w:pPr>
      <w:r w:rsidDel="00000000" w:rsidR="00000000" w:rsidRPr="00000000">
        <w:rPr>
          <w:rtl w:val="0"/>
        </w:rPr>
      </w:r>
    </w:p>
    <w:p w:rsidR="00000000" w:rsidDel="00000000" w:rsidP="00000000" w:rsidRDefault="00000000" w:rsidRPr="00000000" w14:paraId="00000005">
      <w:pPr>
        <w:spacing w:line="240" w:lineRule="auto"/>
        <w:jc w:val="both"/>
        <w:rPr>
          <w:b w:val="1"/>
          <w:bCs w:val="1"/>
        </w:rPr>
      </w:pPr>
      <w:r w:rsidDel="00000000" w:rsidR="00000000" w:rsidRPr="00000000">
        <w:rPr>
          <w:b w:val="1"/>
          <w:bCs w:val="1"/>
          <w:rtl w:val="0"/>
        </w:rPr>
        <w:t xml:space="preserve">Project Overview</w:t>
      </w:r>
    </w:p>
    <w:p w:rsidR="00000000" w:rsidDel="00000000" w:rsidP="00000000" w:rsidRDefault="00000000" w:rsidRPr="00000000" w14:paraId="00000006">
      <w:pPr>
        <w:spacing w:line="240" w:lineRule="auto"/>
        <w:jc w:val="both"/>
        <w:rPr/>
      </w:pPr>
      <w:r w:rsidDel="00000000" w:rsidR="00000000" w:rsidRPr="00000000">
        <w:rPr>
          <w:rtl w:val="0"/>
        </w:rPr>
        <w:t xml:space="preserve">The Port Gamble S’Kl</w:t>
      </w:r>
      <w:r w:rsidDel="00000000" w:rsidR="00000000" w:rsidRPr="00000000">
        <w:rPr>
          <w:rtl w:val="0"/>
        </w:rPr>
        <w:t xml:space="preserve">allam Tribe released a “Comprehensive Climate Action Plan” (CCAP) in July of 2025 which outlines the Tribe's mission to reduce greenhouse gas (GHG) emissions. Propane usage on the administrative campus is a large source of greenhouse gas emissions that is controlled by the Tribe’s infrastructure decisions. The University of Washington Clean Energy Institute and Department of Chemical Engineering are working collaboratively with our project partner, the Port Gamble S’Klallam Tribe (PGST) liaison Rachel Gates, to explore options for decarbonizing the administrative complex. </w:t>
      </w:r>
    </w:p>
    <w:p w:rsidR="00000000" w:rsidDel="00000000" w:rsidP="00000000" w:rsidRDefault="00000000" w:rsidRPr="00000000" w14:paraId="00000007">
      <w:pPr>
        <w:spacing w:line="240" w:lineRule="auto"/>
        <w:jc w:val="both"/>
        <w:rPr/>
      </w:pPr>
      <w:r w:rsidDel="00000000" w:rsidR="00000000" w:rsidRPr="00000000">
        <w:rPr>
          <w:rtl w:val="0"/>
        </w:rPr>
      </w:r>
    </w:p>
    <w:p w:rsidR="00000000" w:rsidDel="00000000" w:rsidP="00000000" w:rsidRDefault="00000000" w:rsidRPr="00000000" w14:paraId="00000008">
      <w:pPr>
        <w:spacing w:line="240" w:lineRule="auto"/>
        <w:jc w:val="both"/>
        <w:rPr/>
      </w:pPr>
      <w:r w:rsidDel="00000000" w:rsidR="00000000" w:rsidRPr="00000000">
        <w:rPr>
          <w:rtl w:val="0"/>
        </w:rPr>
        <w:t xml:space="preserve">The primary design will focus on reducing emissions from the propane boiler that serves the Longhouse and Career Education Center. More than a year of 15 minute electric meter data for the Career Education Center and Longhouse was provided, as well as a decade of propane purchasing data. Because propane use is not sub-metered, key equipment plate data from propane heating and domestic hot water units was provided to estimate individual unit usage. For the Longhouse and Career Education Center, considerations will include the capital and operating costs of various design options for decarbonizing the site, as well as the expected operational disruptions of different options. A broader site survey will explore opportunities for emission reductions available by replacing other propane fired heating and domestic hot water infrastructure across the campus. The report will also survey the scale of roof-top solar opportunities across the campus.</w:t>
      </w:r>
    </w:p>
    <w:p w:rsidR="00000000" w:rsidDel="00000000" w:rsidP="00000000" w:rsidRDefault="00000000" w:rsidRPr="00000000" w14:paraId="00000009">
      <w:pPr>
        <w:spacing w:line="240" w:lineRule="auto"/>
        <w:jc w:val="both"/>
        <w:rPr>
          <w:b w:val="1"/>
          <w:bCs w:val="1"/>
        </w:rPr>
      </w:pPr>
      <w:r w:rsidDel="00000000" w:rsidR="00000000" w:rsidRPr="00000000">
        <w:rPr>
          <w:rtl w:val="0"/>
        </w:rPr>
      </w:r>
    </w:p>
    <w:p w:rsidR="00000000" w:rsidDel="00000000" w:rsidP="00000000" w:rsidRDefault="00000000" w:rsidRPr="00000000" w14:paraId="0000000A">
      <w:pPr>
        <w:spacing w:line="240" w:lineRule="auto"/>
        <w:jc w:val="both"/>
        <w:rPr/>
      </w:pPr>
      <w:r w:rsidDel="00000000" w:rsidR="00000000" w:rsidRPr="00000000">
        <w:rPr>
          <w:rtl w:val="0"/>
        </w:rPr>
        <w:t xml:space="preserve">A site visit on February 3, 2026 involved a walk-through of the Longhouse and Education Center--including the utility room, common-spaces, and several individual rooms–as well as a survey walk around the broader campus. The Longhouse and Education Center include award-winning architecture and art that reflect the community’s heritage, with exposed wood and beam interiors and exteriors. Several key issues identified at the site visit will influence the technology choices and opportunities for emission reduction and lowering energy bills. The Longhouse and Education Center share a propane-fired hydronic heating system with a lower temperature zone  (135 ˚F set point) circulating water to the radiant floor system in the Longhouse and higher temperature zone (195 ˚F set point) circulating water to air handlers in the Education Center. The Education Center also has several auxiliary heat pump systems providing local heating and cooling in the building. Thermostat set points in the Education Center were 70 ˚F but actual temperatures exceeded the set point. In at least one room, a heat pump was cooling at the same time the hydronic system was heating the space. The Tribe has engaged a specialist to address the (apparently long-standing) control issues with the hydronic system. Additional site observation and review included that the Longhouse has structural issues and cannot bear additional loading on the roof. Lighting appeared to mostly have been upgraded to efficient LEDs in the Education Center. Additional clean energy infrastructure at the site includes an existing solar PV system and SolArk 60 kW/120 kWh battery energy storage system at the clinic, reducing energy costs and providing outage resiliency. There is also a solar PV system at the waste treatment plant.</w:t>
      </w:r>
    </w:p>
    <w:p w:rsidR="00000000" w:rsidDel="00000000" w:rsidP="00000000" w:rsidRDefault="00000000" w:rsidRPr="00000000" w14:paraId="0000000B">
      <w:pPr>
        <w:spacing w:line="240" w:lineRule="auto"/>
        <w:jc w:val="both"/>
        <w:rPr/>
      </w:pPr>
      <w:r w:rsidDel="00000000" w:rsidR="00000000" w:rsidRPr="00000000">
        <w:rPr>
          <w:rtl w:val="0"/>
        </w:rPr>
      </w:r>
    </w:p>
    <w:p w:rsidR="00000000" w:rsidDel="00000000" w:rsidP="00000000" w:rsidRDefault="00000000" w:rsidRPr="00000000" w14:paraId="0000000C">
      <w:pPr>
        <w:spacing w:line="240" w:lineRule="auto"/>
        <w:jc w:val="both"/>
        <w:rPr>
          <w:b w:val="1"/>
          <w:bCs w:val="1"/>
        </w:rPr>
      </w:pPr>
      <w:r w:rsidDel="00000000" w:rsidR="00000000" w:rsidRPr="00000000">
        <w:rPr>
          <w:b w:val="1"/>
          <w:bCs w:val="1"/>
          <w:rtl w:val="0"/>
        </w:rPr>
        <w:t xml:space="preserve">Technical Scope</w:t>
      </w: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i w:val="1"/>
          <w:iCs w:val="1"/>
          <w:rtl w:val="0"/>
        </w:rPr>
        <w:t xml:space="preserve">Data Analysis and Synthesis.</w:t>
      </w:r>
      <w:r w:rsidDel="00000000" w:rsidR="00000000" w:rsidRPr="00000000">
        <w:rPr>
          <w:rtl w:val="0"/>
        </w:rPr>
        <w:t xml:space="preserve"> </w:t>
      </w:r>
      <w:r w:rsidDel="00000000" w:rsidR="00000000" w:rsidRPr="00000000">
        <w:rPr>
          <w:rtl w:val="0"/>
        </w:rPr>
        <w:t xml:space="preserve">Because propane use is not sub-metered by building or device, the cornerstone of the energy analysis—and the greatest source of uncertainty—is the disaggregation of the propane use by device. Disaggregation of heating propane versus domestic hot water propane across the campus (the two main propane-using categories)  is readily assessed based on correlation with average outdoor temperature over the propane use-period (monthly, typically). Within each major category of use, individual device consumption will be estimated in two ways: based on face-plate capacity and a metric of building use intensity, or for the heating category, by the area of buildings being served along with use intensity. Recognizing the uncertainty of these methods, a range of expected propane use by building and device will be determined to encompass the expected values. For the more detailed design associated with electrification of heating in the Longhouse and Education Center, typical use profiles derived from the 15 minute electricity data for the buildings will be used as the basis for estimating hourly electricity loads in the future, following heating electrification designs.</w:t>
      </w:r>
    </w:p>
    <w:p w:rsidR="00000000" w:rsidDel="00000000" w:rsidP="00000000" w:rsidRDefault="00000000" w:rsidRPr="00000000" w14:paraId="0000000E">
      <w:pPr>
        <w:spacing w:line="240" w:lineRule="auto"/>
        <w:jc w:val="both"/>
        <w:rPr/>
      </w:pPr>
      <w:r w:rsidDel="00000000" w:rsidR="00000000" w:rsidRPr="00000000">
        <w:rPr>
          <w:rtl w:val="0"/>
        </w:rPr>
      </w:r>
    </w:p>
    <w:p w:rsidR="00000000" w:rsidDel="00000000" w:rsidP="00000000" w:rsidRDefault="00000000" w:rsidRPr="00000000" w14:paraId="0000000F">
      <w:pPr>
        <w:spacing w:line="240" w:lineRule="auto"/>
        <w:jc w:val="both"/>
        <w:rPr/>
      </w:pPr>
      <w:r w:rsidDel="00000000" w:rsidR="00000000" w:rsidRPr="00000000">
        <w:rPr>
          <w:rtl w:val="0"/>
        </w:rPr>
        <w:t xml:space="preserve">Converting estimated monthly and annual propane use by individual devices into GHG emissions is the basis for prioritizing emission reductions across the campus by electrification. Use of propane in kitchens and back-up generation are expected to be small.</w:t>
      </w:r>
    </w:p>
    <w:p w:rsidR="00000000" w:rsidDel="00000000" w:rsidP="00000000" w:rsidRDefault="00000000" w:rsidRPr="00000000" w14:paraId="00000010">
      <w:pPr>
        <w:spacing w:line="240" w:lineRule="auto"/>
        <w:jc w:val="both"/>
        <w:rPr/>
      </w:pPr>
      <w:r w:rsidDel="00000000" w:rsidR="00000000" w:rsidRPr="00000000">
        <w:rPr>
          <w:rtl w:val="0"/>
        </w:rPr>
      </w:r>
    </w:p>
    <w:p w:rsidR="00000000" w:rsidDel="00000000" w:rsidP="00000000" w:rsidRDefault="00000000" w:rsidRPr="00000000" w14:paraId="00000011">
      <w:pPr>
        <w:spacing w:line="240" w:lineRule="auto"/>
        <w:jc w:val="both"/>
        <w:rPr/>
      </w:pPr>
      <w:r w:rsidDel="00000000" w:rsidR="00000000" w:rsidRPr="00000000">
        <w:rPr>
          <w:i w:val="1"/>
          <w:iCs w:val="1"/>
          <w:rtl w:val="0"/>
        </w:rPr>
        <w:t xml:space="preserve">Eliminating propane use in the Education Center and Longhouse heating.</w:t>
      </w:r>
      <w:r w:rsidDel="00000000" w:rsidR="00000000" w:rsidRPr="00000000">
        <w:rPr>
          <w:rtl w:val="0"/>
        </w:rPr>
        <w:t xml:space="preserve"> Electrification of the propane-fired hydronic boiler is the pathway to decarbonizing heating in the Education Center and Longhouse, since PSE is systematically eliminating carbon from their electricity supply. We will evaluate the impact and feasibility of two electrification options: Electric hydronic boiler and air-to-water hydronic heat pump. In the analysis, no significant building envelope efficiency improvements are considered owing to the culturally significant architecture of the two buildings.</w:t>
      </w:r>
    </w:p>
    <w:p w:rsidR="00000000" w:rsidDel="00000000" w:rsidP="00000000" w:rsidRDefault="00000000" w:rsidRPr="00000000" w14:paraId="00000012">
      <w:pPr>
        <w:numPr>
          <w:ilvl w:val="0"/>
          <w:numId w:val="1"/>
        </w:numPr>
        <w:spacing w:after="0" w:afterAutospacing="0" w:before="240" w:line="240" w:lineRule="auto"/>
        <w:ind w:left="720" w:hanging="360"/>
        <w:jc w:val="both"/>
        <w:rPr/>
      </w:pPr>
      <w:r w:rsidDel="00000000" w:rsidR="00000000" w:rsidRPr="00000000">
        <w:rPr>
          <w:b w:val="1"/>
          <w:bCs w:val="1"/>
          <w:rtl w:val="0"/>
        </w:rPr>
        <w:t xml:space="preserve">A high turn-down electric hydronic boiler</w:t>
      </w:r>
      <w:r w:rsidDel="00000000" w:rsidR="00000000" w:rsidRPr="00000000">
        <w:rPr>
          <w:rtl w:val="0"/>
        </w:rPr>
        <w:t xml:space="preserve"> represents a drop-in decarbonization solution for the propane boiler because it can produce 195 ˚F hot water for the Education Center high temperature zone while also serving the low temperature 135 ˚F zone used in the Longhouse. In addition to the boiler replacement, an electrical service upgrade is likely to be needed. This option is expected to be the low capital cost choice for decarbonization, but also the highest annual operating cost option owing to the system’s low electricity-to-heat conversion efficiency vs. the heat pump option. No chilled water can be produced by an electric hydronic boiler, so any cooling demand will continue to be met by the individual heat pumps in the Education Center. Engineering heuristics will be used to estimate the capital and operating costs as detailed below, based on the range of heating demand we estimate from the propane data. </w:t>
      </w:r>
    </w:p>
    <w:p w:rsidR="00000000" w:rsidDel="00000000" w:rsidP="00000000" w:rsidRDefault="00000000" w:rsidRPr="00000000" w14:paraId="00000013">
      <w:pPr>
        <w:numPr>
          <w:ilvl w:val="0"/>
          <w:numId w:val="1"/>
        </w:numPr>
        <w:spacing w:after="480" w:before="0" w:beforeAutospacing="0" w:line="240" w:lineRule="auto"/>
        <w:ind w:left="720" w:hanging="360"/>
        <w:jc w:val="both"/>
        <w:rPr/>
      </w:pPr>
      <w:r w:rsidDel="00000000" w:rsidR="00000000" w:rsidRPr="00000000">
        <w:rPr>
          <w:b w:val="1"/>
          <w:bCs w:val="1"/>
          <w:rtl w:val="0"/>
        </w:rPr>
        <w:t xml:space="preserve">An air-to-water hydronic heat pump</w:t>
      </w:r>
      <w:r w:rsidDel="00000000" w:rsidR="00000000" w:rsidRPr="00000000">
        <w:rPr>
          <w:rtl w:val="0"/>
        </w:rPr>
        <w:t xml:space="preserve"> is the high efficiency electrification option, but may require additional HVAC system retrofit.  A hydronic heat pump will use roughly 1/3rd the annual energy of an electric hydronic boiler but will likely have higher capital and installation cost. A key feature driving the design is that the system has a maximum water output temperature of about 140 ˚F which is well matched to the Longhouse low temperature loop, but is approximately 55 - 60 ˚F below the temperature currently input into the Education Center air handlers. Thus, the design will consider the need and possible cost for air handler retrofit. The hydronic heat pump can also produce chilled water for cooling the Longhouse and Education Center in summer, potentially making the existing individual heat pump units in the Education Center redundant.  While electrical demand will be approximately 1/3rd that of an electric hydronic boiler, electrical service may still require upgrading.</w:t>
      </w:r>
    </w:p>
    <w:p w:rsidR="00000000" w:rsidDel="00000000" w:rsidP="00000000" w:rsidRDefault="00000000" w:rsidRPr="00000000" w14:paraId="00000014">
      <w:pPr>
        <w:spacing w:line="240" w:lineRule="auto"/>
        <w:jc w:val="both"/>
        <w:rPr/>
      </w:pPr>
      <w:r w:rsidDel="00000000" w:rsidR="00000000" w:rsidRPr="00000000">
        <w:rPr>
          <w:rtl w:val="0"/>
        </w:rPr>
        <w:t xml:space="preserve">Currently, the meter serving the Longhouse and Education Center is billed under a PSE Schedule 24 rate, with flat energy usage charges (per kWh) and no demand charges (peak kW), indicating annual peak loads are under 50 kW.  The transition to an electric boiler or hydronic heat pump will increase electricity usage and peak demand appreciably, potentially moving the electricity service into a Schedule 25 rate, where both energy usage and peak demand is charged monthly. This has technology implications, as Schedule 24 incentivizes behind-the-meter solar, whereas Schedule 25 potentially incentivizes behind-the-meter solar and battery energy storage. We discuss this in greater detail in the Economic Scope section.</w:t>
      </w:r>
    </w:p>
    <w:p w:rsidR="00000000" w:rsidDel="00000000" w:rsidP="00000000" w:rsidRDefault="00000000" w:rsidRPr="00000000" w14:paraId="00000015">
      <w:pPr>
        <w:spacing w:line="240" w:lineRule="auto"/>
        <w:jc w:val="both"/>
        <w:rPr>
          <w:i w:val="1"/>
          <w:iCs w:val="1"/>
        </w:rPr>
      </w:pPr>
      <w:r w:rsidDel="00000000" w:rsidR="00000000" w:rsidRPr="00000000">
        <w:rPr>
          <w:rtl w:val="0"/>
        </w:rPr>
      </w:r>
    </w:p>
    <w:p w:rsidR="00000000" w:rsidDel="00000000" w:rsidP="00000000" w:rsidRDefault="00000000" w:rsidRPr="00000000" w14:paraId="00000016">
      <w:pPr>
        <w:spacing w:line="240" w:lineRule="auto"/>
        <w:jc w:val="both"/>
        <w:rPr/>
      </w:pPr>
      <w:r w:rsidDel="00000000" w:rsidR="00000000" w:rsidRPr="00000000">
        <w:rPr>
          <w:i w:val="1"/>
          <w:iCs w:val="1"/>
          <w:rtl w:val="0"/>
        </w:rPr>
        <w:t xml:space="preserve">Survey study of whole campus decarbonization and approach for electric bill reduction.</w:t>
      </w:r>
      <w:r w:rsidDel="00000000" w:rsidR="00000000" w:rsidRPr="00000000">
        <w:rPr>
          <w:rtl w:val="0"/>
        </w:rPr>
        <w:t xml:space="preserve"> </w:t>
      </w:r>
      <w:r w:rsidDel="00000000" w:rsidR="00000000" w:rsidRPr="00000000">
        <w:rPr>
          <w:rtl w:val="0"/>
        </w:rPr>
        <w:t xml:space="preserve">With estimated propane use across campus, it is straightforward to estimate the emission reductions and increased electrical demand in each building when propane heating and domestic hot water is replaced by an efficient air-sourced heat pump system. This efficient electric decarbonization strategy will likely save money overall, compared to propane purchases, but it will significantly increase electricity bills. Increased electricity usage and demand can be offset by solar energy production. Thus, the report will also survey the solar potential of various buildings on campus to see how much of the decarbonization load growth can be offset by roof top solar.  Additionally, the SolArk battery energy storage system (BESS) installed at the clinic is expected to receive software upgrades for participation in the “Flex” program offered by PSE. Flex can generate revenue, but at the potential cost of the additional degradation caused by more frequent charge/discharge cycles.  In the Economic Scope section, we describe software tools and approaches for evaluating the hour-by-hour performance of the technologies described here and the quantification of economic benefits under various incentive structures.</w:t>
      </w:r>
    </w:p>
    <w:p w:rsidR="00000000" w:rsidDel="00000000" w:rsidP="00000000" w:rsidRDefault="00000000" w:rsidRPr="00000000" w14:paraId="00000017">
      <w:pPr>
        <w:jc w:val="both"/>
        <w:rPr>
          <w:b w:val="1"/>
          <w:bCs w:val="1"/>
        </w:rPr>
      </w:pPr>
      <w:r w:rsidDel="00000000" w:rsidR="00000000" w:rsidRPr="00000000">
        <w:rPr>
          <w:rtl w:val="0"/>
        </w:rPr>
      </w:r>
    </w:p>
    <w:p w:rsidR="00000000" w:rsidDel="00000000" w:rsidP="00000000" w:rsidRDefault="00000000" w:rsidRPr="00000000" w14:paraId="00000018">
      <w:pPr>
        <w:spacing w:line="240" w:lineRule="auto"/>
        <w:jc w:val="both"/>
        <w:rPr>
          <w:b w:val="1"/>
          <w:bCs w:val="1"/>
        </w:rPr>
      </w:pPr>
      <w:r w:rsidDel="00000000" w:rsidR="00000000" w:rsidRPr="00000000">
        <w:rPr>
          <w:b w:val="1"/>
          <w:bCs w:val="1"/>
          <w:rtl w:val="0"/>
        </w:rPr>
        <w:t xml:space="preserve">Economic Scope</w:t>
      </w:r>
    </w:p>
    <w:p w:rsidR="00000000" w:rsidDel="00000000" w:rsidP="00000000" w:rsidRDefault="00000000" w:rsidRPr="00000000" w14:paraId="00000019">
      <w:pPr>
        <w:spacing w:line="240" w:lineRule="auto"/>
        <w:jc w:val="both"/>
        <w:rPr/>
      </w:pPr>
      <w:r w:rsidDel="00000000" w:rsidR="00000000" w:rsidRPr="00000000">
        <w:rPr>
          <w:i w:val="1"/>
          <w:iCs w:val="1"/>
          <w:rtl w:val="0"/>
        </w:rPr>
        <w:t xml:space="preserve">Economic modeling for Electrified Education Center and Longhouse. </w:t>
      </w:r>
      <w:r w:rsidDel="00000000" w:rsidR="00000000" w:rsidRPr="00000000">
        <w:rPr>
          <w:rtl w:val="0"/>
        </w:rPr>
        <w:t xml:space="preserve">As noted, the Education Center and Longhouse currently opera</w:t>
      </w:r>
      <w:r w:rsidDel="00000000" w:rsidR="00000000" w:rsidRPr="00000000">
        <w:rPr>
          <w:rtl w:val="0"/>
        </w:rPr>
        <w:t xml:space="preserve">te under Schedule 24 rates, but are likely to move into Schedule 25 rates when the heating system is fully electric. Under Schedule 25, electricity is charged based on energy usage ($/kWh) and peak demand each month ($/peak kW). Depending on our hourly estimates for metered load profile of the future electrified Longhouse and Education Center, one must do a full economic optimization over the 8760 hours of a year to determine the likelihood of moving to Schedule 25, and if so, the value of adding a battery energy storage system to lower building peak loads and save on bills. Adding solar on the Longhouse is not deemed feasible owing to structural concerns, but we will also consider solar additions behind the meter on the Early Childhood Center, using both Net Metering and Net Billing economic models in our optimizations, since the PGST has examples of both billing structures.</w:t>
      </w:r>
    </w:p>
    <w:p w:rsidR="00000000" w:rsidDel="00000000" w:rsidP="00000000" w:rsidRDefault="00000000" w:rsidRPr="00000000" w14:paraId="0000001A">
      <w:pPr>
        <w:spacing w:line="240" w:lineRule="auto"/>
        <w:jc w:val="both"/>
        <w:rPr/>
      </w:pPr>
      <w:r w:rsidDel="00000000" w:rsidR="00000000" w:rsidRPr="00000000">
        <w:rPr>
          <w:rtl w:val="0"/>
        </w:rPr>
      </w:r>
    </w:p>
    <w:p w:rsidR="00000000" w:rsidDel="00000000" w:rsidP="00000000" w:rsidRDefault="00000000" w:rsidRPr="00000000" w14:paraId="0000001B">
      <w:pPr>
        <w:spacing w:line="240" w:lineRule="auto"/>
        <w:jc w:val="both"/>
        <w:rPr/>
      </w:pPr>
      <w:r w:rsidDel="00000000" w:rsidR="00000000" w:rsidRPr="00000000">
        <w:rPr>
          <w:rtl w:val="0"/>
        </w:rPr>
        <w:t xml:space="preserve">REopt software will be used to run economic scenarios for our estimated hourly building loads under the electric boiler and hydronic heat pump scenarios vs. the “Business as Usual” (BAU) case of the propane boiler operations. Appropriate rate schedules will be used based on the additional electric load for each case. For any potential Schedule 25 rates, we will also consider optimization with or without a BESS. For each BAU or electrified scenario, the expected first year and 10 year NPV operating costs will be estimated assuming electricity cost escalation of 6% per annum and future-fund discounting at an inflation rate of 2.5%. </w:t>
      </w:r>
    </w:p>
    <w:p w:rsidR="00000000" w:rsidDel="00000000" w:rsidP="00000000" w:rsidRDefault="00000000" w:rsidRPr="00000000" w14:paraId="0000001C">
      <w:pPr>
        <w:spacing w:line="240" w:lineRule="auto"/>
        <w:jc w:val="both"/>
        <w:rPr>
          <w:i w:val="1"/>
          <w:iCs w:val="1"/>
        </w:rPr>
      </w:pPr>
      <w:r w:rsidDel="00000000" w:rsidR="00000000" w:rsidRPr="00000000">
        <w:rPr>
          <w:rtl w:val="0"/>
        </w:rPr>
      </w:r>
    </w:p>
    <w:p w:rsidR="00000000" w:rsidDel="00000000" w:rsidP="00000000" w:rsidRDefault="00000000" w:rsidRPr="00000000" w14:paraId="0000001D">
      <w:pPr>
        <w:spacing w:line="240" w:lineRule="auto"/>
        <w:jc w:val="both"/>
        <w:rPr>
          <w:b w:val="1"/>
          <w:bCs w:val="1"/>
        </w:rPr>
      </w:pPr>
      <w:r w:rsidDel="00000000" w:rsidR="00000000" w:rsidRPr="00000000">
        <w:rPr>
          <w:i w:val="1"/>
          <w:iCs w:val="1"/>
          <w:rtl w:val="0"/>
        </w:rPr>
        <w:t xml:space="preserve">Costs and Benefits of Enrolling in PSE Flex. </w:t>
      </w:r>
      <w:r w:rsidDel="00000000" w:rsidR="00000000" w:rsidRPr="00000000">
        <w:rPr>
          <w:rtl w:val="0"/>
        </w:rPr>
        <w:t xml:space="preserve">As noted, the existing BESS system at the clinic is expected to be eligible to participate in the PSE Flex Battery program, as would any storage associated with demand management for the Education Center and Longhouse if operating under Schedule 25, possibly stacking value on a BESS system. Flex Battery offers a one-time flat-rate rebate $0.75 per kWh of storage enrolled in the program (max $1,000), plus a payment of $0.50/kWh delivered during as many as 100 “Flex Events” (max $500 per year). “Flex Events” are coordinated by Uplight to serve as a Virtual Power Plant (VPP) that can be activated at a fixed $0.50/kWh price during periods when the real-time wholesale settlement price is higher.  The UW team will use historic real-time pricing data from the PNW to identify how many hours per year the price exceeds $0.50/kWh to develop a REopt-compatible pricing signal for estimating Flex events. The impact of Flex on the degradation rate of battery assets will be computed to estimate the 10 year NPV associated with enrolling in Flex.  Flex modeling will be guided by Dr. Bosong Li, Senior Power Systems Scientist at the Washington Clean Energy Testbeds.</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center"/>
      <w:rPr>
        <w:b w:val="1"/>
        <w:bCs w:val="1"/>
        <w:sz w:val="28"/>
        <w:szCs w:val="28"/>
      </w:rPr>
    </w:pPr>
    <w:r w:rsidDel="00000000" w:rsidR="00000000" w:rsidRPr="00000000">
      <w:rPr>
        <w:b w:val="1"/>
        <w:bCs w:val="1"/>
        <w:sz w:val="28"/>
        <w:szCs w:val="28"/>
        <w:rtl w:val="0"/>
      </w:rPr>
      <w:t xml:space="preserve">Design Statement</w:t>
    </w:r>
  </w:p>
  <w:p w:rsidR="00000000" w:rsidDel="00000000" w:rsidP="00000000" w:rsidRDefault="00000000" w:rsidRPr="00000000" w14:paraId="00000021">
    <w:pPr>
      <w:jc w:val="center"/>
      <w:rPr>
        <w:b w:val="1"/>
        <w:bCs w:val="1"/>
        <w:sz w:val="28"/>
        <w:szCs w:val="28"/>
      </w:rPr>
    </w:pPr>
    <w:r w:rsidDel="00000000" w:rsidR="00000000" w:rsidRPr="00000000">
      <w:rPr>
        <w:b w:val="1"/>
        <w:bCs w:val="1"/>
        <w:sz w:val="28"/>
        <w:szCs w:val="28"/>
        <w:rtl w:val="0"/>
      </w:rPr>
      <w:t xml:space="preserve">Decarbonizing the Port Gamble S’Klallam Tribe</w:t>
    </w:r>
  </w:p>
  <w:p w:rsidR="00000000" w:rsidDel="00000000" w:rsidP="00000000" w:rsidRDefault="00000000" w:rsidRPr="00000000" w14:paraId="00000022">
    <w:pPr>
      <w:jc w:val="center"/>
      <w:rPr/>
    </w:pPr>
    <w:r w:rsidDel="00000000" w:rsidR="00000000" w:rsidRPr="00000000">
      <w:rPr>
        <w:b w:val="1"/>
        <w:bCs w:val="1"/>
        <w:sz w:val="28"/>
        <w:szCs w:val="28"/>
        <w:rtl w:val="0"/>
      </w:rPr>
      <w:t xml:space="preserve">April 13th,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