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2/27 Meeting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Scheduling and planning</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Meet Friday March 13th, see if we are on the same page for our design statement, make sure we are all in agreement on it. Figure out scope of design.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We’ll take two weeks (finals and spring break) off. We will all reconvene with Dr. Schwartz the first two weeks of April (Rachel is out of office - back on 4/17).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Working Assumptions</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No feedback on this - assuming we are good on most of these?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Updated Regression Results</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Schwartz says typically, the second biggest use of propane is DHW so the high blue line is not necessarily unexpected.</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If we know ratings of hot water heaters, that would be the second thing to look at. </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He loves that we are doing a sanity check, but notes that DHW is probably significant (especially in the Early Childhood Center). Rachel agrees.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Also possible that Gym is using propane very sporadically.</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Schwartz says we are doing pretty well with the estimates based on the level of metering we have. Hot water is happening year round, heating is seasonal.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Heating Load Profile</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Schwartz says our 800,000 Btus/hr is definitely higher rated than the one boiler we looked at, but if it is for the whole site heating he can see where we get this number. </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HVAC would design to about a 10 degree Fahrenheit low about once a year in Seattle.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Stoves/DHW Load Profile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Similar profile for non-heating propane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We split the entire load so it is five days a week, spikes for meals. 8am, noon, 5pm. </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Rachel says no dinner spike</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Could put in things like heat pump, hot water heater, measure impact on electricity loads and carbon savings. Schwartz likes this setup.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DHW would be the first thing to switch </w:t>
      </w:r>
      <w:r w:rsidDel="00000000" w:rsidR="00000000" w:rsidRPr="00000000">
        <w:rPr>
          <w:rtl w:val="0"/>
        </w:rPr>
        <w:t xml:space="preserve">to hot</w:t>
      </w:r>
      <w:r w:rsidDel="00000000" w:rsidR="00000000" w:rsidRPr="00000000">
        <w:rPr>
          <w:rtl w:val="0"/>
        </w:rPr>
        <w:t xml:space="preserve"> water heater.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Early Childhood Center</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Primarily south facing will be our focus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Shading of roof in photo shown here</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Project Sunroof would be really useful, would help with shading if we could use it</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Can put a bracket on PV Watts - probably a small variation, use range for uncertainty. Always a challenge with design is thinking through which pieces really matter. </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Should be able to show the effect this has without needing more images, just show the uncertainty through ranges.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Roof shading will have an effect here.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Review these roofs on team meeting - S2 looks great, would be where we want to start.</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Rachel says E1 would also be good to look into, or W1</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This is detailed design stuff that can go into next quarter.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Unlikely to make one side of the roof a different tilt than the other. We’ll probably have one common angle here - need to figure out what would be a typical value because the roof is probably symmetric at one angle. </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See if Project Sunroof has info off-reservation, figure out if they just don’t cover any of the surrounding area or if it is just the reservation.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Solar Energy Credit</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Rachel says this $0.067/kWh is what they get theoretically, but since building running constantly, they essentially never export</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Would probably have to oversize PV system to make net billing worthwhile</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Year-round, load vs. what solar system produced, not a good reason for net billing</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Rachel says there isn’t a rate schedule, but they don’t have an updated net metering/net billing rate schedule approved. </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From Rachel: </w:t>
      </w:r>
      <w:hyperlink r:id="rId6">
        <w:r w:rsidDel="00000000" w:rsidR="00000000" w:rsidRPr="00000000">
          <w:rPr>
            <w:color w:val="1155cc"/>
            <w:u w:val="single"/>
            <w:rtl w:val="0"/>
          </w:rPr>
          <w:t xml:space="preserve">https://irp.cdn-website.com/dc0dca78/files/uploaded/2025-0915-EAG-DEA_Presentation.pdf</w:t>
        </w:r>
      </w:hyperlink>
      <w:r w:rsidDel="00000000" w:rsidR="00000000" w:rsidRPr="00000000">
        <w:rPr>
          <w:rtl w:val="0"/>
        </w:rPr>
      </w:r>
    </w:p>
    <w:p w:rsidR="00000000" w:rsidDel="00000000" w:rsidP="00000000" w:rsidRDefault="00000000" w:rsidRPr="00000000" w14:paraId="0000002F">
      <w:pPr>
        <w:numPr>
          <w:ilvl w:val="1"/>
          <w:numId w:val="7"/>
        </w:numPr>
        <w:ind w:left="1440" w:hanging="360"/>
        <w:rPr>
          <w:u w:val="none"/>
        </w:rPr>
      </w:pPr>
      <w:r w:rsidDel="00000000" w:rsidR="00000000" w:rsidRPr="00000000">
        <w:rPr>
          <w:rtl w:val="0"/>
        </w:rPr>
        <w:t xml:space="preserve">UTC required PSE to do a distribution equity analysis. They did not mention net metering ending, so Rachel says we can probably anticipate it continuing for now. </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A big variable is the economic model that they are going to continue with so it is valuable to show clearly articulated alternative models.  </w:t>
      </w:r>
      <w:r w:rsidDel="00000000" w:rsidR="00000000" w:rsidRPr="00000000">
        <w:rPr>
          <w:rtl w:val="0"/>
        </w:rPr>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In the design statement, we can say we’ll shoot for different models and show capital costs. Show incremental benefits on each dimension. Under different economic assumptions, see what happens with net billing and net metering. Put into the design statement what the different economic models look like, decision-making about how big of a grant and how big of a PV installation to make for this. </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Keep in mind the possibility of the flex program with a battery, may also add resiliency potential to this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rp.cdn-website.com/dc0dca78/files/uploaded/2025-0915-EAG-DEA_Presen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