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5/15 Meeting Notes</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McKinstry interview stuff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Ahh sorry guys, I was really scatter-brained today. These aren’t the best notes (especially the ones for the first meeting) so feel free to replace if anyone happens to look at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Campus Wide Survey </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Building (missed which one she mentioned) used to be separated from the others, but was built in to connect with them later</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Remove buildings that say “none” to declutter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REopt scenarios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Cumulative savings over 10 years - tells us if there was no capital cost, we would have the equivalent of $20,000 of value on Day 1 (discounted value)</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Valuable because these projects see that we are making up a lot of numbers for capital costs of equipment. Breakeven numbers go all over the place. </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This team has found a lot of great numbers from federal sources, building installations in 2022 - avg. boiler, heating distribution, etc. </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Huge gap between capital cost numbers we could find</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NPV runs</w:t>
      </w:r>
    </w:p>
    <w:p w:rsidR="00000000" w:rsidDel="00000000" w:rsidP="00000000" w:rsidRDefault="00000000" w:rsidRPr="00000000" w14:paraId="00000010">
      <w:pPr>
        <w:numPr>
          <w:ilvl w:val="1"/>
          <w:numId w:val="4"/>
        </w:numPr>
        <w:ind w:left="1440" w:hanging="360"/>
        <w:rPr>
          <w:u w:val="none"/>
        </w:rPr>
      </w:pPr>
      <w:r w:rsidDel="00000000" w:rsidR="00000000" w:rsidRPr="00000000">
        <w:rPr>
          <w:rtl w:val="0"/>
        </w:rPr>
        <w:t xml:space="preserve">Zeroing out capital - how much are savings? Will tell us whether or not gap in numbers will pay back</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If gap in prices for two technologies - makes it easier to evaluate</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Useful for grant-finding people as well </w:t>
      </w:r>
    </w:p>
    <w:p w:rsidR="00000000" w:rsidDel="00000000" w:rsidP="00000000" w:rsidRDefault="00000000" w:rsidRPr="00000000" w14:paraId="00000013">
      <w:pPr>
        <w:rPr/>
      </w:pPr>
      <w:r w:rsidDel="00000000" w:rsidR="00000000" w:rsidRPr="00000000">
        <w:rPr>
          <w:rtl w:val="0"/>
        </w:rPr>
        <w:br w:type="textWrapping"/>
        <w:t xml:space="preserve">Key findings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Not a ton of feedback on this, sounds like she liked these slides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Talk with Schwartz and Bosong after presenting</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This is a more realistic work environment - some guidance from Schwartz, but lots to explore on our own</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Bosong notices we tend to organize chronologically - want to make sure we structure in a way that makes sense for what we want to convey</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Can use structuring of design statement when we discuss things - observational content first, what we saw at the site, then process and conclusions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We can also do things in report and then cut back afterward</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Ultimately, we need to make a brief report - it can’t be long or the client won’t read the main body. </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Discuss main options, organize well in describing our metrics. We will end up with lots of simulations by the time we are done, don’t discuss all of them but we can lay out in Appendices with different options we also explored that are not discussed in report </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Note things they can do - apply for net metering! </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Flex question for Bosong </w:t>
      </w:r>
    </w:p>
    <w:p w:rsidR="00000000" w:rsidDel="00000000" w:rsidP="00000000" w:rsidRDefault="00000000" w:rsidRPr="00000000" w14:paraId="0000001F">
      <w:pPr>
        <w:numPr>
          <w:ilvl w:val="1"/>
          <w:numId w:val="5"/>
        </w:numPr>
        <w:ind w:left="1440" w:hanging="360"/>
        <w:rPr>
          <w:u w:val="none"/>
        </w:rPr>
      </w:pPr>
      <w:r w:rsidDel="00000000" w:rsidR="00000000" w:rsidRPr="00000000">
        <w:rPr>
          <w:rtl w:val="0"/>
        </w:rPr>
        <w:t xml:space="preserve">Flex not a good idea right now</w:t>
      </w: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Part 2 (second meeting)</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Battery too expensive for optimization to size anything - automatically pushes it to zero</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Demand charge is based on the peak amount (50 kW or above)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If battery could prevent it from reaching peak usage, would save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Don’t want to limit battery - no minimum, get rid of forced capacity.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For sensitivity analysis, the way REopt sets the cost, even though it says kW and kWh costs, the fixed cost can be neglected (wouldn’t change too much)</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When you read menu - cost per kW and kWh relationship is about duration of battery</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Would want to fix a duration of the battery instead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Cannot do sensitivity analysis of two parameters - only one</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If we only have duration of battery, shift cost/kWh instead</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Also try to change power cost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Part of value of zero capital cost version - have a metric around where price has to be for system to make economically viable</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This gives us a “you are here” anchor point for cost of technology</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This all comes down to: “does she effectively get a free battery?”</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Battery for net billing: instead of sending extra solar back - using battery to replace utility purchase. Opportunity cost ($0.05 or $0.06/kWh loss during charging and discharging) - just enough money to consider a reasonable battery system cost</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So free battery good, not free is not really beneficial</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Figuring out how optimization works - can always schedule separate sessions to discuss with Bosong</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Not great battery savings under net metering</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$11,000 for high efficiency, $600 over net metering 10 year (almost nothing)</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200 kWh battery for electric boiler - still have residential cost structure for larger battery? </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200 kWh similar to the system we saw - two 60 kWh batteries on a pad. Would have been a forklift and would have been a pad involved. </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Still not a MWh scale, but not tiny scale either</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Battery has negative savings - not worth spending too much time on this, making cost estimates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Battery to turn down peak demand - would it still be Sch 25? Sch 24 is cheaper - a question Schwartz has wondered about, but we could know by looking at output dispatch to see if kept in Schedule 24 domain. </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Even 1 hour of previous year that exceeds 50 kW load it would push into Sch 25. </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Peak Mick was looking at was extended, probably wouldn’t get it under 50 kW. Maybe could try to find one that can get just under. </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May be in range where 4 hour battery pushes you down to under 50 kW ASHP</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Minimum size battery to keep under 50 kW for each scenario?? (maybe pick 45 to leave buffer)</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Can tell if we look at duration curve of optimized solution. Should have flat line at 50, not tail above 50 kW.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