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5/29 Meeting Notes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Video</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Prof Rorrer pushing people to be creative in video</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If ours is uninteresting, it won’t get played</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Make it a cool video if we have the bandwidth</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We want to focus on client, so Schwartz downplays the video aspect of this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Accreditation reviewer</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ChemE that has taught design for years and years. Wants to know what ChemE is in these projects? How did heat transfer/thermo come into play in this.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E.g., used ChemE heat transfer experience to resize fan coil units for LT- and HT-ASHPs. </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Put in 2 or 3 or 4 sentences mentioning ChemE terms mentioning dynamics and economics. Using engineering economics, ,we used heat transfer to understand how to scale up the fan coil units when we replaced the boiler with lower temperature water loop from a heat pump. Much higher efficiency but lower temperature ASHP compared to hydronic boiler.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Compared these options on financial basis using engineering economics and NPVs. </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One of the things that is interesting with these projects is not just economic and environmental, but also the social constraints. Our first couple sentences are about social aspect.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Other things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“These three concepts set boundaries on the design that we were considering to achieve the community goals” - make small tweaks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Backdrop could be a series of pictures. </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Schematic of the two loops? Illustrate technical infrastructure before and after. </w:t>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Label energy resource on that</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Marion doing this </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Could have site visit images and then also discuss design as 10 seconds of diagram of design. 5-10 seconds, introductory slide, rotating slide, etc.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