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53F32EB3" w:rsidR="009303D9" w:rsidRDefault="002C73CB" w:rsidP="006347CF">
      <w:pPr>
        <w:pStyle w:val="papertitle"/>
        <w:spacing w:before="100" w:beforeAutospacing="1" w:after="100" w:afterAutospacing="1"/>
      </w:pPr>
      <w:r>
        <w:t xml:space="preserve">Modelling </w:t>
      </w:r>
      <w:r w:rsidRPr="00D91EE8">
        <w:rPr>
          <w:rFonts w:eastAsiaTheme="majorEastAsia"/>
          <w:sz w:val="44"/>
          <w:szCs w:val="44"/>
        </w:rPr>
        <w:t xml:space="preserve">The </w:t>
      </w:r>
      <w:r>
        <w:rPr>
          <w:rFonts w:eastAsiaTheme="majorEastAsia"/>
          <w:sz w:val="44"/>
          <w:szCs w:val="44"/>
        </w:rPr>
        <w:t>Economics</w:t>
      </w:r>
      <w:r w:rsidRPr="00D91EE8">
        <w:rPr>
          <w:rFonts w:eastAsiaTheme="majorEastAsia"/>
          <w:sz w:val="44"/>
          <w:szCs w:val="44"/>
        </w:rPr>
        <w:t xml:space="preserve"> of Large-Scale Nuclear in The Alberta Electricity Market</w:t>
      </w:r>
    </w:p>
    <w:p w14:paraId="6D735D00" w14:textId="77777777" w:rsidR="00D7522C" w:rsidRPr="00CA4392" w:rsidRDefault="00D7522C" w:rsidP="000C43C9">
      <w:pPr>
        <w:pStyle w:val="Author"/>
        <w:spacing w:before="100" w:beforeAutospacing="1" w:after="100" w:afterAutospacing="1" w:line="120" w:lineRule="auto"/>
        <w:jc w:val="both"/>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079DCF0E" w14:textId="2C3C5612" w:rsidR="00CA4392" w:rsidRDefault="000C43C9" w:rsidP="000C43C9">
      <w:pPr>
        <w:pStyle w:val="Author"/>
        <w:spacing w:before="100" w:beforeAutospacing="1"/>
        <w:contextualSpacing/>
        <w:rPr>
          <w:sz w:val="18"/>
          <w:szCs w:val="18"/>
        </w:rPr>
      </w:pPr>
      <w:r>
        <w:rPr>
          <w:sz w:val="18"/>
          <w:szCs w:val="18"/>
        </w:rPr>
        <w:t>Michael Edmunds</w:t>
      </w:r>
    </w:p>
    <w:p w14:paraId="2D8F521F" w14:textId="2E85C17C" w:rsidR="000C43C9" w:rsidRPr="000C43C9" w:rsidRDefault="000C43C9" w:rsidP="000C43C9">
      <w:pPr>
        <w:pStyle w:val="Author"/>
        <w:spacing w:before="100" w:beforeAutospacing="1"/>
        <w:contextualSpacing/>
        <w:rPr>
          <w:i/>
          <w:iCs/>
          <w:sz w:val="18"/>
          <w:szCs w:val="18"/>
        </w:rPr>
      </w:pPr>
      <w:r w:rsidRPr="000C43C9">
        <w:rPr>
          <w:i/>
          <w:iCs/>
          <w:sz w:val="18"/>
          <w:szCs w:val="18"/>
        </w:rPr>
        <w:t>Faculty of Natural Science.</w:t>
      </w:r>
    </w:p>
    <w:p w14:paraId="64446296" w14:textId="6B7D27C3" w:rsidR="000C43C9" w:rsidRPr="000C43C9" w:rsidRDefault="000C43C9" w:rsidP="000C43C9">
      <w:pPr>
        <w:pStyle w:val="Author"/>
        <w:spacing w:before="100" w:beforeAutospacing="1"/>
        <w:contextualSpacing/>
        <w:rPr>
          <w:i/>
          <w:iCs/>
          <w:sz w:val="18"/>
          <w:szCs w:val="18"/>
        </w:rPr>
      </w:pPr>
      <w:r w:rsidRPr="000C43C9">
        <w:rPr>
          <w:i/>
          <w:iCs/>
          <w:sz w:val="18"/>
          <w:szCs w:val="18"/>
        </w:rPr>
        <w:t>University of Calgary</w:t>
      </w:r>
    </w:p>
    <w:p w14:paraId="1FFE41C9" w14:textId="6E793388" w:rsidR="000C43C9" w:rsidRDefault="000C43C9" w:rsidP="000C43C9">
      <w:pPr>
        <w:pStyle w:val="Author"/>
        <w:spacing w:before="100" w:beforeAutospacing="1"/>
        <w:contextualSpacing/>
        <w:rPr>
          <w:sz w:val="18"/>
          <w:szCs w:val="18"/>
        </w:rPr>
      </w:pPr>
      <w:r>
        <w:rPr>
          <w:sz w:val="18"/>
          <w:szCs w:val="18"/>
        </w:rPr>
        <w:t>Calgary, Canada</w:t>
      </w:r>
    </w:p>
    <w:p w14:paraId="2AAC31C6" w14:textId="62A2BF47" w:rsidR="000C43C9" w:rsidRDefault="00E13CF7" w:rsidP="000C43C9">
      <w:pPr>
        <w:pStyle w:val="Author"/>
        <w:spacing w:before="100" w:beforeAutospacing="1" w:after="0"/>
        <w:contextualSpacing/>
        <w:rPr>
          <w:sz w:val="18"/>
          <w:szCs w:val="18"/>
        </w:rPr>
      </w:pPr>
      <w:r>
        <w:rPr>
          <w:sz w:val="18"/>
          <w:szCs w:val="18"/>
        </w:rPr>
        <w:t>m</w:t>
      </w:r>
      <w:r w:rsidR="000C43C9">
        <w:rPr>
          <w:sz w:val="18"/>
          <w:szCs w:val="18"/>
        </w:rPr>
        <w:t>ichael.edmunds@ucalgary.ca</w:t>
      </w:r>
    </w:p>
    <w:p w14:paraId="4BFA336A" w14:textId="77777777" w:rsidR="006347CF" w:rsidRDefault="006347CF" w:rsidP="00CA4392">
      <w:pPr>
        <w:pStyle w:val="Author"/>
        <w:spacing w:before="100" w:beforeAutospacing="1"/>
        <w:jc w:val="both"/>
        <w:rPr>
          <w:sz w:val="16"/>
          <w:szCs w:val="16"/>
        </w:rPr>
      </w:pPr>
    </w:p>
    <w:p w14:paraId="58935029" w14:textId="77777777" w:rsidR="000C43C9" w:rsidRPr="00F847A6" w:rsidRDefault="000C43C9" w:rsidP="00CA4392">
      <w:pPr>
        <w:pStyle w:val="Author"/>
        <w:spacing w:before="100" w:beforeAutospacing="1"/>
        <w:jc w:val="both"/>
        <w:rPr>
          <w:sz w:val="16"/>
          <w:szCs w:val="16"/>
        </w:rPr>
        <w:sectPr w:rsidR="000C43C9" w:rsidRPr="00F847A6" w:rsidSect="000C43C9">
          <w:type w:val="continuous"/>
          <w:pgSz w:w="12240" w:h="15840" w:code="1"/>
          <w:pgMar w:top="1080" w:right="893" w:bottom="1440" w:left="893" w:header="720" w:footer="720" w:gutter="0"/>
          <w:cols w:space="720"/>
          <w:docGrid w:linePitch="360"/>
        </w:sectPr>
      </w:pPr>
    </w:p>
    <w:p w14:paraId="267708E4" w14:textId="5CA98E02" w:rsidR="004D72B5" w:rsidRDefault="00633CF5" w:rsidP="00972203">
      <w:pPr>
        <w:pStyle w:val="Abstract"/>
        <w:rPr>
          <w:i/>
          <w:iCs/>
        </w:rPr>
      </w:pPr>
      <w:r>
        <w:rPr>
          <w:i/>
          <w:iCs/>
        </w:rPr>
        <w:t>Abstract</w:t>
      </w:r>
      <w:r>
        <w:t>—</w:t>
      </w:r>
      <w:r w:rsidR="000C43C9" w:rsidRPr="00633CF5">
        <w:t xml:space="preserve">Alberta's deregulated, energy-only electricity market presents significant barriers to nuclear power integration. Dominated by low-cost natural gas, the province offers no capacity market or long-term revenue </w:t>
      </w:r>
      <w:proofErr w:type="gramStart"/>
      <w:r w:rsidR="000C43C9" w:rsidRPr="00633CF5">
        <w:t>certainty</w:t>
      </w:r>
      <w:proofErr w:type="gramEnd"/>
      <w:r w:rsidR="000C43C9" w:rsidRPr="00633CF5">
        <w:t xml:space="preserve"> to offset high upfront capital costs and lengthy development timelines. This paper develops a model to evaluate the long-run economic competitiveness of a large-scale nuclear plant in the Alberta electricity market, calibrated to Alberta Electric System Operator (AESO) 2024 market statistics. Results reveal that under the current system, nuclear and gas are economic complements rather than competitors. Alberta's pool price setting technology is almost entirely gas-fired generators, which causes nuclear revenues to rise with an increase in the cost of gas units, but without incurring an increase in fuel costs. Taken with </w:t>
      </w:r>
      <w:proofErr w:type="spellStart"/>
      <w:r w:rsidR="000C43C9" w:rsidRPr="00633CF5">
        <w:t>nuclear’s</w:t>
      </w:r>
      <w:proofErr w:type="spellEnd"/>
      <w:r w:rsidR="000C43C9" w:rsidRPr="00633CF5">
        <w:t xml:space="preserve"> </w:t>
      </w:r>
      <w:proofErr w:type="gramStart"/>
      <w:r w:rsidR="000C43C9" w:rsidRPr="00633CF5">
        <w:t>high capacity</w:t>
      </w:r>
      <w:proofErr w:type="gramEnd"/>
      <w:r w:rsidR="000C43C9" w:rsidRPr="00633CF5">
        <w:t xml:space="preserve"> factor, nuclear cashflows are significantly more sensitive to the gas price than Combined Cycle Gas Turbine (CCGT) alternatives, meaning a high-gas-price environment and stringent market-based carbon regulations are prerequisites for nuclear viability in a competitive open market. Generally accepted cost assumptions for large-scale nuclear builds don’t result in positive NPVs without significantly elevated gas and electricity prices.</w:t>
      </w:r>
      <w:r w:rsidR="001A42EA" w:rsidRPr="00633CF5">
        <w:t xml:space="preserve"> </w:t>
      </w:r>
    </w:p>
    <w:p w14:paraId="3F9CDE0E" w14:textId="60D639C0" w:rsidR="009303D9" w:rsidRPr="004D72B5" w:rsidRDefault="00633CF5" w:rsidP="00972203">
      <w:pPr>
        <w:pStyle w:val="Keywords"/>
      </w:pPr>
      <w:r w:rsidRPr="004D72B5">
        <w:t>Keywords—</w:t>
      </w:r>
      <w:r w:rsidR="000C43C9" w:rsidRPr="00633CF5">
        <w:rPr>
          <w:i w:val="0"/>
          <w:iCs/>
        </w:rPr>
        <w:t>Deregulated, electricity markets, large-scale nuclear, Alberta, natural gas</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0B6A19B" w14:textId="77777777" w:rsidR="00633CF5" w:rsidRDefault="00633CF5" w:rsidP="00633CF5">
      <w:pPr>
        <w:pStyle w:val="BodyText"/>
      </w:pPr>
      <w:r>
        <w:t>Alberta boasts some of the highest electricity prices in Canada. Amid rapidly increasing demand for power and clean energy sources, this could in theory make Alberta an excellent candidate for large-scale nuclear power. The volume of only three double-A batteries’ worth of relatively inexpensive uranium fuel can power a household carbon-free for one year, but notably only two Canadian provinces currently have nuclear power. As global discussions about a nuclear build-out intensify, it is crucial to examine how Alberta’s electricity market poses challenges to financing these projects.</w:t>
      </w:r>
    </w:p>
    <w:p w14:paraId="7962719A" w14:textId="77777777" w:rsidR="00633CF5" w:rsidRDefault="00633CF5" w:rsidP="00633CF5">
      <w:pPr>
        <w:pStyle w:val="BodyText"/>
      </w:pPr>
      <w:r>
        <w:t xml:space="preserve">The competitiveness of any power project depends massively on the electricity market that it operates within. Every Canadian province presents a unique landscape for power projects. Existing producers, regional economy, and electricity market systems, are examples of factors that will affect every power project differently. Large-scale nuclear power offers reliable, high-capacity baseload energy that can meet decarbonization objectives. A substantial fraction of Alberta’s electricity mix is comprised of an aging fleet high-carbon intensity gas generation. As market-based carbon policy becomes more constricting, Alberta could benefit substantially from the deployment of low-carbon nuclear reactors, however </w:t>
      </w:r>
      <w:r>
        <w:t xml:space="preserve">the province’s deregulated energy-only electricity market, and the existing mix of power producers, pose significant challenges for the economic competitiveness of nuclear projects. </w:t>
      </w:r>
    </w:p>
    <w:p w14:paraId="50AD06EC" w14:textId="77777777" w:rsidR="00633CF5" w:rsidRDefault="00633CF5" w:rsidP="00633CF5">
      <w:pPr>
        <w:pStyle w:val="BodyText"/>
      </w:pPr>
      <w:r>
        <w:t>Alberta’s energy landscape is dominated by low-cost natural gas produced by a strong regional oil and gas industry that reduces incentive for adoption. High upfront capital costs and lengthy, uncertain development timelines make private financing unattractive to most investors. Furthermore, the status quo market structure and policy clearly result in negative nuclear net present values (NPVs). As nuclear proponents consider projects in Alberta, the economic value of these projects and their performance in the market will be impacted by future economic scenarios and policy change differently than existing producers.</w:t>
      </w:r>
    </w:p>
    <w:p w14:paraId="0DB6F576" w14:textId="18EF795B" w:rsidR="009303D9" w:rsidRPr="005B520E" w:rsidRDefault="00633CF5" w:rsidP="00633CF5">
      <w:pPr>
        <w:pStyle w:val="BodyText"/>
      </w:pPr>
      <w:r>
        <w:t>To meet increasing electricity demand, long-lead nuclear projects are often compared against combined cycle gas turbine (CCGT) power plants, which have significantly smaller construction time and upfront capital cost. Nuclear projects are commonly cited as cost-competitive, owing to low operating expenditures (OPEX), however low-gas prices in recent years have stripped this advantage and increasingly made CCGT the most attractive technology for new power projects. The current electricity mix reflect this: as of 2024, installed capacity in Alberta was dominated by 61% natural gas generation, followed by smaller shares of wind, solar and almost no hydro [11]. However, as base-load electricity demand rises, natural gas prices remain volatile, and Canada looks to decarbonize, it is increasingly important to understand how nuclear energy would perform in Alberta’s electricity market</w:t>
      </w:r>
      <w:r w:rsidR="009303D9" w:rsidRPr="005B520E">
        <w:t>.</w:t>
      </w:r>
    </w:p>
    <w:p w14:paraId="3EF35B8D" w14:textId="626B8EA7" w:rsidR="009303D9" w:rsidRPr="006B6B66" w:rsidRDefault="00633CF5" w:rsidP="006B6B66">
      <w:pPr>
        <w:pStyle w:val="Heading1"/>
      </w:pPr>
      <w:r>
        <w:t>Background</w:t>
      </w:r>
    </w:p>
    <w:p w14:paraId="190C0618" w14:textId="4609499A" w:rsidR="009303D9" w:rsidRDefault="00633CF5" w:rsidP="00ED0149">
      <w:pPr>
        <w:pStyle w:val="Heading2"/>
      </w:pPr>
      <w:r>
        <w:t>Alberta Electricity Market Strucutre</w:t>
      </w:r>
    </w:p>
    <w:p w14:paraId="46230C9C" w14:textId="77777777" w:rsidR="00633CF5" w:rsidRDefault="00633CF5" w:rsidP="00633CF5">
      <w:pPr>
        <w:pStyle w:val="BodyText"/>
      </w:pPr>
      <w:r>
        <w:t xml:space="preserve">The wholesale electricity market in Alberta follows a deregulated and energy-only market (DEOM) structure. Alberta’s deregulated market sets a single pool price in an auction-like process. Power producers place offer bids into the market and are dispatched from the lowest to the highest cost. This process is known as the merit order. The merit order system ranks generators and ensures that that those with the lowest marginal cost serve electricity demand first. Dispatch continues, as increasingly higher cost generation is brought online, until either demand is met, or the offer price exceeds what consumers are willing to pay. It is worth noting that demand for electricity is particularly inelastic among non-industrial consumers that are almost always willing to pay for electricity to meet basic needs. For example, electricity for cooking is non-negotiable for most </w:t>
      </w:r>
      <w:r>
        <w:lastRenderedPageBreak/>
        <w:t>rate payers, so even when the merit order reaches high-cost generation, offers are accepted and the pool price increases.</w:t>
      </w:r>
    </w:p>
    <w:p w14:paraId="49A79623" w14:textId="77777777" w:rsidR="00633CF5" w:rsidRDefault="00633CF5" w:rsidP="00633CF5">
      <w:pPr>
        <w:pStyle w:val="BodyText"/>
      </w:pPr>
      <w:r>
        <w:t>Once demand is met, the price associated with the highest accepted offer in the merit order becomes the clearing price for all generators, regardless of their original bids [16]. For example, if a solar generator bids first at 0$/kWh, and a gas generator bids last, fulfilling demand at $60/kWh, the solar producer still receives $60/kWh for the electricity. In Alberta’s energy-only structure, generators only get paid for electricity that they sell into the market, and no payments are received for capacity [15]. Therefore, power producers will bid at the lowest possible price that allows them to generate profit.</w:t>
      </w:r>
    </w:p>
    <w:p w14:paraId="3D3791E9" w14:textId="365B7828" w:rsidR="00633CF5" w:rsidRDefault="00633CF5" w:rsidP="00633CF5">
      <w:pPr>
        <w:pStyle w:val="BodyText"/>
      </w:pPr>
      <w:r w:rsidRPr="00D91EE8">
        <w:rPr>
          <w:noProof/>
        </w:rPr>
        <w:drawing>
          <wp:anchor distT="0" distB="0" distL="114300" distR="114300" simplePos="0" relativeHeight="251659264" behindDoc="0" locked="0" layoutInCell="1" allowOverlap="1" wp14:anchorId="279D5557" wp14:editId="0FC09814">
            <wp:simplePos x="0" y="0"/>
            <wp:positionH relativeFrom="column">
              <wp:posOffset>18415</wp:posOffset>
            </wp:positionH>
            <wp:positionV relativeFrom="paragraph">
              <wp:posOffset>2214245</wp:posOffset>
            </wp:positionV>
            <wp:extent cx="3063240" cy="1542415"/>
            <wp:effectExtent l="0" t="0" r="0" b="635"/>
            <wp:wrapSquare wrapText="bothSides"/>
            <wp:docPr id="9890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70186" name=""/>
                    <pic:cNvPicPr/>
                  </pic:nvPicPr>
                  <pic:blipFill>
                    <a:blip r:embed="rId9"/>
                    <a:stretch>
                      <a:fillRect/>
                    </a:stretch>
                  </pic:blipFill>
                  <pic:spPr>
                    <a:xfrm>
                      <a:off x="0" y="0"/>
                      <a:ext cx="3063240" cy="1542415"/>
                    </a:xfrm>
                    <a:prstGeom prst="rect">
                      <a:avLst/>
                    </a:prstGeom>
                  </pic:spPr>
                </pic:pic>
              </a:graphicData>
            </a:graphic>
            <wp14:sizeRelH relativeFrom="page">
              <wp14:pctWidth>0</wp14:pctWidth>
            </wp14:sizeRelH>
            <wp14:sizeRelV relativeFrom="page">
              <wp14:pctHeight>0</wp14:pctHeight>
            </wp14:sizeRelV>
          </wp:anchor>
        </w:drawing>
      </w:r>
      <w:r>
        <w:t>In a competitive market, a generator will bid close to their short-run marginal cost of operation. For gas generators, these costs are primarily fuel expenses, variable operating and maintenance (O&amp;M), and emissions expenses (carbon tax). Solar and wind have the lowest marginal costs, bid the lowest, and are therefore first in the merit order. The variety of installed gas generation technologies bid higher due to fuel costs and therefore set the clearing price for everyone. The various types of installed gas-generation technologies set the pool price 89% of the time in 2024 [11]. Because Alberta’s installed capacity is heavily weighted in gas generation, the marginal cost is significantly impacted by the price of natural gas fuel. Therefore, the average Alberta pool price is closely related to that of natural gas, and the annual average pool price varies significantly.</w:t>
      </w:r>
    </w:p>
    <w:p w14:paraId="0DC7758E" w14:textId="5BCF59FB" w:rsidR="0008375C" w:rsidRDefault="0008375C" w:rsidP="00633CF5">
      <w:pPr>
        <w:pStyle w:val="BodyText"/>
        <w:rPr>
          <w:noProof/>
          <w:spacing w:val="0"/>
          <w:sz w:val="16"/>
          <w:szCs w:val="16"/>
          <w:lang w:val="en-US" w:eastAsia="en-US"/>
        </w:rPr>
      </w:pPr>
      <w:r>
        <w:rPr>
          <w:noProof/>
          <w:spacing w:val="0"/>
          <w:sz w:val="16"/>
          <w:szCs w:val="16"/>
          <w:lang w:val="en-US" w:eastAsia="en-US"/>
        </w:rPr>
        <w:t xml:space="preserve">Fig. 1. </w:t>
      </w:r>
      <w:r w:rsidRPr="0008375C">
        <w:rPr>
          <w:noProof/>
          <w:spacing w:val="0"/>
          <w:sz w:val="16"/>
          <w:szCs w:val="16"/>
          <w:lang w:val="en-US" w:eastAsia="en-US"/>
        </w:rPr>
        <w:t>The average electricity pool price in Alberta over the last decade has varied due to the de-regulated nature of the market paired with a heavy weighting in gas generation. In 2022 the annual average gas price hit $5 per GJ and Alberta electricity prices hit a ten-year high. In the five years following 2015, the gas price hovered between $2 and $1.5 per GJ and pool prices were fell proportionally.</w:t>
      </w:r>
    </w:p>
    <w:p w14:paraId="17E55F47" w14:textId="7BBC9C5C" w:rsidR="00633CF5" w:rsidRDefault="00633CF5" w:rsidP="00633CF5">
      <w:pPr>
        <w:pStyle w:val="BodyText"/>
      </w:pPr>
      <w:r>
        <w:t xml:space="preserve">Additionally, many producers in the deregulated system have relied on their ability to unilaterally exercise market power, meaning a company controls enough supply to influence market prices to its own advantage [15]. This happens when there are no less-expensive power producers available to undercut their bid. Some producers with large capacity intentionally place offer bids at high prices, raising the market clearing price and increasing their profit on dispatched units. In Alberta, this practice of intentionally raising the pool price by exercising market power is often necessary for producers to recover costs and make profit. This is part of the reason why Alberta has higher electricity prices than most other provinces. Theoretically, in an elevated price scenario, DEOMs should create opportunities for more cost competitive producers to enter the market and displace expensive generation because they are </w:t>
      </w:r>
      <w:r>
        <w:t>rewarded with the highest margin. But other factors like the overall reliability of the grid and availability of power at certain times create practical restrictions for low-cost intermittent generation (i.e., solar and wind) that can be added to the electricity mix. For example, even though solar generation is low-cost, it cannot be used to supply power during certain hours in winter months and other technologies must be used instead.</w:t>
      </w:r>
    </w:p>
    <w:p w14:paraId="6112573B" w14:textId="0FA3EFBB" w:rsidR="006347CF" w:rsidRPr="005B520E" w:rsidRDefault="00633CF5" w:rsidP="00633CF5">
      <w:pPr>
        <w:pStyle w:val="BodyText"/>
      </w:pPr>
      <w:r>
        <w:t>Nonetheless, A critique of the DEOM system is the apparent conflict of interest between electricity producers and consumers. Generators benefit from high electricity prices because it improves margins, whereas rate payers benefit from cheaper electricity. In the absence of relatively high-cost generation like natural gas, electricity prices would decrease. However, the margins of power producers would be compressed and their ability to recover generation costs would be reduced. The DEOM involves a delicate balance between affordability for rate payers and margins for power producers</w:t>
      </w:r>
      <w:r w:rsidR="009303D9" w:rsidRPr="005B520E">
        <w:t>.</w:t>
      </w:r>
    </w:p>
    <w:p w14:paraId="17A9532B" w14:textId="722836AC" w:rsidR="009303D9" w:rsidRPr="005B520E" w:rsidRDefault="00633CF5" w:rsidP="00ED0149">
      <w:pPr>
        <w:pStyle w:val="Heading2"/>
      </w:pPr>
      <w:r>
        <w:t>Issues with Large and Long-Lead Capital Expenditure</w:t>
      </w:r>
    </w:p>
    <w:p w14:paraId="55E85F34"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5E57DB9" w14:textId="77777777" w:rsidR="00633CF5" w:rsidRDefault="00633CF5" w:rsidP="00633CF5">
      <w:pPr>
        <w:pStyle w:val="BodyText"/>
      </w:pPr>
      <w:r>
        <w:t>Since the ability of generators to recover costs is based on short-term marginal cost pricing, generators that can minimize their capital expenses (CAPEX) are favored. For example, solar and wind penetration in electricity grids worldwide has increased because low upfront costs allow them to be paid off quickly and reap the benefits of high margins. Due to the nature of short-term competition, the DEOM lacks incentives for new capacity because it favors existing generators that have already recovered their up-front capital expenses [14]. This is a consistent problem, where capital intensive technologies like nuclear and hydro struggle to compete against alternatives more suited for short term competition. Reliance on short-term supply and demand, and dependence on natural gas prices in Alberta’s DEOM has led to volatile electricity prices that are particularly disadvantageous for low carbon baseload generation i.e., nuclear energy. The Alberta Electric Systems Operator (AESO) notes that certain low emitting technologies “may need support from long-term contracting” to reduce volatility and ensure their competitiveness [3].</w:t>
      </w:r>
    </w:p>
    <w:p w14:paraId="7014E052" w14:textId="77777777" w:rsidR="00633CF5" w:rsidRDefault="00633CF5" w:rsidP="00633CF5">
      <w:pPr>
        <w:pStyle w:val="BodyText"/>
      </w:pPr>
      <w:r>
        <w:t xml:space="preserve">Due to large CAPEX requirements, the economic feasibility of major power projects, including nuclear, is tied to the time value of money. For large-scale nuclear projects, huge upfront capital investments must be made over a long construction period before any electricity can be produced. The interest paid on debt during construction is a massive financial burden and diminishes margins. On average, around 70% of the total lifetime cost of a nuclear project can be attributed to upfront investment cost. This means nuclear projects are highly sensitive to interest rates. For example, a single percent variation in the interest rate can lead to a 10% increase in the price of produced electricity, and the difference between a 5% and 10% discount rate can increase the levelized cost of electricity (LCOE) by 90% [17][18]. </w:t>
      </w:r>
    </w:p>
    <w:p w14:paraId="4E992BC6" w14:textId="3B9242C0" w:rsidR="009303D9" w:rsidRPr="005B520E" w:rsidRDefault="00633CF5" w:rsidP="00633CF5">
      <w:pPr>
        <w:pStyle w:val="BodyText"/>
      </w:pPr>
      <w:r>
        <w:t xml:space="preserve">Construction delays become a critically important risk factor when even a short one-month construction delay can cost tens of millions through compounded interest [17]. Gigawatt-scale nuclear projects in North America typically average between 6 to 10 years of build time [10]. Recently constructed large-scale projects in the U.S. such as Vogtle units three and four, have taken 10 or 11 years to complete [19]. For potential investors, </w:t>
      </w:r>
      <w:r>
        <w:lastRenderedPageBreak/>
        <w:t>long-lead construction presents an exposed capital risk where huge sums are deployed in advance and returns are not observed for decades. In Alberta, the DEOM exacerbates upfront capital risk because volatile markets fail to provide stable revenue which decreases the certainty of cost recovery. Compared to nuclear, a similarly sized 1GW CCGT facility only requires 2-3 years to build, has upfront costs of less than 2 billion, and is ultimately more competitive in a short-term market [20]</w:t>
      </w:r>
      <w:r w:rsidR="009303D9" w:rsidRPr="005B520E">
        <w:t>.</w:t>
      </w:r>
    </w:p>
    <w:p w14:paraId="65313B9F" w14:textId="52BE5B58" w:rsidR="009303D9" w:rsidRDefault="00633CF5" w:rsidP="006B6B66">
      <w:pPr>
        <w:pStyle w:val="Heading1"/>
      </w:pPr>
      <w:r>
        <w:t>Methods</w:t>
      </w:r>
    </w:p>
    <w:p w14:paraId="286EC73D" w14:textId="77777777" w:rsidR="00633CF5" w:rsidRDefault="00633CF5" w:rsidP="00633CF5">
      <w:pPr>
        <w:pStyle w:val="BodyText"/>
      </w:pPr>
      <w:r>
        <w:t>A simulation model was developed in Python to evaluate the long-run economic competitiveness of nuclear power relative to gas generation in Alberta's electricity market. The model incorporates the major commodity and policy variables governing Alberta's electricity market, including gas prices, carbon prices, and pool price dynamics so that project economics can be evaluated under different price and regulatory scenarios. Daily discounted cash flows were computed for two hypothetical 1,000 MW plants: a nuclear facility and a combined cycle gas turbine (CCGT), with capital costs of 8 and 1.5 billion CAD, respectively, and at 5% real discount rate. Cashflows are tracked across a 40-year time horizon, and the NPV is determined to identify the conditions under which nuclear generation becomes economically competitive.</w:t>
      </w:r>
    </w:p>
    <w:p w14:paraId="3B6F0534" w14:textId="353EFDB6" w:rsidR="009303D9" w:rsidRPr="005B520E" w:rsidRDefault="00633CF5" w:rsidP="00633CF5">
      <w:pPr>
        <w:pStyle w:val="BodyText"/>
      </w:pPr>
      <w:r>
        <w:t>The model assumes that the Alberta electricity mix and demand remain constant, except for the addition of 1,000 MW of new baseload capacity to meet incremental load growth. This framing preserves the existing market structure and dispatch dynamics, in particular the assumption that gas-fired generation continues to set the marginal pool price. Therefore, the model is intentionally set so that the theoretical addition of nuclear does not affect the average pool price or the identity of the marginal price-setting technology. The model also assumes that the costs of all generation technologies remain constant over time. Price paths for gas, carbon, and electricity are determined at a daily resolution, averaging over intra-day variation. Hourly dispatch and pricing are not modelled, as short-term hour-by-hour dynamics are not necessary for this level of economic analysis. A detailed breakdown and justification of the assumed costs for nuclear and CCGT plant parameters can be found in Appendix A</w:t>
      </w:r>
      <w:r w:rsidR="009303D9" w:rsidRPr="005B520E">
        <w:t>.</w:t>
      </w:r>
    </w:p>
    <w:p w14:paraId="2D27694B" w14:textId="6FF4A92B" w:rsidR="009303D9" w:rsidRDefault="00633CF5" w:rsidP="00ED0149">
      <w:pPr>
        <w:pStyle w:val="Heading2"/>
      </w:pPr>
      <w:r>
        <w:t>Capital Cost Recovery and Debt Service</w:t>
      </w:r>
    </w:p>
    <w:p w14:paraId="5BFF2E12" w14:textId="12666E6E" w:rsidR="009303D9" w:rsidRDefault="00633CF5" w:rsidP="00E7596C">
      <w:pPr>
        <w:pStyle w:val="BodyText"/>
      </w:pPr>
      <w:r w:rsidRPr="00633CF5">
        <w:t>Two hypothetical 1,000 MW generation plants were modelled: a nuclear facility with a capital cost of $8 -billion and a combined-cycle gas turbine (CCGT) width a capital cost of $1.5 billion (CAD). Capital costs were financed through debt repaid as daily annuity payments over the 40-year analysis period. The daily loan payment for each plant was calculated as</w:t>
      </w:r>
      <w:r w:rsidR="009303D9" w:rsidRPr="005B520E">
        <w:t>.</w:t>
      </w:r>
    </w:p>
    <w:p w14:paraId="02C1D6D1" w14:textId="771F598B" w:rsidR="009303D9" w:rsidRPr="005B520E" w:rsidRDefault="009303D9" w:rsidP="00633CF5">
      <w:pPr>
        <w:pStyle w:val="equation"/>
        <w:rPr>
          <w:rFonts w:hint="eastAsia"/>
        </w:rPr>
      </w:pPr>
      <w:r w:rsidRPr="005B520E">
        <w:tab/>
      </w:r>
      <m:oMath>
        <m:r>
          <w:rPr>
            <w:rFonts w:ascii="Cambria Math" w:hAnsi="Cambria Math" w:cs="Times New Roman"/>
          </w:rPr>
          <m:t>D = P </m:t>
        </m:r>
        <m:r>
          <w:rPr>
            <w:rFonts w:ascii="Cambria Math" w:hAnsi="Cambria Math" w:cs="Cambria Math"/>
          </w:rPr>
          <m:t>⋅</m:t>
        </m:r>
        <m:f>
          <m:fPr>
            <m:ctrlPr>
              <w:rPr>
                <w:rFonts w:ascii="Cambria Math" w:hAnsi="Cambria Math" w:cs="Times New Roman"/>
                <w:i/>
              </w:rPr>
            </m:ctrlPr>
          </m:fPr>
          <m:num>
            <m:r>
              <w:rPr>
                <w:rFonts w:ascii="Cambria Math" w:hAnsi="Cambria Math" w:cs="Times New Roman"/>
              </w:rPr>
              <m:t>r</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1+r</m:t>
                    </m:r>
                  </m:e>
                </m:d>
              </m:e>
              <m:sup>
                <m:r>
                  <w:rPr>
                    <w:rFonts w:ascii="Cambria Math" w:hAnsi="Cambria Math" w:cs="Times New Roman"/>
                  </w:rPr>
                  <m:t>n</m:t>
                </m:r>
              </m:sup>
            </m:sSup>
            <m:ctrlPr>
              <w:rPr>
                <w:rFonts w:ascii="Cambria Math" w:hAnsi="Cambria Math" w:cs="Cambria Math"/>
                <w:i/>
              </w:rPr>
            </m:ctrlP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1+r</m:t>
                    </m:r>
                  </m:e>
                </m:d>
              </m:e>
              <m:sup>
                <m:r>
                  <w:rPr>
                    <w:rFonts w:ascii="Cambria Math" w:hAnsi="Cambria Math" w:cs="Times New Roman"/>
                  </w:rPr>
                  <m:t>n</m:t>
                </m:r>
              </m:sup>
            </m:sSup>
            <m:r>
              <w:rPr>
                <w:rFonts w:ascii="Cambria Math" w:hAnsi="Cambria Math" w:cs="Times New Roman"/>
              </w:rPr>
              <m:t> - 1</m:t>
            </m:r>
          </m:den>
        </m:f>
      </m:oMath>
      <w:r w:rsidR="008A2C7D">
        <w:tab/>
      </w:r>
      <w:r w:rsidR="008A2C7D" w:rsidRPr="00CB66E6">
        <w:t></w:t>
      </w:r>
      <w:r w:rsidR="008A2C7D" w:rsidRPr="00CB66E6">
        <w:t></w:t>
      </w:r>
      <w:r w:rsidR="008A2C7D" w:rsidRPr="00CB66E6">
        <w:t></w:t>
      </w:r>
    </w:p>
    <w:p w14:paraId="615ACA25" w14:textId="6C84F4F5" w:rsidR="009303D9" w:rsidRDefault="00E5718A" w:rsidP="00E7596C">
      <w:pPr>
        <w:pStyle w:val="BodyText"/>
      </w:pPr>
      <w:r w:rsidRPr="00E5718A">
        <w:t>where D is the daily annuity payment, P is the principal (capital cost), r is the daily discount rate, and n is the number of payment periods. Capital recovery costs were incorporated into daily cash flow calculations to match the time step of the other parameters (daily).</w:t>
      </w:r>
    </w:p>
    <w:p w14:paraId="66D177AD" w14:textId="6630F055" w:rsidR="00E5718A" w:rsidRDefault="00E5718A" w:rsidP="00E5718A">
      <w:pPr>
        <w:pStyle w:val="Heading2"/>
      </w:pPr>
      <w:r>
        <w:t>Gas Price Dynamics</w:t>
      </w:r>
    </w:p>
    <w:p w14:paraId="0CE91326" w14:textId="17A5DBF3" w:rsidR="00E5718A" w:rsidRDefault="00E5718A" w:rsidP="00E5718A">
      <w:pPr>
        <w:pStyle w:val="BodyText"/>
      </w:pPr>
      <w:r w:rsidRPr="00D91EE8">
        <w:t>Natural gas prices are simulated using a mean-reverting process that reflects historical price volatility. The gas price at each successive day is given by</w:t>
      </w:r>
      <w:r>
        <w:t>:</w:t>
      </w:r>
    </w:p>
    <w:p w14:paraId="64905079" w14:textId="7E0E4D4A" w:rsidR="00E5718A" w:rsidRPr="005B520E" w:rsidRDefault="00E5718A" w:rsidP="00E5718A">
      <w:pPr>
        <w:pStyle w:val="equation"/>
        <w:rPr>
          <w:rFonts w:hint="eastAsia"/>
        </w:rPr>
      </w:pPr>
      <w:r w:rsidRPr="005B520E">
        <w:tab/>
      </w: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g</m:t>
            </m:r>
          </m:sub>
          <m:sup>
            <m:r>
              <w:rPr>
                <w:rFonts w:ascii="Cambria Math" w:hAnsi="Cambria Math" w:cs="Times New Roman"/>
              </w:rPr>
              <m:t>n+1</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g</m:t>
            </m:r>
          </m:sub>
          <m:sup>
            <m:r>
              <w:rPr>
                <w:rFonts w:ascii="Cambria Math" w:hAnsi="Cambria Math" w:cs="Times New Roman"/>
              </w:rPr>
              <m:t>n</m:t>
            </m:r>
          </m:sup>
        </m:sSubSup>
        <m:r>
          <w:rPr>
            <w:rFonts w:ascii="Cambria Math" w:hAnsi="Cambria Math" w:cs="Times New Roman"/>
          </w:rPr>
          <m:t>+λ</m:t>
        </m:r>
        <m:d>
          <m:dPr>
            <m:ctrlPr>
              <w:rPr>
                <w:rFonts w:ascii="Cambria Math" w:hAnsi="Cambria Math" w:cs="Times New Roman"/>
                <w:i/>
              </w:rPr>
            </m:ctrlPr>
          </m:dPr>
          <m:e>
            <m:r>
              <w:rPr>
                <w:rFonts w:ascii="Cambria Math" w:hAnsi="Cambria Math" w:cs="Times New Roman"/>
              </w:rPr>
              <m:t>μ-</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g</m:t>
                </m:r>
              </m:sub>
              <m:sup>
                <m:r>
                  <w:rPr>
                    <w:rFonts w:ascii="Cambria Math" w:hAnsi="Cambria Math" w:cs="Times New Roman"/>
                  </w:rPr>
                  <m:t>n</m:t>
                </m:r>
              </m:sup>
            </m:sSubSup>
          </m:e>
        </m:d>
        <m:r>
          <w:rPr>
            <w:rFonts w:ascii="Cambria Math" w:hAnsi="Cambria Math" w:cs="Times New Roman"/>
          </w:rPr>
          <m:t>+ϵ</m:t>
        </m:r>
      </m:oMath>
      <w:r>
        <w:tab/>
      </w:r>
      <w:r w:rsidRPr="00CB66E6">
        <w:t></w:t>
      </w:r>
      <w:r>
        <w:t>2</w:t>
      </w:r>
      <w:r w:rsidRPr="00CB66E6">
        <w:t></w:t>
      </w:r>
    </w:p>
    <w:p w14:paraId="0F6C3097" w14:textId="3746D54F" w:rsidR="00E5718A" w:rsidRDefault="00E5718A" w:rsidP="00E5718A">
      <w:pPr>
        <w:pStyle w:val="BodyText"/>
      </w:pPr>
      <w:r w:rsidRPr="00E5718A">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g</m:t>
            </m:r>
          </m:sub>
          <m:sup>
            <m:r>
              <w:rPr>
                <w:rFonts w:ascii="Cambria Math" w:hAnsi="Cambria Math"/>
              </w:rPr>
              <m:t>n</m:t>
            </m:r>
          </m:sup>
        </m:sSubSup>
      </m:oMath>
      <w:r w:rsidRPr="00E5718A">
        <w:t xml:space="preserve"> is the gas price at day n (CAD/GJ), μ is the long-run mean price (CAD/GJ), λ is the mean-reversion coefficient, and ϵ is a random shock drawn from a normal distribution with standard deviation (CAD/GJ). A price floor of 0.0 CAD/GJ prevents negative prices. This method of simulating the natural gas price path allows for short-term price fluctuations and long-term mean-reversion, as observed in Alberta's natural gas market</w:t>
      </w:r>
      <w:r>
        <w:t>.</w:t>
      </w:r>
    </w:p>
    <w:p w14:paraId="759F61F3" w14:textId="4163F01F" w:rsidR="00E5718A" w:rsidRDefault="00E5718A" w:rsidP="00E5718A">
      <w:pPr>
        <w:pStyle w:val="Heading2"/>
      </w:pPr>
      <w:r>
        <w:t>Carbon Price Path</w:t>
      </w:r>
    </w:p>
    <w:p w14:paraId="7E7DA0E2" w14:textId="77777777" w:rsidR="00E5718A" w:rsidRDefault="00E5718A" w:rsidP="00E5718A">
      <w:pPr>
        <w:pStyle w:val="BodyText"/>
      </w:pPr>
      <w:r w:rsidRPr="00633CF5">
        <w:t>Two hypothetical 1,000 MW generation plants were modelled: a nuclear facility with a capital cost of $8 -billion and a combined-cycle gas turbine (CCGT) width a capital cost of $1.5 billion (CAD). Capital costs were financed through debt repaid as daily annuity payments over the 40-year analysis period. The daily loan payment for each plant was calculated as</w:t>
      </w:r>
      <w:r w:rsidRPr="005B520E">
        <w:t>.</w:t>
      </w:r>
    </w:p>
    <w:p w14:paraId="3491F6D0" w14:textId="66BE9B64" w:rsidR="00E5718A" w:rsidRPr="005B520E" w:rsidRDefault="00E5718A" w:rsidP="00E5718A">
      <w:pPr>
        <w:pStyle w:val="equation"/>
        <w:rPr>
          <w:rFonts w:hint="eastAsia"/>
        </w:rPr>
      </w:pPr>
      <w:r w:rsidRPr="005B520E">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c,start</m:t>
                    </m:r>
                  </m:sub>
                </m:sSub>
                <m:r>
                  <w:rPr>
                    <w:rFonts w:ascii="Cambria Math" w:hAnsi="Cambria Math" w:cs="Times New Roman"/>
                  </w:rPr>
                  <m:t xml:space="preserve"> +</m:t>
                </m:r>
                <m:f>
                  <m:fPr>
                    <m:ctrlPr>
                      <w:rPr>
                        <w:rFonts w:ascii="Cambria Math"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c,end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c,start</m:t>
                            </m:r>
                          </m:sub>
                        </m:sSub>
                      </m:e>
                    </m:d>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transition</m:t>
                        </m:r>
                      </m:sub>
                    </m:sSub>
                  </m:den>
                </m:f>
                <m:r>
                  <w:rPr>
                    <w:rFonts w:ascii="Cambria Math" w:hAnsi="Cambria Math" w:cs="Times New Roman"/>
                  </w:rPr>
                  <m:t>,  &amp;&amp;t&lt;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transition</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c,end</m:t>
                    </m:r>
                  </m:sub>
                </m:sSub>
                <m:r>
                  <w:rPr>
                    <w:rFonts w:ascii="Cambria Math" w:hAnsi="Cambria Math" w:cs="Times New Roman"/>
                  </w:rPr>
                  <m:t>,  &amp;&amp;t≥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transition</m:t>
                    </m:r>
                  </m:sub>
                </m:sSub>
              </m:e>
            </m:eqArr>
          </m:e>
        </m:d>
        <m:r>
          <w:rPr>
            <w:rFonts w:ascii="Cambria Math" w:hAnsi="Cambria Math"/>
          </w:rPr>
          <m:t xml:space="preserve"> </m:t>
        </m:r>
      </m:oMath>
      <w:r>
        <w:tab/>
      </w:r>
      <w:r w:rsidRPr="00CB66E6">
        <w:t></w:t>
      </w:r>
      <w:r>
        <w:t>3</w:t>
      </w:r>
      <w:r w:rsidRPr="00CB66E6">
        <w:t></w:t>
      </w:r>
    </w:p>
    <w:p w14:paraId="5EB65504" w14:textId="31DC3B15" w:rsidR="00E5718A" w:rsidRDefault="00E5718A" w:rsidP="00E5718A">
      <w:pPr>
        <w:pStyle w:val="BodyText"/>
      </w:pPr>
      <w:r w:rsidRPr="00E5718A">
        <w:t xml:space="preserve">where </w:t>
      </w:r>
      <m:oMath>
        <m:sSub>
          <m:sSubPr>
            <m:ctrlPr>
              <w:rPr>
                <w:rFonts w:ascii="Cambria Math" w:hAnsi="Cambria Math"/>
                <w:i/>
              </w:rPr>
            </m:ctrlPr>
          </m:sSubPr>
          <m:e>
            <m:r>
              <w:rPr>
                <w:rFonts w:ascii="Cambria Math" w:hAnsi="Cambria Math"/>
              </w:rPr>
              <m:t>P</m:t>
            </m:r>
          </m:e>
          <m:sub>
            <m:r>
              <w:rPr>
                <w:rFonts w:ascii="Cambria Math" w:hAnsi="Cambria Math"/>
              </w:rPr>
              <m:t>c,start</m:t>
            </m:r>
          </m:sub>
        </m:sSub>
      </m:oMath>
      <w:r w:rsidRPr="00E5718A">
        <w:t xml:space="preserve"> is the starting carbon price and Alberta’s current price (95 CAD/tonne CO₂e), </w:t>
      </w:r>
      <m:oMath>
        <m:sSub>
          <m:sSubPr>
            <m:ctrlPr>
              <w:rPr>
                <w:rFonts w:ascii="Cambria Math" w:hAnsi="Cambria Math"/>
                <w:i/>
              </w:rPr>
            </m:ctrlPr>
          </m:sSubPr>
          <m:e>
            <m:r>
              <w:rPr>
                <w:rFonts w:ascii="Cambria Math" w:hAnsi="Cambria Math"/>
              </w:rPr>
              <m:t>P</m:t>
            </m:r>
          </m:e>
          <m:sub>
            <m:r>
              <w:rPr>
                <w:rFonts w:ascii="Cambria Math" w:hAnsi="Cambria Math"/>
              </w:rPr>
              <m:t>c,end</m:t>
            </m:r>
          </m:sub>
        </m:sSub>
      </m:oMath>
      <w:r w:rsidRPr="00E5718A">
        <w:t xml:space="preserve"> is the terminal carbon price (CAD/tonne CO₂e), t is the day of the simulation, and t_transition is the number of days for the transition period (days).</w:t>
      </w:r>
    </w:p>
    <w:p w14:paraId="2F98E758" w14:textId="107EC613" w:rsidR="00E5718A" w:rsidRDefault="00773764" w:rsidP="00E5718A">
      <w:pPr>
        <w:pStyle w:val="Heading2"/>
      </w:pPr>
      <w:r>
        <w:t>Operating Costs for Gas Generation</w:t>
      </w:r>
    </w:p>
    <w:p w14:paraId="17EFD8A3" w14:textId="2B7D2350" w:rsidR="00E5718A" w:rsidRDefault="00773764" w:rsidP="00E5718A">
      <w:pPr>
        <w:pStyle w:val="BodyText"/>
      </w:pPr>
      <w:r w:rsidRPr="00773764">
        <w:t>The variable operating costs for gas-fired generation reflect fuel and non-fuel costs. Fuel costs include carbon compliance costs, which are currently in place under Alberta’s Technology Innovation and Emissions Reduction (TIER) regulation. The per-MWh operating cost is</w:t>
      </w:r>
      <w:r>
        <w:t>:</w:t>
      </w:r>
    </w:p>
    <w:p w14:paraId="6756AB7F" w14:textId="033C7595" w:rsidR="00E5718A" w:rsidRPr="005B520E" w:rsidRDefault="00E5718A" w:rsidP="00E5718A">
      <w:pPr>
        <w:pStyle w:val="equation"/>
        <w:rPr>
          <w:rFonts w:hint="eastAsia"/>
        </w:rPr>
      </w:pPr>
      <w:r w:rsidRPr="005B520E">
        <w:tab/>
      </w:r>
      <m:oMath>
        <m:r>
          <w:rPr>
            <w:rFonts w:ascii="Cambria Math" w:hAnsi="Cambria Math" w:cs="Times New Roman"/>
          </w:rPr>
          <m:t>OPE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gas</m:t>
            </m:r>
          </m:sub>
        </m:sSub>
        <m:r>
          <w:rPr>
            <w:rFonts w:ascii="Cambria Math" w:hAnsi="Cambria Math" w:cs="Times New Roman"/>
          </w:rPr>
          <m:t>=HR⋅</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g</m:t>
            </m:r>
          </m:sub>
        </m:sSub>
        <m:r>
          <w:rPr>
            <w:rFonts w:ascii="Cambria Math" w:hAnsi="Cambria Math" w:cs="Times New Roman"/>
          </w:rPr>
          <m:t>+OPE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var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η</m:t>
                </m:r>
              </m:sub>
            </m:sSub>
            <m:r>
              <w:rPr>
                <w:rFonts w:ascii="Cambria Math" w:hAnsi="Cambria Math" w:cs="Times New Roman"/>
              </w:rPr>
              <m:t>-TB</m:t>
            </m:r>
          </m:e>
        </m:d>
      </m:oMath>
      <w:r>
        <w:tab/>
      </w:r>
      <w:r w:rsidRPr="00CB66E6">
        <w:t></w:t>
      </w:r>
      <w:r w:rsidR="00773764">
        <w:t>4</w:t>
      </w:r>
      <w:r w:rsidRPr="00CB66E6">
        <w:t></w:t>
      </w:r>
    </w:p>
    <w:p w14:paraId="02FE0F84" w14:textId="040C2AA2" w:rsidR="00E5718A" w:rsidRDefault="00773764" w:rsidP="00E5718A">
      <w:pPr>
        <w:pStyle w:val="BodyText"/>
      </w:pPr>
      <w:r w:rsidRPr="00773764">
        <w:t xml:space="preserve">where HR is the unit heat rate (GJ/MWh; 10 for low-efficiency and 6 for CCGT),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773764">
        <w:t xml:space="preserve"> is the natural gas price (CAD/GJ), OPEX_var is non-fuel variable operating cost (5 CAD/MWh),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773764">
        <w:t xml:space="preserve"> is the carbon price (CAD/tonne </w:t>
      </w:r>
      <w:proofErr w:type="spellStart"/>
      <w:r w:rsidRPr="00773764">
        <w:t>CO₂e</w:t>
      </w:r>
      <w:proofErr w:type="spellEnd"/>
      <w:r w:rsidRPr="00773764">
        <w:t xml:space="preserve">), </w:t>
      </w:r>
      <m:oMath>
        <m:sSub>
          <m:sSubPr>
            <m:ctrlPr>
              <w:rPr>
                <w:rFonts w:ascii="Cambria Math" w:hAnsi="Cambria Math"/>
                <w:i/>
              </w:rPr>
            </m:ctrlPr>
          </m:sSubPr>
          <m:e>
            <m:r>
              <w:rPr>
                <w:rFonts w:ascii="Cambria Math" w:hAnsi="Cambria Math"/>
              </w:rPr>
              <m:t>C</m:t>
            </m:r>
          </m:e>
          <m:sub>
            <m:r>
              <w:rPr>
                <w:rFonts w:ascii="Cambria Math" w:hAnsi="Cambria Math"/>
              </w:rPr>
              <m:t>η</m:t>
            </m:r>
          </m:sub>
        </m:sSub>
      </m:oMath>
      <w:r w:rsidRPr="00773764">
        <w:t xml:space="preserve"> is the emissions intensity (0.58 for low-efficiency, 0.37 for CCGT; tonne CO₂e/MWh), and TB is the TIER output benchmark (0.37 tonne CO₂e/MWh). Generators are only liable for carbon emissions exceeding the benchmark, which is reflected in the term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η</m:t>
                </m:r>
              </m:sub>
            </m:sSub>
            <m:r>
              <w:rPr>
                <w:rFonts w:ascii="Cambria Math" w:hAnsi="Cambria Math"/>
              </w:rPr>
              <m:t>-TB</m:t>
            </m:r>
          </m:e>
        </m:d>
      </m:oMath>
      <w:r w:rsidR="00E5718A" w:rsidRPr="00E5718A">
        <w:t>.</w:t>
      </w:r>
    </w:p>
    <w:p w14:paraId="2C8A7368" w14:textId="776029DF" w:rsidR="00E5718A" w:rsidRDefault="00773764" w:rsidP="00E5718A">
      <w:pPr>
        <w:pStyle w:val="Heading2"/>
      </w:pPr>
      <w:r>
        <w:t>Electricity Pool Price</w:t>
      </w:r>
    </w:p>
    <w:p w14:paraId="567A2263" w14:textId="481B32A1" w:rsidR="00E5718A" w:rsidRDefault="00773764" w:rsidP="00E5718A">
      <w:pPr>
        <w:pStyle w:val="BodyText"/>
      </w:pPr>
      <w:r w:rsidRPr="00773764">
        <w:t>The Alberta electricity pool price is determined by a capacity-weighted merit-order dispatch model. The pool price is calculated as the weighted average of marginal costs across five generation categories</w:t>
      </w:r>
      <w:r>
        <w:t>:</w:t>
      </w:r>
    </w:p>
    <w:p w14:paraId="2686265A" w14:textId="23A63E21" w:rsidR="00E5718A" w:rsidRPr="005B520E" w:rsidRDefault="00E5718A" w:rsidP="00E5718A">
      <w:pPr>
        <w:pStyle w:val="equation"/>
        <w:rPr>
          <w:rFonts w:hint="eastAsia"/>
        </w:rPr>
      </w:pPr>
      <w:r w:rsidRPr="005B520E">
        <w:lastRenderedPageBreak/>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m:t>
            </m:r>
          </m:sub>
        </m:sSub>
        <m:r>
          <w:rPr>
            <w:rFonts w:ascii="Cambria Math" w:hAnsi="Cambria Math" w:cs="Times New Roman"/>
          </w:rPr>
          <m:t>=68%⋅OPE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low-η-gas</m:t>
            </m:r>
          </m:sub>
        </m:sSub>
        <m:r>
          <w:rPr>
            <w:rFonts w:ascii="Cambria Math" w:hAnsi="Cambria Math" w:cs="Times New Roman"/>
          </w:rPr>
          <m:t>+21%⋅OPE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CCGT</m:t>
            </m:r>
          </m:sub>
        </m:sSub>
        <m:r>
          <w:rPr>
            <w:rFonts w:ascii="Cambria Math" w:hAnsi="Cambria Math" w:cs="Times New Roman"/>
          </w:rPr>
          <m:t>+6%⋅</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zero-price</m:t>
            </m:r>
          </m:sub>
        </m:sSub>
        <m:r>
          <w:rPr>
            <w:rFonts w:ascii="Cambria Math" w:hAnsi="Cambria Math" w:cs="Times New Roman"/>
          </w:rPr>
          <m:t>+3.7%⋅</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hydro</m:t>
            </m:r>
          </m:sub>
        </m:sSub>
        <m:r>
          <w:rPr>
            <w:rFonts w:ascii="Cambria Math" w:hAnsi="Cambria Math" w:cs="Times New Roman"/>
          </w:rPr>
          <m:t>+1.3%⋅</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other</m:t>
            </m:r>
          </m:sub>
        </m:sSub>
      </m:oMath>
      <w:r>
        <w:tab/>
      </w:r>
      <w:r w:rsidRPr="00CB66E6">
        <w:t></w:t>
      </w:r>
      <w:r w:rsidR="00773764">
        <w:t>5</w:t>
      </w:r>
      <w:r w:rsidRPr="00CB66E6">
        <w:t></w:t>
      </w:r>
    </w:p>
    <w:p w14:paraId="7CCF6F41" w14:textId="1811C13F" w:rsidR="009F059F" w:rsidRDefault="009F059F" w:rsidP="009F059F">
      <w:pPr>
        <w:pStyle w:val="BodyText"/>
      </w:pPr>
      <w:r>
        <w:t xml:space="preserve">where the weights (%) represent the fraction of time each category set the margin in 2024. OPEX_(low-η-gas) and OPEX_CCGT are calculated using equation 4 (above) with their respective heat rates and emissions intensities. P_(zero-price), </w:t>
      </w:r>
      <m:oMath>
        <m:sSub>
          <m:sSubPr>
            <m:ctrlPr>
              <w:rPr>
                <w:rFonts w:ascii="Cambria Math" w:hAnsi="Cambria Math"/>
                <w:i/>
              </w:rPr>
            </m:ctrlPr>
          </m:sSubPr>
          <m:e>
            <m:r>
              <w:rPr>
                <w:rFonts w:ascii="Cambria Math" w:hAnsi="Cambria Math"/>
              </w:rPr>
              <m:t>P</m:t>
            </m:r>
          </m:e>
          <m:sub>
            <m:r>
              <w:rPr>
                <w:rFonts w:ascii="Cambria Math" w:hAnsi="Cambria Math"/>
              </w:rPr>
              <m:t>hydro</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other</m:t>
            </m:r>
          </m:sub>
        </m:sSub>
      </m:oMath>
      <w:r>
        <w:t xml:space="preserve"> (wind and solar) are fixed at 0 CAD/MWh, 80 CAD/MWh and 40 CAD/MWh respectively. A 5% scarcity probability adds stochastic variation, with extreme prices (CAD/MWh) occurring occasionally. This approach ensures that the electricity price responds dynamically to changes in gas and carbon prices while preserving the market structure observed in AESO 2024 statistics [11]. </w:t>
      </w:r>
    </w:p>
    <w:p w14:paraId="037A243D" w14:textId="3CEBFB63" w:rsidR="00E5718A" w:rsidRDefault="009F059F" w:rsidP="009F059F">
      <w:pPr>
        <w:pStyle w:val="BodyText"/>
      </w:pPr>
      <w:r>
        <w:t>In reality, the market structure is expected to change as older generation units are retired and new units are brought online. However, the goal of this model is to demonstrate the performance of large scale nuclear under the current market structure, therefore the weights of each marginal price setting technology will remain constant throughout the simulation</w:t>
      </w:r>
      <w:r w:rsidR="00E5718A" w:rsidRPr="00E5718A">
        <w:t>.</w:t>
      </w:r>
    </w:p>
    <w:p w14:paraId="28A655C1" w14:textId="2C02D344" w:rsidR="00E5718A" w:rsidRDefault="009F059F" w:rsidP="00E5718A">
      <w:pPr>
        <w:pStyle w:val="Heading2"/>
      </w:pPr>
      <w:r>
        <w:t>CCGT Cashflow and Net Present Value</w:t>
      </w:r>
    </w:p>
    <w:p w14:paraId="1034968C" w14:textId="0B226A48" w:rsidR="00E5718A" w:rsidRDefault="009F059F" w:rsidP="00E5718A">
      <w:pPr>
        <w:pStyle w:val="BodyText"/>
      </w:pPr>
      <w:r w:rsidRPr="009F059F">
        <w:t>The daily cashflow for a 1,000 MW CCGT plant is calculated as revenue minus all operating costs and debt service, discounted to present value</w:t>
      </w:r>
      <w:r>
        <w:t>:</w:t>
      </w:r>
    </w:p>
    <w:p w14:paraId="4C802CA2" w14:textId="3748C3FD" w:rsidR="00E5718A" w:rsidRPr="005B520E" w:rsidRDefault="00E5718A" w:rsidP="00E5718A">
      <w:pPr>
        <w:pStyle w:val="equation"/>
        <w:rPr>
          <w:rFonts w:hint="eastAsia"/>
        </w:rPr>
      </w:pPr>
      <w:r w:rsidRPr="005B520E">
        <w:tab/>
      </w:r>
      <m:oMath>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CCGT</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C⋅CF⋅24</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m:t>
                    </m:r>
                  </m:sub>
                </m:sSub>
                <m:r>
                  <w:rPr>
                    <w:rFonts w:ascii="Cambria Math" w:hAnsi="Cambria Math" w:cs="Times New Roman"/>
                  </w:rPr>
                  <m:t>-HR⋅</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g</m:t>
                    </m:r>
                  </m:sub>
                </m:sSub>
                <m:r>
                  <w:rPr>
                    <w:rFonts w:ascii="Cambria Math" w:hAnsi="Cambria Math" w:cs="Times New Roman"/>
                  </w:rPr>
                  <m:t>-OPE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var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η</m:t>
                        </m:r>
                      </m:sub>
                    </m:sSub>
                    <m:r>
                      <w:rPr>
                        <w:rFonts w:ascii="Cambria Math" w:hAnsi="Cambria Math" w:cs="Times New Roman"/>
                      </w:rPr>
                      <m:t>-TB</m:t>
                    </m:r>
                  </m:e>
                </m:d>
              </m:e>
            </m:d>
            <m:r>
              <w:rPr>
                <w:rFonts w:ascii="Cambria Math" w:hAnsi="Cambria Math" w:cs="Times New Roman"/>
              </w:rPr>
              <m:t>-OPE</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fixed</m:t>
                </m:r>
              </m:sub>
            </m:sSub>
            <m:r>
              <w:rPr>
                <w:rFonts w:ascii="Cambria Math" w:hAnsi="Cambria Math" w:cs="Times New Roman"/>
              </w:rPr>
              <m:t>-D</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oMath>
      <w:r>
        <w:tab/>
      </w:r>
      <w:r w:rsidRPr="00CB66E6">
        <w:t></w:t>
      </w:r>
      <w:r w:rsidR="009F059F">
        <w:t>6</w:t>
      </w:r>
      <w:r w:rsidRPr="00CB66E6">
        <w:t></w:t>
      </w:r>
    </w:p>
    <w:p w14:paraId="548AAB10" w14:textId="28D3BC36" w:rsidR="00E5718A" w:rsidRDefault="009F059F" w:rsidP="00E7596C">
      <w:pPr>
        <w:pStyle w:val="BodyText"/>
      </w:pPr>
      <w:r w:rsidRPr="009F059F">
        <w:t xml:space="preserve">where C is the nameplate capacity (1,000 MW), CF is the capacity factor (0.60 for CCGT), 24 converts hourly to daily revenue,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sidRPr="009F059F">
        <w:t xml:space="preserve"> is the electricity pool price (CAD/MWh), OPEX_fixed is the daily fixed operating and maintenance cost (CAD/day), D is the daily annuity debt payment, and </w:t>
      </w:r>
      <m:oMath>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oMath>
      <w:r w:rsidRPr="009F059F">
        <w:t xml:space="preserve"> is the discount factor at day t with daily discount rate r. The net present value (NPV) is the sum of all discounted daily cashflows over the 40-year horizon.</w:t>
      </w:r>
    </w:p>
    <w:p w14:paraId="099E738A" w14:textId="01488FC2" w:rsidR="00E5718A" w:rsidRDefault="009F059F" w:rsidP="00E5718A">
      <w:pPr>
        <w:pStyle w:val="Heading2"/>
      </w:pPr>
      <w:r>
        <w:t>Nuclear CashFlow and Net Present Value</w:t>
      </w:r>
    </w:p>
    <w:p w14:paraId="1EC32769" w14:textId="316B65EB" w:rsidR="00E5718A" w:rsidRDefault="009F059F" w:rsidP="00E5718A">
      <w:pPr>
        <w:pStyle w:val="BodyText"/>
      </w:pPr>
      <w:r w:rsidRPr="009F059F">
        <w:t>The daily cashflow for a 1,000 MW nuclear plant differs from the CCGT in that uranium fuel costs replace natural gas expenses and capacity factor reflects the higher baseload utilization of nuclear plants</w:t>
      </w:r>
      <w:r>
        <w:t>:</w:t>
      </w:r>
    </w:p>
    <w:p w14:paraId="10955C0D" w14:textId="079E9D82" w:rsidR="009F059F" w:rsidRDefault="009F059F" w:rsidP="009F059F">
      <w:pPr>
        <w:pStyle w:val="equation"/>
      </w:pPr>
      <w:r w:rsidRPr="005B520E">
        <w:tab/>
      </w:r>
      <m:oMath>
        <m:r>
          <w:rPr>
            <w:rFonts w:ascii="Cambria Math" w:hAnsi="Cambria Math"/>
          </w:rPr>
          <m:t>C</m:t>
        </m:r>
        <m:sSub>
          <m:sSubPr>
            <m:ctrlPr>
              <w:rPr>
                <w:rFonts w:ascii="Cambria Math" w:hAnsi="Cambria Math"/>
              </w:rPr>
            </m:ctrlPr>
          </m:sSubPr>
          <m:e>
            <m:r>
              <w:rPr>
                <w:rFonts w:ascii="Cambria Math" w:hAnsi="Cambria Math"/>
              </w:rPr>
              <m:t>F</m:t>
            </m:r>
            <m:ctrlPr>
              <w:rPr>
                <w:rFonts w:ascii="Cambria Math" w:hAnsi="Cambria Math"/>
                <w:i/>
                <w:iCs/>
              </w:rPr>
            </m:ctrlPr>
          </m:e>
          <m:sub>
            <m:r>
              <w:rPr>
                <w:rFonts w:ascii="Cambria Math" w:hAnsi="Cambria Math"/>
              </w:rPr>
              <m:t>nuc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CF</m:t>
            </m:r>
            <m:r>
              <m:rPr>
                <m:sty m:val="p"/>
              </m:rPr>
              <w:rPr>
                <w:rFonts w:ascii="Cambria Math" w:hAnsi="Cambria Math"/>
              </w:rPr>
              <m:t>⋅24</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R</m:t>
                    </m:r>
                    <m:ctrlPr>
                      <w:rPr>
                        <w:rFonts w:ascii="Cambria Math" w:hAnsi="Cambria Math"/>
                        <w:i/>
                        <w:iCs/>
                      </w:rPr>
                    </m:ctrlPr>
                  </m:e>
                  <m:sub>
                    <m:r>
                      <w:rPr>
                        <w:rFonts w:ascii="Cambria Math" w:hAnsi="Cambria Math"/>
                      </w:rPr>
                      <m:t>nuc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OPE</m:t>
                </m:r>
                <m:sSub>
                  <m:sSubPr>
                    <m:ctrlPr>
                      <w:rPr>
                        <w:rFonts w:ascii="Cambria Math" w:hAnsi="Cambria Math"/>
                      </w:rPr>
                    </m:ctrlPr>
                  </m:sSubPr>
                  <m:e>
                    <m:r>
                      <w:rPr>
                        <w:rFonts w:ascii="Cambria Math" w:hAnsi="Cambria Math"/>
                      </w:rPr>
                      <m:t>X</m:t>
                    </m:r>
                    <m:ctrlPr>
                      <w:rPr>
                        <w:rFonts w:ascii="Cambria Math" w:hAnsi="Cambria Math"/>
                        <w:i/>
                        <w:iCs/>
                      </w:rPr>
                    </m:ctrlPr>
                  </m:e>
                  <m:sub>
                    <m:r>
                      <w:rPr>
                        <w:rFonts w:ascii="Cambria Math" w:hAnsi="Cambria Math"/>
                      </w:rPr>
                      <m:t>var</m:t>
                    </m:r>
                    <m:r>
                      <m:rPr>
                        <m:sty m:val="p"/>
                      </m:rPr>
                      <w:rPr>
                        <w:rFonts w:ascii="Cambria Math" w:hAnsi="Cambria Math"/>
                      </w:rPr>
                      <m:t>,</m:t>
                    </m:r>
                    <m:r>
                      <w:rPr>
                        <w:rFonts w:ascii="Cambria Math" w:hAnsi="Cambria Math"/>
                      </w:rPr>
                      <m:t>nuc</m:t>
                    </m:r>
                  </m:sub>
                </m:sSub>
              </m:e>
            </m:d>
            <m:r>
              <m:rPr>
                <m:sty m:val="p"/>
              </m:rPr>
              <w:rPr>
                <w:rFonts w:ascii="Cambria Math" w:hAnsi="Cambria Math"/>
              </w:rPr>
              <m:t>-</m:t>
            </m:r>
            <m:r>
              <w:rPr>
                <w:rFonts w:ascii="Cambria Math" w:hAnsi="Cambria Math"/>
              </w:rPr>
              <m:t>OPE</m:t>
            </m:r>
            <m:sSub>
              <m:sSubPr>
                <m:ctrlPr>
                  <w:rPr>
                    <w:rFonts w:ascii="Cambria Math" w:hAnsi="Cambria Math"/>
                  </w:rPr>
                </m:ctrlPr>
              </m:sSubPr>
              <m:e>
                <m:r>
                  <w:rPr>
                    <w:rFonts w:ascii="Cambria Math" w:hAnsi="Cambria Math"/>
                  </w:rPr>
                  <m:t>X</m:t>
                </m:r>
                <m:ctrlPr>
                  <w:rPr>
                    <w:rFonts w:ascii="Cambria Math" w:hAnsi="Cambria Math"/>
                    <w:i/>
                    <w:iCs/>
                  </w:rPr>
                </m:ctrlPr>
              </m:e>
              <m:sub>
                <m:r>
                  <w:rPr>
                    <w:rFonts w:ascii="Cambria Math" w:hAnsi="Cambria Math"/>
                  </w:rPr>
                  <m:t>fixed</m:t>
                </m:r>
                <m:r>
                  <m:rPr>
                    <m:sty m:val="p"/>
                  </m:rPr>
                  <w:rPr>
                    <w:rFonts w:ascii="Cambria Math" w:hAnsi="Cambria Math"/>
                  </w:rPr>
                  <m:t>,</m:t>
                </m:r>
                <m:r>
                  <w:rPr>
                    <w:rFonts w:ascii="Cambria Math" w:hAnsi="Cambria Math"/>
                  </w:rPr>
                  <m:t>nuc</m:t>
                </m:r>
              </m:sub>
            </m:sSub>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ab/>
      </w:r>
      <w:r>
        <w:tab/>
      </w:r>
      <w:r w:rsidRPr="00CB66E6">
        <w:t></w:t>
      </w:r>
      <w:r>
        <w:t>7</w:t>
      </w:r>
      <w:r w:rsidRPr="00CB66E6">
        <w:t></w:t>
      </w:r>
    </w:p>
    <w:p w14:paraId="793083F7" w14:textId="429A2E89" w:rsidR="0012284D" w:rsidRDefault="0012284D" w:rsidP="0012284D">
      <w:pPr>
        <w:pStyle w:val="equation"/>
        <w:jc w:val="left"/>
      </w:pPr>
      <w:r w:rsidRPr="00D91EE8">
        <w:rPr>
          <w:rFonts w:ascii="Times New Roman" w:eastAsia="Times New Roman" w:hAnsi="Times New Roman" w:cs="Times New Roman"/>
          <w:lang w:val="en-CA"/>
        </w:rPr>
        <w:t xml:space="preserve">where </w:t>
      </w:r>
      <m:oMath>
        <m:r>
          <w:rPr>
            <w:rFonts w:ascii="Cambria Math" w:eastAsia="Times New Roman" w:hAnsi="Cambria Math" w:cs="Times New Roman"/>
            <w:lang w:val="en-CA"/>
          </w:rPr>
          <m:t>H</m:t>
        </m:r>
        <m:sSub>
          <m:sSubPr>
            <m:ctrlPr>
              <w:rPr>
                <w:rFonts w:ascii="Cambria Math" w:eastAsia="Times New Roman" w:hAnsi="Cambria Math" w:cs="Times New Roman"/>
                <w:lang w:val="en-CA"/>
              </w:rPr>
            </m:ctrlPr>
          </m:sSubPr>
          <m:e>
            <m:r>
              <w:rPr>
                <w:rFonts w:ascii="Cambria Math" w:eastAsia="Times New Roman" w:hAnsi="Cambria Math" w:cs="Times New Roman"/>
                <w:lang w:val="en-CA"/>
              </w:rPr>
              <m:t>R</m:t>
            </m:r>
          </m:e>
          <m:sub>
            <m:r>
              <w:rPr>
                <w:rFonts w:ascii="Cambria Math" w:eastAsia="Times New Roman" w:hAnsi="Cambria Math" w:cs="Times New Roman"/>
                <w:lang w:val="en-CA"/>
              </w:rPr>
              <m:t>nuc</m:t>
            </m:r>
          </m:sub>
        </m:sSub>
      </m:oMath>
      <w:r w:rsidRPr="00D91EE8">
        <w:rPr>
          <w:rFonts w:ascii="Times New Roman" w:eastAsia="Times New Roman" w:hAnsi="Times New Roman" w:cs="Times New Roman"/>
          <w:lang w:val="en-CA"/>
        </w:rPr>
        <w:t xml:space="preserve">is the nuclear heat rate (10.9 GJ/MWh), </w:t>
      </w:r>
      <m:oMath>
        <m:sSub>
          <m:sSubPr>
            <m:ctrlPr>
              <w:rPr>
                <w:rFonts w:ascii="Cambria Math" w:eastAsia="Times New Roman" w:hAnsi="Cambria Math" w:cs="Times New Roman"/>
                <w:lang w:val="en-CA"/>
              </w:rPr>
            </m:ctrlPr>
          </m:sSubPr>
          <m:e>
            <m:r>
              <w:rPr>
                <w:rFonts w:ascii="Cambria Math" w:eastAsia="Times New Roman" w:hAnsi="Cambria Math" w:cs="Times New Roman"/>
                <w:lang w:val="en-CA"/>
              </w:rPr>
              <m:t>P</m:t>
            </m:r>
          </m:e>
          <m:sub>
            <m:r>
              <w:rPr>
                <w:rFonts w:ascii="Cambria Math" w:eastAsia="Times New Roman" w:hAnsi="Cambria Math" w:cs="Times New Roman"/>
                <w:lang w:val="en-CA"/>
              </w:rPr>
              <m:t>u</m:t>
            </m:r>
          </m:sub>
        </m:sSub>
      </m:oMath>
      <w:r w:rsidRPr="00D91EE8">
        <w:rPr>
          <w:rFonts w:ascii="Times New Roman" w:eastAsia="Times New Roman" w:hAnsi="Times New Roman" w:cs="Times New Roman"/>
          <w:lang w:val="en-CA"/>
        </w:rPr>
        <w:t xml:space="preserve">is the uranium fuel price (0.94 CAD/GJ), </w:t>
      </w:r>
      <m:oMath>
        <m:r>
          <w:rPr>
            <w:rFonts w:ascii="Cambria Math" w:eastAsia="Times New Roman" w:hAnsi="Cambria Math" w:cs="Times New Roman"/>
            <w:lang w:val="en-CA"/>
          </w:rPr>
          <m:t>OPE</m:t>
        </m:r>
        <m:sSub>
          <m:sSubPr>
            <m:ctrlPr>
              <w:rPr>
                <w:rFonts w:ascii="Cambria Math" w:eastAsia="Times New Roman" w:hAnsi="Cambria Math" w:cs="Times New Roman"/>
                <w:lang w:val="en-CA"/>
              </w:rPr>
            </m:ctrlPr>
          </m:sSubPr>
          <m:e>
            <m:r>
              <w:rPr>
                <w:rFonts w:ascii="Cambria Math" w:eastAsia="Times New Roman" w:hAnsi="Cambria Math" w:cs="Times New Roman"/>
                <w:lang w:val="en-CA"/>
              </w:rPr>
              <m:t>X</m:t>
            </m:r>
          </m:e>
          <m:sub>
            <m:r>
              <w:rPr>
                <w:rFonts w:ascii="Cambria Math" w:eastAsia="Times New Roman" w:hAnsi="Cambria Math" w:cs="Times New Roman"/>
                <w:lang w:val="en-CA"/>
              </w:rPr>
              <m:t>var,nuc</m:t>
            </m:r>
          </m:sub>
        </m:sSub>
      </m:oMath>
      <w:r w:rsidRPr="00D91EE8">
        <w:rPr>
          <w:rFonts w:ascii="Times New Roman" w:eastAsia="Times New Roman" w:hAnsi="Times New Roman" w:cs="Times New Roman"/>
          <w:lang w:val="en-CA"/>
        </w:rPr>
        <w:t xml:space="preserve">is the variable operating cost excluding fuel (3 CAD/MWh), </w:t>
      </w:r>
      <m:oMath>
        <m:r>
          <w:rPr>
            <w:rFonts w:ascii="Cambria Math" w:eastAsia="Times New Roman" w:hAnsi="Cambria Math" w:cs="Times New Roman"/>
            <w:lang w:val="en-CA"/>
          </w:rPr>
          <m:t>CF</m:t>
        </m:r>
      </m:oMath>
      <w:r w:rsidRPr="00D91EE8">
        <w:rPr>
          <w:rFonts w:ascii="Times New Roman" w:eastAsia="Times New Roman" w:hAnsi="Times New Roman" w:cs="Times New Roman"/>
          <w:lang w:val="en-CA"/>
        </w:rPr>
        <w:t xml:space="preserve">is the nuclear capacity factor (0.90), </w:t>
      </w:r>
      <m:oMath>
        <m:r>
          <w:rPr>
            <w:rFonts w:ascii="Cambria Math" w:eastAsia="Times New Roman" w:hAnsi="Cambria Math" w:cs="Times New Roman"/>
            <w:lang w:val="en-CA"/>
          </w:rPr>
          <m:t>OPE</m:t>
        </m:r>
        <m:sSub>
          <m:sSubPr>
            <m:ctrlPr>
              <w:rPr>
                <w:rFonts w:ascii="Cambria Math" w:eastAsia="Times New Roman" w:hAnsi="Cambria Math" w:cs="Times New Roman"/>
                <w:lang w:val="en-CA"/>
              </w:rPr>
            </m:ctrlPr>
          </m:sSubPr>
          <m:e>
            <m:r>
              <w:rPr>
                <w:rFonts w:ascii="Cambria Math" w:eastAsia="Times New Roman" w:hAnsi="Cambria Math" w:cs="Times New Roman"/>
                <w:lang w:val="en-CA"/>
              </w:rPr>
              <m:t>X</m:t>
            </m:r>
          </m:e>
          <m:sub>
            <m:r>
              <w:rPr>
                <w:rFonts w:ascii="Cambria Math" w:eastAsia="Times New Roman" w:hAnsi="Cambria Math" w:cs="Times New Roman"/>
                <w:lang w:val="en-CA"/>
              </w:rPr>
              <m:t>fixed,nuc</m:t>
            </m:r>
          </m:sub>
        </m:sSub>
      </m:oMath>
      <w:r w:rsidRPr="00D91EE8">
        <w:rPr>
          <w:rFonts w:ascii="Times New Roman" w:eastAsia="Times New Roman" w:hAnsi="Times New Roman" w:cs="Times New Roman"/>
          <w:lang w:val="en-CA"/>
        </w:rPr>
        <w:t>is the daily fixed operating and maintenance cost (CAD/day), and all other terms are as defined above. Unlike gas plants, nuclear plants incur no carbon costs because nuclear power production produces negligible emissions. This structural advantage allows nuclear to capture the full value of any electricity price increase caused by rising gas or carbon prices.</w:t>
      </w:r>
    </w:p>
    <w:p w14:paraId="54E7EC78" w14:textId="4D012D09" w:rsidR="009303D9" w:rsidRDefault="0012284D" w:rsidP="006B6B66">
      <w:pPr>
        <w:pStyle w:val="Heading1"/>
      </w:pPr>
      <w:r>
        <w:t>Results</w:t>
      </w:r>
    </w:p>
    <w:p w14:paraId="6B95DCF9" w14:textId="77777777" w:rsidR="0012284D" w:rsidRDefault="0012284D" w:rsidP="0012284D">
      <w:pPr>
        <w:pStyle w:val="BodyText"/>
      </w:pPr>
      <w:r>
        <w:t>A significant finding is that nuclear cashflows are more sensitive to the gas price than CCGT, for example, as the gas price increases nuclear revenues grow much faster. This asymmetry arises partially because nuclear has a greater capacity factor and therefore exposure to the electricity price, but also because nuclear captures the full upside of a higher pool price without incurring the corresponding increase in fuel costs. CCGT revenue gains are partially offset by rising gas prices because of a corresponding increase in fuel expenses. Figures 2 and 4 illustrate a scenario where this dynamic plays out over a 40-year horizon.</w:t>
      </w:r>
    </w:p>
    <w:p w14:paraId="6F4B2FB2" w14:textId="77777777" w:rsidR="0012284D" w:rsidRDefault="0012284D" w:rsidP="0012284D">
      <w:pPr>
        <w:pStyle w:val="BodyText"/>
      </w:pPr>
      <w:r>
        <w:t>Table 1 presents NPV outcomes and mean electricity prices across all modelled scenarios. Under base-case 2024 market conditions, nuclear yielded a negative NPV of approximately −$6 billion, while CCGT achieved a positive NPV of $414 million. With increasing gas prices across scenarios 1 through 3, nuclear NPV improved substantially faster than CCGT. Scenario 3 shows that a fourfold increase in the gas price raised nuclear NPV by approximately $2 billion, compared to only $250 million for CCGT. As a proportion of each technology's upfront cost, the relative improvement (ROI) as the gas price increased by 4 times was approximately 8% greater for nuclear compared to CCGT. The effects of the natural gas price on the electricity price and the NPV of CCGT and nuclear are shown in figure 3.</w:t>
      </w:r>
    </w:p>
    <w:p w14:paraId="3271A797" w14:textId="49AE451A" w:rsidR="0012284D" w:rsidRDefault="0012284D" w:rsidP="0012284D">
      <w:pPr>
        <w:pStyle w:val="BodyText"/>
      </w:pPr>
      <w:proofErr w:type="spellStart"/>
      <w:r>
        <w:t>gggg</w:t>
      </w:r>
      <w:proofErr w:type="spellEnd"/>
    </w:p>
    <w:p w14:paraId="4D37234C" w14:textId="77777777" w:rsidR="0012284D" w:rsidRDefault="0012284D" w:rsidP="0012284D">
      <w:pPr>
        <w:pStyle w:val="BodyText"/>
      </w:pPr>
      <w:r>
        <w:t>Removing the TIER benchmark in scenario 4 had a significantly negative effect on CCGT NPV, reducing it by $495 million relative to the base case and pushing it into negative NPV. Nuclear NPV was comparatively less affected, improving by nearly $3 billion in this scenario, as it carries no carbon liability and therefore benefits from the higher pool price without any offsetting cost increase. When TIER benchmark removal is combined with an increased gas price, dynamics are amplified further. Scenario 5, paired benchmark removal with a fivefold gas price increase, resulting in the narrowest NPV gap between the two technologies across all modelled scenarios. In scenario 5, nuclear NPV approaches breakeven while CCGT NPV remained comparable to the base case. However, this convergence resulted in the mean electricity price almost tripling to $164/MWh. The first three scenarios in Table 1 show that each $1.5 CAD/GJ increase in the gas price corresponded with approximately a $10/MWh increase in the pool price. Removing the TIER benchmark added approximately $50/MWh increase to the pool price.</w:t>
      </w:r>
    </w:p>
    <w:p w14:paraId="5751F379" w14:textId="77777777" w:rsidR="0012284D" w:rsidRDefault="0012284D" w:rsidP="0012284D">
      <w:pPr>
        <w:pStyle w:val="BodyText"/>
      </w:pPr>
    </w:p>
    <w:p w14:paraId="02EF7903" w14:textId="66BDF5F9" w:rsidR="0012284D" w:rsidRDefault="0012284D" w:rsidP="0012284D">
      <w:pPr>
        <w:pStyle w:val="BodyText"/>
      </w:pPr>
      <w:r>
        <w:t>Scenario 6 in Table 1 shows that when current policy conditions are maintained i.e., a carbon price frozen at $95/tonne CO₂, and the TIER benchmark remains, there is minimal change in the NPV of either technology relative to the base case. For example, under the TIER benchmark, when the carbon price was raised to $500/tonne CO₂, CCGT NPV rose to $1.7 billion and the mean electricity price increased to $103.1/MWh, yet nuclear NPV remained deeply negative at approximately −$4 billion.</w:t>
      </w:r>
    </w:p>
    <w:p w14:paraId="410CAB49" w14:textId="77777777" w:rsidR="00B850F5" w:rsidRDefault="00B850F5" w:rsidP="0008375C">
      <w:pPr>
        <w:pStyle w:val="BodyText"/>
        <w:ind w:firstLine="0"/>
        <w:sectPr w:rsidR="00B850F5" w:rsidSect="00C919A4">
          <w:type w:val="continuous"/>
          <w:pgSz w:w="12240" w:h="15840" w:code="1"/>
          <w:pgMar w:top="1080" w:right="907" w:bottom="1440" w:left="907" w:header="720" w:footer="720" w:gutter="0"/>
          <w:cols w:num="2" w:space="360"/>
          <w:docGrid w:linePitch="360"/>
        </w:sectPr>
      </w:pPr>
    </w:p>
    <w:p w14:paraId="5064E44F" w14:textId="07E6F0D2" w:rsidR="0008375C" w:rsidRPr="0008375C" w:rsidRDefault="0008375C" w:rsidP="0008375C">
      <w:pPr>
        <w:pStyle w:val="tablehead"/>
        <w:numPr>
          <w:ilvl w:val="0"/>
          <w:numId w:val="0"/>
        </w:numPr>
        <w:jc w:val="both"/>
        <w:rPr>
          <w:smallCaps w:val="0"/>
          <w:noProof w:val="0"/>
          <w:spacing w:val="-1"/>
          <w:lang w:val="x-none" w:eastAsia="x-none"/>
        </w:rPr>
      </w:pPr>
      <w:r w:rsidRPr="0008375C">
        <w:rPr>
          <w:smallCaps w:val="0"/>
          <w:noProof w:val="0"/>
          <w:spacing w:val="-1"/>
          <w:lang w:val="x-none" w:eastAsia="x-none"/>
        </w:rPr>
        <w:lastRenderedPageBreak/>
        <w:t xml:space="preserve">Figure 1. </w:t>
      </w:r>
      <w:r w:rsidRPr="0008375C">
        <w:rPr>
          <w:smallCaps w:val="0"/>
          <w:noProof w:val="0"/>
          <w:spacing w:val="-1"/>
          <w:lang w:val="x-none" w:eastAsia="x-none"/>
        </w:rPr>
        <w:t>Net present value (NPV) and mean electricity price outcomes for nuclear and CCGT generation under varying gas price, carbon price, and TIER benchmark scenarios, modelled under 2024 Alberta market conditions.</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2406"/>
        <w:gridCol w:w="1336"/>
        <w:gridCol w:w="1336"/>
        <w:gridCol w:w="1336"/>
        <w:gridCol w:w="1336"/>
        <w:gridCol w:w="1336"/>
        <w:gridCol w:w="1334"/>
      </w:tblGrid>
      <w:tr w:rsidR="00B5021F" w14:paraId="5C9792A1" w14:textId="0C5285A7" w:rsidTr="00AF3C8F">
        <w:trPr>
          <w:cantSplit/>
          <w:trHeight w:val="240"/>
          <w:tblHeader/>
          <w:jc w:val="center"/>
        </w:trPr>
        <w:tc>
          <w:tcPr>
            <w:tcW w:w="1155" w:type="pct"/>
            <w:vMerge w:val="restart"/>
            <w:vAlign w:val="center"/>
          </w:tcPr>
          <w:p w14:paraId="4113FBF1" w14:textId="6CE48128" w:rsidR="00B5021F" w:rsidRDefault="004E52BA" w:rsidP="008C7337">
            <w:pPr>
              <w:pStyle w:val="tablecolhead"/>
            </w:pPr>
            <w:r>
              <w:t>Scenario Result</w:t>
            </w:r>
          </w:p>
        </w:tc>
        <w:tc>
          <w:tcPr>
            <w:tcW w:w="3845" w:type="pct"/>
            <w:gridSpan w:val="6"/>
            <w:vAlign w:val="center"/>
          </w:tcPr>
          <w:p w14:paraId="54DE0141" w14:textId="0C55E055" w:rsidR="00B5021F" w:rsidRDefault="00B5021F" w:rsidP="008C7337">
            <w:pPr>
              <w:pStyle w:val="tablecolhead"/>
            </w:pPr>
            <w:r>
              <w:t>Scenario compared to 2024 base case</w:t>
            </w:r>
          </w:p>
        </w:tc>
      </w:tr>
      <w:tr w:rsidR="00B5021F" w14:paraId="3179B87B" w14:textId="63E3042D" w:rsidTr="00AF3C8F">
        <w:trPr>
          <w:cantSplit/>
          <w:trHeight w:val="240"/>
          <w:tblHeader/>
          <w:jc w:val="center"/>
        </w:trPr>
        <w:tc>
          <w:tcPr>
            <w:tcW w:w="1155" w:type="pct"/>
            <w:vMerge/>
          </w:tcPr>
          <w:p w14:paraId="3DE12286" w14:textId="77777777" w:rsidR="00B5021F" w:rsidRDefault="00B5021F" w:rsidP="008C7337">
            <w:pPr>
              <w:rPr>
                <w:sz w:val="16"/>
                <w:szCs w:val="16"/>
              </w:rPr>
            </w:pPr>
          </w:p>
        </w:tc>
        <w:tc>
          <w:tcPr>
            <w:tcW w:w="641" w:type="pct"/>
            <w:vAlign w:val="center"/>
          </w:tcPr>
          <w:p w14:paraId="00F64813" w14:textId="5897AACF" w:rsidR="00B5021F" w:rsidRDefault="00B5021F" w:rsidP="008C7337">
            <w:pPr>
              <w:pStyle w:val="tablecolsubhead"/>
            </w:pPr>
            <w:r>
              <w:t>2024 base case</w:t>
            </w:r>
          </w:p>
        </w:tc>
        <w:tc>
          <w:tcPr>
            <w:tcW w:w="641" w:type="pct"/>
            <w:vAlign w:val="center"/>
          </w:tcPr>
          <w:p w14:paraId="0337A8C5" w14:textId="25D1605A" w:rsidR="00B5021F" w:rsidRDefault="00B5021F" w:rsidP="008C7337">
            <w:pPr>
              <w:pStyle w:val="tablecolsubhead"/>
            </w:pPr>
            <w:r>
              <w:t>2x gas price increase</w:t>
            </w:r>
          </w:p>
        </w:tc>
        <w:tc>
          <w:tcPr>
            <w:tcW w:w="641" w:type="pct"/>
            <w:vAlign w:val="center"/>
          </w:tcPr>
          <w:p w14:paraId="095232F6" w14:textId="1B456933" w:rsidR="00B5021F" w:rsidRDefault="00B5021F" w:rsidP="008C7337">
            <w:pPr>
              <w:pStyle w:val="tablecolsubhead"/>
            </w:pPr>
            <w:r>
              <w:t>4x gas price increase</w:t>
            </w:r>
          </w:p>
        </w:tc>
        <w:tc>
          <w:tcPr>
            <w:tcW w:w="641" w:type="pct"/>
          </w:tcPr>
          <w:p w14:paraId="08ADF9F2" w14:textId="4B51FCE9" w:rsidR="00B5021F" w:rsidRDefault="00AF3C8F" w:rsidP="008C7337">
            <w:pPr>
              <w:pStyle w:val="tablecolsubhead"/>
            </w:pPr>
            <w:r>
              <w:t>No</w:t>
            </w:r>
            <w:r w:rsidR="00B5021F">
              <w:t xml:space="preserve"> TIER </w:t>
            </w:r>
            <w:r>
              <w:t>benchmark</w:t>
            </w:r>
          </w:p>
        </w:tc>
        <w:tc>
          <w:tcPr>
            <w:tcW w:w="641" w:type="pct"/>
          </w:tcPr>
          <w:p w14:paraId="130A563B" w14:textId="28C7B9FB" w:rsidR="00B5021F" w:rsidRDefault="00AF3C8F" w:rsidP="008C7337">
            <w:pPr>
              <w:pStyle w:val="tablecolsubhead"/>
            </w:pPr>
            <w:r>
              <w:t>No</w:t>
            </w:r>
            <w:r w:rsidR="00B5021F">
              <w:t xml:space="preserve"> TIER benchmark, 6x gas price</w:t>
            </w:r>
          </w:p>
        </w:tc>
        <w:tc>
          <w:tcPr>
            <w:tcW w:w="641" w:type="pct"/>
          </w:tcPr>
          <w:p w14:paraId="172420A5" w14:textId="4F63E546" w:rsidR="00B5021F" w:rsidRDefault="00AF3C8F" w:rsidP="008C7337">
            <w:pPr>
              <w:pStyle w:val="tablecolsubhead"/>
            </w:pPr>
            <w:r>
              <w:t>No</w:t>
            </w:r>
            <w:r w:rsidR="00B5021F">
              <w:t xml:space="preserve"> TIER benchmark, 8x gas price</w:t>
            </w:r>
          </w:p>
        </w:tc>
      </w:tr>
      <w:tr w:rsidR="00B5021F" w14:paraId="1C079E0A" w14:textId="60051BCD" w:rsidTr="00AF3C8F">
        <w:trPr>
          <w:trHeight w:val="320"/>
          <w:jc w:val="center"/>
        </w:trPr>
        <w:tc>
          <w:tcPr>
            <w:tcW w:w="1155" w:type="pct"/>
          </w:tcPr>
          <w:p w14:paraId="25A71F39" w14:textId="72EE5189" w:rsidR="00B5021F" w:rsidRPr="00B5021F" w:rsidRDefault="00B5021F" w:rsidP="00B5021F">
            <w:pPr>
              <w:pStyle w:val="tablecopy"/>
            </w:pPr>
            <w:r w:rsidRPr="00B5021F">
              <w:rPr>
                <w:bCs/>
              </w:rPr>
              <w:t>CCGT NPV (millions CAD)</w:t>
            </w:r>
          </w:p>
        </w:tc>
        <w:tc>
          <w:tcPr>
            <w:tcW w:w="641" w:type="pct"/>
          </w:tcPr>
          <w:p w14:paraId="17659498" w14:textId="0DC7EC9E" w:rsidR="00B5021F" w:rsidRPr="00B5021F" w:rsidRDefault="00B5021F" w:rsidP="00B5021F">
            <w:pPr>
              <w:pStyle w:val="tablecopy"/>
            </w:pPr>
            <m:oMathPara>
              <m:oMath>
                <m:r>
                  <w:rPr>
                    <w:rFonts w:ascii="Cambria Math" w:hAnsi="Cambria Math"/>
                    <w:lang w:val="en-CA" w:eastAsia="ja-JP"/>
                  </w:rPr>
                  <m:t>311</m:t>
                </m:r>
              </m:oMath>
            </m:oMathPara>
          </w:p>
        </w:tc>
        <w:tc>
          <w:tcPr>
            <w:tcW w:w="641" w:type="pct"/>
          </w:tcPr>
          <w:p w14:paraId="2F023841" w14:textId="49CD347A" w:rsidR="00B5021F" w:rsidRPr="00B5021F" w:rsidRDefault="00B5021F" w:rsidP="00B5021F">
            <w:pPr>
              <w:rPr>
                <w:sz w:val="16"/>
                <w:szCs w:val="16"/>
              </w:rPr>
            </w:pPr>
            <m:oMathPara>
              <m:oMath>
                <m:r>
                  <w:rPr>
                    <w:rFonts w:ascii="Cambria Math" w:hAnsi="Cambria Math"/>
                    <w:sz w:val="16"/>
                    <w:szCs w:val="16"/>
                    <w:lang w:val="en-CA" w:eastAsia="ja-JP"/>
                  </w:rPr>
                  <m:t>413</m:t>
                </m:r>
              </m:oMath>
            </m:oMathPara>
          </w:p>
        </w:tc>
        <w:tc>
          <w:tcPr>
            <w:tcW w:w="641" w:type="pct"/>
          </w:tcPr>
          <w:p w14:paraId="0334CF76" w14:textId="6063064F" w:rsidR="00B5021F" w:rsidRPr="00B5021F" w:rsidRDefault="00B5021F" w:rsidP="00B5021F">
            <w:pPr>
              <w:rPr>
                <w:sz w:val="16"/>
                <w:szCs w:val="16"/>
              </w:rPr>
            </w:pPr>
            <m:oMathPara>
              <m:oMath>
                <m:r>
                  <w:rPr>
                    <w:rFonts w:ascii="Cambria Math" w:hAnsi="Cambria Math"/>
                    <w:sz w:val="16"/>
                    <w:szCs w:val="16"/>
                    <w:lang w:val="en-CA" w:eastAsia="ja-JP"/>
                  </w:rPr>
                  <m:t>654</m:t>
                </m:r>
              </m:oMath>
            </m:oMathPara>
          </w:p>
        </w:tc>
        <w:tc>
          <w:tcPr>
            <w:tcW w:w="641" w:type="pct"/>
          </w:tcPr>
          <w:p w14:paraId="46ACE4A4" w14:textId="51F5E44F" w:rsidR="00B5021F" w:rsidRPr="00B5021F" w:rsidRDefault="00B5021F" w:rsidP="00B5021F">
            <w:pPr>
              <w:rPr>
                <w:sz w:val="16"/>
                <w:szCs w:val="16"/>
              </w:rPr>
            </w:pPr>
            <m:oMathPara>
              <m:oMath>
                <m:r>
                  <w:rPr>
                    <w:rFonts w:ascii="Cambria Math" w:hAnsi="Cambria Math"/>
                    <w:sz w:val="16"/>
                    <w:szCs w:val="16"/>
                    <w:lang w:val="en-CA" w:eastAsia="ja-JP"/>
                  </w:rPr>
                  <m:t>-46</m:t>
                </m:r>
              </m:oMath>
            </m:oMathPara>
          </w:p>
        </w:tc>
        <w:tc>
          <w:tcPr>
            <w:tcW w:w="641" w:type="pct"/>
          </w:tcPr>
          <w:p w14:paraId="62D5676B" w14:textId="61447BD8" w:rsidR="00B5021F" w:rsidRPr="00B5021F" w:rsidRDefault="00B5021F" w:rsidP="00B5021F">
            <w:pPr>
              <w:rPr>
                <w:sz w:val="16"/>
                <w:szCs w:val="16"/>
              </w:rPr>
            </w:pPr>
            <m:oMathPara>
              <m:oMath>
                <m:r>
                  <w:rPr>
                    <w:rFonts w:ascii="Cambria Math" w:hAnsi="Cambria Math"/>
                    <w:sz w:val="16"/>
                    <w:szCs w:val="16"/>
                    <w:lang w:val="en-CA" w:eastAsia="ja-JP"/>
                  </w:rPr>
                  <m:t>528</m:t>
                </m:r>
              </m:oMath>
            </m:oMathPara>
          </w:p>
        </w:tc>
        <w:tc>
          <w:tcPr>
            <w:tcW w:w="641" w:type="pct"/>
          </w:tcPr>
          <w:p w14:paraId="3F087AB6" w14:textId="1B5002CF" w:rsidR="00B5021F" w:rsidRPr="00B5021F" w:rsidRDefault="00B5021F" w:rsidP="00B5021F">
            <w:pPr>
              <w:rPr>
                <w:sz w:val="16"/>
                <w:szCs w:val="16"/>
              </w:rPr>
            </w:pPr>
            <m:oMathPara>
              <m:oMath>
                <m:r>
                  <w:rPr>
                    <w:rFonts w:ascii="Cambria Math" w:hAnsi="Cambria Math"/>
                    <w:sz w:val="16"/>
                    <w:szCs w:val="16"/>
                    <w:lang w:val="en-CA" w:eastAsia="ja-JP"/>
                  </w:rPr>
                  <m:t>763</m:t>
                </m:r>
              </m:oMath>
            </m:oMathPara>
          </w:p>
        </w:tc>
      </w:tr>
      <w:tr w:rsidR="00B5021F" w14:paraId="1537847A" w14:textId="77777777" w:rsidTr="00AF3C8F">
        <w:trPr>
          <w:trHeight w:val="320"/>
          <w:jc w:val="center"/>
        </w:trPr>
        <w:tc>
          <w:tcPr>
            <w:tcW w:w="1155" w:type="pct"/>
          </w:tcPr>
          <w:p w14:paraId="75BB2C47" w14:textId="0DE20A53" w:rsidR="00B5021F" w:rsidRPr="00B5021F" w:rsidRDefault="00B5021F" w:rsidP="00B5021F">
            <w:pPr>
              <w:pStyle w:val="tablecopy"/>
              <w:rPr>
                <w:bCs/>
              </w:rPr>
            </w:pPr>
            <w:r w:rsidRPr="00B5021F">
              <w:rPr>
                <w:bCs/>
              </w:rPr>
              <w:t>Nuclear NPV (millions CAD)</w:t>
            </w:r>
          </w:p>
        </w:tc>
        <w:tc>
          <w:tcPr>
            <w:tcW w:w="641" w:type="pct"/>
          </w:tcPr>
          <w:p w14:paraId="289E93A2" w14:textId="33B2C900" w:rsidR="00B5021F" w:rsidRPr="00B5021F" w:rsidRDefault="00B5021F" w:rsidP="00B5021F">
            <w:pPr>
              <w:pStyle w:val="tablecopy"/>
              <w:rPr>
                <w:lang w:val="en-CA" w:eastAsia="ja-JP"/>
              </w:rPr>
            </w:pPr>
            <m:oMathPara>
              <m:oMath>
                <m:r>
                  <m:rPr>
                    <m:sty m:val="p"/>
                  </m:rPr>
                  <w:rPr>
                    <w:rFonts w:ascii="Cambria Math" w:hAnsi="Cambria Math"/>
                  </w:rPr>
                  <m:t>-6,080</m:t>
                </m:r>
              </m:oMath>
            </m:oMathPara>
          </w:p>
        </w:tc>
        <w:tc>
          <w:tcPr>
            <w:tcW w:w="641" w:type="pct"/>
          </w:tcPr>
          <w:p w14:paraId="669280CC" w14:textId="6CD5DD57" w:rsidR="00B5021F" w:rsidRPr="00B5021F" w:rsidRDefault="00B5021F" w:rsidP="00B5021F">
            <w:pPr>
              <w:rPr>
                <w:sz w:val="16"/>
                <w:szCs w:val="16"/>
                <w:lang w:val="en-CA" w:eastAsia="ja-JP"/>
              </w:rPr>
            </w:pPr>
            <m:oMathPara>
              <m:oMath>
                <m:r>
                  <m:rPr>
                    <m:sty m:val="p"/>
                  </m:rPr>
                  <w:rPr>
                    <w:rFonts w:ascii="Cambria Math" w:hAnsi="Cambria Math"/>
                    <w:sz w:val="16"/>
                    <w:szCs w:val="16"/>
                  </w:rPr>
                  <m:t>-5,375</m:t>
                </m:r>
              </m:oMath>
            </m:oMathPara>
          </w:p>
        </w:tc>
        <w:tc>
          <w:tcPr>
            <w:tcW w:w="641" w:type="pct"/>
          </w:tcPr>
          <w:p w14:paraId="1D63EEDF" w14:textId="6399325D" w:rsidR="00B5021F" w:rsidRPr="00B5021F" w:rsidRDefault="00B5021F" w:rsidP="00B5021F">
            <w:pPr>
              <w:rPr>
                <w:sz w:val="16"/>
                <w:szCs w:val="16"/>
                <w:lang w:val="en-CA" w:eastAsia="ja-JP"/>
              </w:rPr>
            </w:pPr>
            <m:oMathPara>
              <m:oMath>
                <m:r>
                  <m:rPr>
                    <m:sty m:val="p"/>
                  </m:rPr>
                  <w:rPr>
                    <w:rFonts w:ascii="Cambria Math" w:hAnsi="Cambria Math"/>
                    <w:sz w:val="16"/>
                    <w:szCs w:val="16"/>
                  </w:rPr>
                  <m:t>-3,798</m:t>
                </m:r>
              </m:oMath>
            </m:oMathPara>
          </w:p>
        </w:tc>
        <w:tc>
          <w:tcPr>
            <w:tcW w:w="641" w:type="pct"/>
          </w:tcPr>
          <w:p w14:paraId="1DCFB5E8" w14:textId="072DF906" w:rsidR="00B5021F" w:rsidRPr="00B5021F" w:rsidRDefault="00B5021F" w:rsidP="00B5021F">
            <w:pPr>
              <w:rPr>
                <w:sz w:val="16"/>
                <w:szCs w:val="16"/>
                <w:lang w:val="en-CA" w:eastAsia="ja-JP"/>
              </w:rPr>
            </w:pPr>
            <m:oMathPara>
              <m:oMath>
                <m:r>
                  <m:rPr>
                    <m:sty m:val="p"/>
                  </m:rPr>
                  <w:rPr>
                    <w:rFonts w:ascii="Cambria Math" w:hAnsi="Cambria Math"/>
                    <w:sz w:val="16"/>
                    <w:szCs w:val="16"/>
                  </w:rPr>
                  <m:t>-3,096</m:t>
                </m:r>
              </m:oMath>
            </m:oMathPara>
          </w:p>
        </w:tc>
        <w:tc>
          <w:tcPr>
            <w:tcW w:w="641" w:type="pct"/>
          </w:tcPr>
          <w:p w14:paraId="44825767" w14:textId="09B7097D" w:rsidR="00B5021F" w:rsidRPr="00B5021F" w:rsidRDefault="00B5021F" w:rsidP="00B5021F">
            <w:pPr>
              <w:rPr>
                <w:sz w:val="16"/>
                <w:szCs w:val="16"/>
                <w:lang w:val="en-CA" w:eastAsia="ja-JP"/>
              </w:rPr>
            </w:pPr>
            <m:oMathPara>
              <m:oMath>
                <m:r>
                  <w:rPr>
                    <w:rFonts w:ascii="Cambria Math" w:hAnsi="Cambria Math"/>
                    <w:sz w:val="16"/>
                    <w:szCs w:val="16"/>
                    <w:lang w:val="en-CA" w:eastAsia="ja-JP"/>
                  </w:rPr>
                  <m:t>752</m:t>
                </m:r>
              </m:oMath>
            </m:oMathPara>
          </w:p>
        </w:tc>
        <w:tc>
          <w:tcPr>
            <w:tcW w:w="641" w:type="pct"/>
          </w:tcPr>
          <w:p w14:paraId="575FE741" w14:textId="4DF3BDA0" w:rsidR="00B5021F" w:rsidRPr="00B5021F" w:rsidRDefault="00B5021F" w:rsidP="00B5021F">
            <w:pPr>
              <w:rPr>
                <w:sz w:val="16"/>
                <w:szCs w:val="16"/>
                <w:lang w:val="en-CA" w:eastAsia="ja-JP"/>
              </w:rPr>
            </w:pPr>
            <m:oMathPara>
              <m:oMath>
                <m:r>
                  <w:rPr>
                    <w:rFonts w:ascii="Cambria Math" w:hAnsi="Cambria Math"/>
                    <w:sz w:val="16"/>
                    <w:szCs w:val="16"/>
                    <w:lang w:val="en-CA" w:eastAsia="ja-JP"/>
                  </w:rPr>
                  <m:t>2,317</m:t>
                </m:r>
              </m:oMath>
            </m:oMathPara>
          </w:p>
        </w:tc>
      </w:tr>
      <w:tr w:rsidR="00B5021F" w14:paraId="7B92C125" w14:textId="77777777" w:rsidTr="00AF3C8F">
        <w:trPr>
          <w:trHeight w:val="320"/>
          <w:jc w:val="center"/>
        </w:trPr>
        <w:tc>
          <w:tcPr>
            <w:tcW w:w="1155" w:type="pct"/>
          </w:tcPr>
          <w:p w14:paraId="7A2E1FE7" w14:textId="4808A067" w:rsidR="00B5021F" w:rsidRPr="00B5021F" w:rsidRDefault="00B5021F" w:rsidP="00B5021F">
            <w:pPr>
              <w:pStyle w:val="tablecopy"/>
              <w:rPr>
                <w:bCs/>
              </w:rPr>
            </w:pPr>
            <w:r w:rsidRPr="00B5021F">
              <w:rPr>
                <w:bCs/>
              </w:rPr>
              <w:t>Mean Gas Price (CAD/GJ)</w:t>
            </w:r>
          </w:p>
        </w:tc>
        <w:tc>
          <w:tcPr>
            <w:tcW w:w="641" w:type="pct"/>
          </w:tcPr>
          <w:p w14:paraId="568AC851" w14:textId="0DFE61EB" w:rsidR="00B5021F" w:rsidRPr="00B5021F" w:rsidRDefault="00B5021F" w:rsidP="00B5021F">
            <w:pPr>
              <w:pStyle w:val="tablecopy"/>
            </w:pPr>
            <m:oMathPara>
              <m:oMath>
                <m:r>
                  <w:rPr>
                    <w:rFonts w:ascii="Cambria Math" w:hAnsi="Cambria Math"/>
                    <w:lang w:val="en-CA" w:eastAsia="ja-JP"/>
                  </w:rPr>
                  <m:t>1.64</m:t>
                </m:r>
              </m:oMath>
            </m:oMathPara>
          </w:p>
        </w:tc>
        <w:tc>
          <w:tcPr>
            <w:tcW w:w="641" w:type="pct"/>
          </w:tcPr>
          <w:p w14:paraId="2533BEBE" w14:textId="72FF2752" w:rsidR="00B5021F" w:rsidRPr="00B5021F" w:rsidRDefault="00B5021F" w:rsidP="00B5021F">
            <w:pPr>
              <w:rPr>
                <w:sz w:val="16"/>
                <w:szCs w:val="16"/>
              </w:rPr>
            </w:pPr>
            <m:oMathPara>
              <m:oMath>
                <m:r>
                  <w:rPr>
                    <w:rFonts w:ascii="Cambria Math" w:hAnsi="Cambria Math"/>
                    <w:sz w:val="16"/>
                    <w:szCs w:val="16"/>
                    <w:lang w:val="en-CA" w:eastAsia="ja-JP"/>
                  </w:rPr>
                  <m:t>3.00</m:t>
                </m:r>
              </m:oMath>
            </m:oMathPara>
          </w:p>
        </w:tc>
        <w:tc>
          <w:tcPr>
            <w:tcW w:w="641" w:type="pct"/>
          </w:tcPr>
          <w:p w14:paraId="4D294767" w14:textId="41946269" w:rsidR="00B5021F" w:rsidRPr="00B5021F" w:rsidRDefault="00B5021F" w:rsidP="00B5021F">
            <w:pPr>
              <w:rPr>
                <w:sz w:val="16"/>
                <w:szCs w:val="16"/>
              </w:rPr>
            </w:pPr>
            <m:oMathPara>
              <m:oMath>
                <m:r>
                  <w:rPr>
                    <w:rFonts w:ascii="Cambria Math" w:hAnsi="Cambria Math"/>
                    <w:sz w:val="16"/>
                    <w:szCs w:val="16"/>
                    <w:lang w:val="en-CA" w:eastAsia="ja-JP"/>
                  </w:rPr>
                  <m:t>6.00</m:t>
                </m:r>
              </m:oMath>
            </m:oMathPara>
          </w:p>
        </w:tc>
        <w:tc>
          <w:tcPr>
            <w:tcW w:w="641" w:type="pct"/>
          </w:tcPr>
          <w:p w14:paraId="43A52617" w14:textId="74902617" w:rsidR="00B5021F" w:rsidRPr="00B5021F" w:rsidRDefault="00B5021F" w:rsidP="00B5021F">
            <w:pPr>
              <w:rPr>
                <w:sz w:val="16"/>
                <w:szCs w:val="16"/>
              </w:rPr>
            </w:pPr>
            <m:oMathPara>
              <m:oMath>
                <m:r>
                  <w:rPr>
                    <w:rFonts w:ascii="Cambria Math" w:hAnsi="Cambria Math"/>
                    <w:sz w:val="16"/>
                    <w:szCs w:val="16"/>
                    <w:lang w:val="en-CA" w:eastAsia="ja-JP"/>
                  </w:rPr>
                  <m:t>1.65</m:t>
                </m:r>
              </m:oMath>
            </m:oMathPara>
          </w:p>
        </w:tc>
        <w:tc>
          <w:tcPr>
            <w:tcW w:w="641" w:type="pct"/>
          </w:tcPr>
          <w:p w14:paraId="31B31ADF" w14:textId="5912394A" w:rsidR="00B5021F" w:rsidRPr="00B5021F" w:rsidRDefault="00B5021F" w:rsidP="00B5021F">
            <w:pPr>
              <w:rPr>
                <w:sz w:val="16"/>
                <w:szCs w:val="16"/>
                <w:lang w:val="en-CA" w:eastAsia="ja-JP"/>
              </w:rPr>
            </w:pPr>
            <m:oMathPara>
              <m:oMath>
                <m:r>
                  <w:rPr>
                    <w:rFonts w:ascii="Cambria Math" w:hAnsi="Cambria Math"/>
                    <w:sz w:val="16"/>
                    <w:szCs w:val="16"/>
                    <w:lang w:val="en-CA" w:eastAsia="ja-JP"/>
                  </w:rPr>
                  <m:t>9.02</m:t>
                </m:r>
              </m:oMath>
            </m:oMathPara>
          </w:p>
        </w:tc>
        <w:tc>
          <w:tcPr>
            <w:tcW w:w="641" w:type="pct"/>
          </w:tcPr>
          <w:p w14:paraId="3F1AA0AC" w14:textId="2B2CAC51" w:rsidR="00B5021F" w:rsidRPr="00B5021F" w:rsidRDefault="00B5021F" w:rsidP="00B5021F">
            <w:pPr>
              <w:rPr>
                <w:sz w:val="16"/>
                <w:szCs w:val="16"/>
                <w:lang w:val="en-CA" w:eastAsia="ja-JP"/>
              </w:rPr>
            </w:pPr>
            <m:oMathPara>
              <m:oMath>
                <m:r>
                  <w:rPr>
                    <w:rFonts w:ascii="Cambria Math" w:hAnsi="Cambria Math"/>
                    <w:sz w:val="16"/>
                    <w:szCs w:val="16"/>
                    <w:lang w:val="en-CA" w:eastAsia="ja-JP"/>
                  </w:rPr>
                  <m:t>12</m:t>
                </m:r>
              </m:oMath>
            </m:oMathPara>
          </w:p>
        </w:tc>
      </w:tr>
      <w:tr w:rsidR="00B5021F" w14:paraId="3AB5125F" w14:textId="77777777" w:rsidTr="00AF3C8F">
        <w:trPr>
          <w:trHeight w:val="320"/>
          <w:jc w:val="center"/>
        </w:trPr>
        <w:tc>
          <w:tcPr>
            <w:tcW w:w="1155" w:type="pct"/>
          </w:tcPr>
          <w:p w14:paraId="6D9956E3" w14:textId="4F8E8E24" w:rsidR="00B5021F" w:rsidRPr="00B5021F" w:rsidRDefault="00B5021F" w:rsidP="00B5021F">
            <w:pPr>
              <w:pStyle w:val="tablecopy"/>
              <w:rPr>
                <w:bCs/>
              </w:rPr>
            </w:pPr>
            <w:r w:rsidRPr="00B5021F">
              <w:rPr>
                <w:bCs/>
              </w:rPr>
              <w:t>Mean Electricity Price ($/MWh)</w:t>
            </w:r>
          </w:p>
        </w:tc>
        <w:tc>
          <w:tcPr>
            <w:tcW w:w="641" w:type="pct"/>
          </w:tcPr>
          <w:p w14:paraId="2EA72D8A" w14:textId="2AEFEDCC" w:rsidR="00B5021F" w:rsidRPr="00B5021F" w:rsidRDefault="00B5021F" w:rsidP="00B5021F">
            <w:pPr>
              <w:pStyle w:val="tablecopy"/>
              <w:rPr>
                <w:lang w:val="en-CA" w:eastAsia="ja-JP"/>
              </w:rPr>
            </w:pPr>
            <m:oMathPara>
              <m:oMath>
                <m:r>
                  <w:rPr>
                    <w:rFonts w:ascii="Cambria Math" w:hAnsi="Cambria Math"/>
                    <w:lang w:val="en-CA" w:eastAsia="ja-JP"/>
                  </w:rPr>
                  <m:t>67.4</m:t>
                </m:r>
              </m:oMath>
            </m:oMathPara>
          </w:p>
        </w:tc>
        <w:tc>
          <w:tcPr>
            <w:tcW w:w="641" w:type="pct"/>
          </w:tcPr>
          <w:p w14:paraId="5E8AD056" w14:textId="5182621B" w:rsidR="00B5021F" w:rsidRPr="00B5021F" w:rsidRDefault="00B5021F" w:rsidP="00B5021F">
            <w:pPr>
              <w:rPr>
                <w:sz w:val="16"/>
                <w:szCs w:val="16"/>
                <w:lang w:val="en-CA" w:eastAsia="ja-JP"/>
              </w:rPr>
            </w:pPr>
            <m:oMathPara>
              <m:oMath>
                <m:r>
                  <w:rPr>
                    <w:rFonts w:ascii="Cambria Math" w:hAnsi="Cambria Math"/>
                    <w:sz w:val="16"/>
                    <w:szCs w:val="16"/>
                    <w:lang w:val="en-CA" w:eastAsia="ja-JP"/>
                  </w:rPr>
                  <m:t>78.7</m:t>
                </m:r>
              </m:oMath>
            </m:oMathPara>
          </w:p>
        </w:tc>
        <w:tc>
          <w:tcPr>
            <w:tcW w:w="641" w:type="pct"/>
          </w:tcPr>
          <w:p w14:paraId="0E675ED8" w14:textId="11FA8C17" w:rsidR="00B5021F" w:rsidRPr="00B5021F" w:rsidRDefault="00B5021F" w:rsidP="00B5021F">
            <w:pPr>
              <w:rPr>
                <w:sz w:val="16"/>
                <w:szCs w:val="16"/>
                <w:lang w:val="en-CA" w:eastAsia="ja-JP"/>
              </w:rPr>
            </w:pPr>
            <m:oMathPara>
              <m:oMath>
                <m:r>
                  <m:rPr>
                    <m:sty m:val="p"/>
                  </m:rPr>
                  <w:rPr>
                    <w:rFonts w:ascii="Cambria Math" w:hAnsi="Cambria Math"/>
                    <w:sz w:val="16"/>
                    <w:szCs w:val="16"/>
                  </w:rPr>
                  <m:t>103.4</m:t>
                </m:r>
              </m:oMath>
            </m:oMathPara>
          </w:p>
        </w:tc>
        <w:tc>
          <w:tcPr>
            <w:tcW w:w="641" w:type="pct"/>
          </w:tcPr>
          <w:p w14:paraId="2EAE31A7" w14:textId="53DCFF82" w:rsidR="00B5021F" w:rsidRPr="00B5021F" w:rsidRDefault="00B5021F" w:rsidP="00B5021F">
            <w:pPr>
              <w:rPr>
                <w:sz w:val="16"/>
                <w:szCs w:val="16"/>
                <w:lang w:val="en-CA" w:eastAsia="ja-JP"/>
              </w:rPr>
            </w:pPr>
            <m:oMathPara>
              <m:oMath>
                <m:r>
                  <w:rPr>
                    <w:rFonts w:ascii="Cambria Math" w:hAnsi="Cambria Math"/>
                    <w:sz w:val="16"/>
                    <w:szCs w:val="16"/>
                    <w:lang w:val="en-CA" w:eastAsia="ja-JP"/>
                  </w:rPr>
                  <m:t>116.1</m:t>
                </m:r>
              </m:oMath>
            </m:oMathPara>
          </w:p>
        </w:tc>
        <w:tc>
          <w:tcPr>
            <w:tcW w:w="641" w:type="pct"/>
          </w:tcPr>
          <w:p w14:paraId="6BB39B72" w14:textId="6042FE0F" w:rsidR="00B5021F" w:rsidRPr="00B5021F" w:rsidRDefault="00B5021F" w:rsidP="00B5021F">
            <w:pPr>
              <w:rPr>
                <w:sz w:val="16"/>
                <w:szCs w:val="16"/>
                <w:lang w:val="en-CA" w:eastAsia="ja-JP"/>
              </w:rPr>
            </w:pPr>
            <m:oMathPara>
              <m:oMath>
                <m:r>
                  <m:rPr>
                    <m:sty m:val="p"/>
                  </m:rPr>
                  <w:rPr>
                    <w:rFonts w:ascii="Cambria Math" w:hAnsi="Cambria Math"/>
                    <w:sz w:val="16"/>
                    <w:szCs w:val="16"/>
                  </w:rPr>
                  <m:t>177.8</m:t>
                </m:r>
              </m:oMath>
            </m:oMathPara>
          </w:p>
        </w:tc>
        <w:tc>
          <w:tcPr>
            <w:tcW w:w="641" w:type="pct"/>
          </w:tcPr>
          <w:p w14:paraId="645F6510" w14:textId="05196B81" w:rsidR="00B5021F" w:rsidRPr="00B5021F" w:rsidRDefault="00B5021F" w:rsidP="00B5021F">
            <w:pPr>
              <w:rPr>
                <w:sz w:val="16"/>
                <w:szCs w:val="16"/>
                <w:lang w:val="en-CA" w:eastAsia="ja-JP"/>
              </w:rPr>
            </w:pPr>
            <m:oMathPara>
              <m:oMath>
                <m:r>
                  <w:rPr>
                    <w:rFonts w:ascii="Cambria Math" w:hAnsi="Cambria Math"/>
                    <w:sz w:val="16"/>
                    <w:szCs w:val="16"/>
                    <w:lang w:val="en-CA" w:eastAsia="ja-JP"/>
                  </w:rPr>
                  <m:t>202.8</m:t>
                </m:r>
              </m:oMath>
            </m:oMathPara>
          </w:p>
        </w:tc>
      </w:tr>
    </w:tbl>
    <w:p w14:paraId="1E13E311" w14:textId="77777777" w:rsidR="00B850F5" w:rsidRDefault="00B850F5" w:rsidP="0008375C">
      <w:pPr>
        <w:pStyle w:val="BodyText"/>
        <w:ind w:firstLine="0"/>
        <w:sectPr w:rsidR="00B850F5" w:rsidSect="00B5021F">
          <w:type w:val="continuous"/>
          <w:pgSz w:w="12240" w:h="15840" w:code="1"/>
          <w:pgMar w:top="1080" w:right="907" w:bottom="1440" w:left="907" w:header="720" w:footer="720" w:gutter="0"/>
          <w:cols w:space="720"/>
          <w:docGrid w:linePitch="360"/>
        </w:sectPr>
      </w:pPr>
    </w:p>
    <w:p w14:paraId="4F0AF214" w14:textId="77777777" w:rsidR="0012284D" w:rsidRDefault="0012284D" w:rsidP="0008375C">
      <w:pPr>
        <w:pStyle w:val="BodyText"/>
        <w:ind w:firstLine="0"/>
      </w:pPr>
      <w:r>
        <w:t>Figure 4 illustrates these cashflow dynamics over the full simulation horizon, plotting daily cashflows and cashflow-to-gas-price ratios for both technologies alongside the simulated electricity price and gas price series. The most revealing panel is the top subplot, which shows each technology's daily cashflow normalized by the gas price, a proxy for margin efficiency relative to fuel cost. Nuclear normalized cashflows trended upwards during periods of elevated electricity prices whereas CCGT remained relatively flat or compressed during these same periods.</w:t>
      </w:r>
    </w:p>
    <w:p w14:paraId="60678C1C" w14:textId="194D874D" w:rsidR="009303D9" w:rsidRDefault="0012284D" w:rsidP="0012284D">
      <w:pPr>
        <w:pStyle w:val="BodyText"/>
      </w:pPr>
      <w:r>
        <w:t xml:space="preserve">CCGT cashflow compared to the electricity price was the greatest when electricity prices peaked due to a rise in the underlying gas price. Similarly, nuclear margins most often deteriorated when gas prices fell and the pool price softened. Unlike CCGT, nuclear cashflow and margins moved in lockstep with the electricity price, benefitting from increased electricity prices regardless of the behavior of underlying gas prices. When electricity prices rose independently of gas, both technologies showed increased cashflow, though the response of nuclear margins was larger given its greater output exposure. Results shown in Figure 4 confirm that nuclear and CCGT technologies respond differently to price movements. Rising gas prices significantly expand nuclear margins while having a lesser effect CCGT margins. It can be inferred that if the TIER benchmark removed, opposite behavior would be occur, where in high gas price periods nuclear normalized cashflows would rise while CCGT margins decrease relative to the electricity </w:t>
      </w:r>
      <w:r w:rsidR="00B5021F">
        <w:t>price.</w:t>
      </w:r>
      <w:r w:rsidR="00B5021F" w:rsidRPr="005B520E">
        <w:t xml:space="preserve"> After</w:t>
      </w:r>
      <w:r w:rsidR="009303D9" w:rsidRPr="005B520E">
        <w:t xml:space="preserve">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2092BFC" w14:textId="0E2F9ABF" w:rsidR="0008375C" w:rsidRDefault="0008375C" w:rsidP="0008375C">
      <w:pPr>
        <w:pStyle w:val="Heading1"/>
      </w:pPr>
      <w:r>
        <w:t>Discussion</w:t>
      </w:r>
    </w:p>
    <w:p w14:paraId="61F621BD" w14:textId="77777777" w:rsidR="0008375C" w:rsidRDefault="0008375C" w:rsidP="0008375C">
      <w:pPr>
        <w:pStyle w:val="BodyText"/>
      </w:pPr>
      <w:r>
        <w:t xml:space="preserve">Under base-case conditions, the levelized cost of nuclear power significantly exceeds that of CCGT generation; NPV results in Table 1 reflect this clearly. A fundamental feature of Alberta's electricity market is that gas prices, the marginal cost of generation, and the pool price are tightly linked, meaning no generator's revenue can be fully separated from the state of the natural gas market. As the gas price rises, so does the electricity price, and therefore revenues available to every generator. In this sense, low efficiency gas generation is complementary rather than competitive to nuclear (provided they don’t compete for </w:t>
      </w:r>
      <w:r>
        <w:t>supply which is the case in this scenario). What benefits the economic case for CCGT generation will benefit a nuclear operator as well, however, these effects are disproportionate. Because nuclear is insulated from gas as an operating expense and operates at a higher capacity factor, it captures a greater share of the revenue increase when gas and electricity prices rise. Therefore, rising gas prices narrow the cost gap between the two technologies, making nuclear comparatively more attractive in elevated gas price scenarios.</w:t>
      </w:r>
    </w:p>
    <w:p w14:paraId="3BFFFDF4" w14:textId="3A793ABC" w:rsidR="0008375C" w:rsidRPr="005B520E" w:rsidRDefault="0008375C" w:rsidP="0008375C">
      <w:pPr>
        <w:pStyle w:val="BodyText"/>
      </w:pPr>
      <w:r>
        <w:t xml:space="preserve">The same logic applies to energy policy. Regulatory or market-based policy that increases the cost of gas generation will benefit nuclear disproportionately. Removing the TIER benchmark, for example, shifts nuclear NPV from −$6 billion under the base case to approximately −$3 billion, driven not by any change in nuclear cost structure, but by the removal of a policy that shields CCGT generation from carbon liability. Raising the carbon price alone is insufficient to achieve the same effect. Under Alberta's current TIER framework, the 0.37 </w:t>
      </w:r>
      <w:proofErr w:type="spellStart"/>
      <w:r>
        <w:t>tCO₂e</w:t>
      </w:r>
      <w:proofErr w:type="spellEnd"/>
      <w:r>
        <w:t>/MWh benchmark for combined cycle generators protects CCGT from carbon costs. This means that a higher carbon price only raises the marginal cost of low-efficiency peaking-generators, therefore increasing the available revenues for nuclear and CCGT equally as opposed to giving low-carbon generation an advantage.</w:t>
      </w:r>
    </w:p>
    <w:p w14:paraId="7F770A2D" w14:textId="42212916" w:rsidR="009303D9" w:rsidRDefault="0008375C" w:rsidP="00ED0149">
      <w:pPr>
        <w:pStyle w:val="Heading2"/>
      </w:pPr>
      <w:r>
        <w:t xml:space="preserve">Implications on the Electricity </w:t>
      </w:r>
    </w:p>
    <w:p w14:paraId="68C56045" w14:textId="77777777" w:rsidR="0008375C" w:rsidRDefault="0008375C" w:rsidP="0008375C">
      <w:pPr>
        <w:pStyle w:val="BodyText"/>
      </w:pPr>
      <w:r>
        <w:t>Unfortunately, the types of conditions that improve the competitiveness of nuclear energy carry a significant cost to the ratepayer. Elevated pool prices, mean that the path to positive nuclear NPV is contingent on sustained high electricity prices. Even under present-day conditions (where nuclear is still significantly uncompetitive) the generators that set the pool price in Alberta are low-efficiency, high-emission sources that raise the electricity price. Nuclear competitiveness relies on these generators to provide elevated pool price and resulting revenues. Making nuclear economically viable requires that these generators remain in operation, a condition that contradicts the low-carbon value that nuclear provides. By the same principles, a renewable energy build-out would undermine the economics of nuclear energy because zero-marginal-cost generation suppresses the pool price and erodes the revenue base that nuclear requires. Under current de-regulated conditions, it is impossible for large-scale nuclear to be economic under a low gas price or low electricity price environment without a massive reduction in the cost of nuclear licensing, construction and financing.</w:t>
      </w:r>
    </w:p>
    <w:p w14:paraId="770B2369" w14:textId="77777777" w:rsidR="0008375C" w:rsidRDefault="0008375C" w:rsidP="00E13CF7">
      <w:pPr>
        <w:pStyle w:val="BodyText"/>
        <w:spacing w:after="0"/>
      </w:pPr>
      <w:r>
        <w:lastRenderedPageBreak/>
        <w:t xml:space="preserve">Results show a deep structural problem with Alberta's deregulated electricity market. Phasing out low efficiency gas eliminates the price signal that nuclear relies upon, taking with it the economic potential for low-carbon nuclear baseload generation to replace it. In this scenario Alberta would be left without sufficient baseload capacity to meet demand which makes it impossible to transition away from gas and make nuclear economic at the same time. This describes the trilemma that the future of electricity in Alberta is faced with: Under the current DEOM generation can only be two of: </w:t>
      </w:r>
    </w:p>
    <w:p w14:paraId="015A6604" w14:textId="77777777" w:rsidR="0008375C" w:rsidRDefault="0008375C" w:rsidP="00E13CF7">
      <w:pPr>
        <w:pStyle w:val="BodyText"/>
        <w:spacing w:after="0"/>
      </w:pPr>
      <w:r>
        <w:t>1.</w:t>
      </w:r>
      <w:r>
        <w:tab/>
        <w:t>Consistently reliable (not intermittent)</w:t>
      </w:r>
    </w:p>
    <w:p w14:paraId="0408461A" w14:textId="63055AD5" w:rsidR="0008375C" w:rsidRDefault="0008375C" w:rsidP="00E13CF7">
      <w:pPr>
        <w:pStyle w:val="BodyText"/>
        <w:spacing w:after="0"/>
      </w:pPr>
      <w:r>
        <w:t>2.</w:t>
      </w:r>
      <w:r>
        <w:tab/>
        <w:t xml:space="preserve">Inexpensive (low </w:t>
      </w:r>
      <w:r w:rsidR="00E13CF7">
        <w:t>generation cost</w:t>
      </w:r>
      <w:r>
        <w:t>)</w:t>
      </w:r>
    </w:p>
    <w:p w14:paraId="4C761216" w14:textId="77777777" w:rsidR="0008375C" w:rsidRDefault="0008375C" w:rsidP="00E13CF7">
      <w:pPr>
        <w:pStyle w:val="BodyText"/>
        <w:spacing w:after="0"/>
      </w:pPr>
      <w:r>
        <w:t>3.</w:t>
      </w:r>
      <w:r>
        <w:tab/>
        <w:t>Low carbon.</w:t>
      </w:r>
    </w:p>
    <w:p w14:paraId="2FCBF72A" w14:textId="4D1996A1" w:rsidR="006F6D3D" w:rsidRPr="0008375C" w:rsidRDefault="0008375C" w:rsidP="0008375C">
      <w:pPr>
        <w:pStyle w:val="BodyText"/>
      </w:pPr>
      <w:r>
        <w:t>As all three seem to be non-negotiable, it may become necessary to find solutions outside of the current market structure. As of 2026, no nuclear projects have ever been financed without government support. Out-of-market support for grid reliability, low-carbon or price reduction purposes may be necessary, independent of any market-based NPV calculation.</w:t>
      </w:r>
    </w:p>
    <w:p w14:paraId="3ED5C486" w14:textId="4745666A" w:rsidR="009303D9" w:rsidRDefault="0008375C" w:rsidP="00ED0149">
      <w:pPr>
        <w:pStyle w:val="Heading2"/>
      </w:pPr>
      <w:r>
        <w:t>Electriciy Prices May Rise Naturally</w:t>
      </w:r>
    </w:p>
    <w:p w14:paraId="63172B2E" w14:textId="77777777" w:rsidR="0008375C" w:rsidRDefault="0008375C" w:rsidP="0008375C">
      <w:pPr>
        <w:pStyle w:val="BodyText"/>
      </w:pPr>
      <w:r>
        <w:t>Alberta operates with an undeniably volatile future for both provincial and global gas prices. The addition of the Kitimat LNG terminal in British Columbia which is now operational, and potential expansions (including Woodfibre, Cedar LNG, and a possible LNG Canada Phase 2) are gradually linking Western Canadian gas to international Asian markets. This export pull is expected to tighten natural gas supply over time and ratchet Alberta gas prices upward, potentially from the ~$1.5/GJ 2024 lows toward a $3–6/GJ range by the early 2030s under various forecasts.</w:t>
      </w:r>
    </w:p>
    <w:p w14:paraId="0AE073F5" w14:textId="77777777" w:rsidR="0008375C" w:rsidRDefault="0008375C" w:rsidP="0008375C">
      <w:pPr>
        <w:pStyle w:val="BodyText"/>
      </w:pPr>
      <w:r>
        <w:t>Proposed electricity interties with BC (and potentially Saskatchewan) would further integrate Alberta’s market and potentially enable export of electricity at greater prices, along with renewable balancing and low-carbon imports that could support a broader regional nuclear strategy.</w:t>
      </w:r>
    </w:p>
    <w:p w14:paraId="4A55D978" w14:textId="5FCD3539" w:rsidR="009303D9" w:rsidRDefault="0008375C" w:rsidP="0008375C">
      <w:pPr>
        <w:pStyle w:val="BodyText"/>
      </w:pPr>
      <w:r>
        <w:t>These developments could sustain the elevated pool prices that nuclear requires for viability, but they also introduce new uncertainties: global LNG demand shocks, competing renewable and intertie flows that suppress prices, and policy risks around carbon pricing or export regulations. While a higher-gas-price future improves the relative economics of nuclear, realizing that future will likely depend on forces beyond Alberta’s borders, making private investment in large-scale nuclear even more uncertain, and contingent on coordinated policy support at provincial, national, and international levels.</w:t>
      </w:r>
    </w:p>
    <w:p w14:paraId="66B1CA5E" w14:textId="3F010A22" w:rsidR="0008375C" w:rsidRDefault="0008375C" w:rsidP="0008375C">
      <w:pPr>
        <w:pStyle w:val="Heading1"/>
      </w:pPr>
      <w:r>
        <w:t>Conclusion</w:t>
      </w:r>
    </w:p>
    <w:p w14:paraId="396686B5" w14:textId="77777777" w:rsidR="0008375C" w:rsidRDefault="0008375C" w:rsidP="0008375C">
      <w:pPr>
        <w:pStyle w:val="BodyText"/>
      </w:pPr>
      <w:r>
        <w:t xml:space="preserve">Under current Alberta market conditions, nuclear generation is not economically competitive. The base-case results demonstrate a substantial NPV disadvantage relative to CCGT, driven by </w:t>
      </w:r>
      <w:proofErr w:type="spellStart"/>
      <w:r>
        <w:t>nuclear's</w:t>
      </w:r>
      <w:proofErr w:type="spellEnd"/>
      <w:r>
        <w:t xml:space="preserve"> high capital cost and historical wholesale electricity prices that are insufficient to provide the revenues necessary for cost recovery. Gas prices, carbon policy design, and the TIER benchmark interact to determine the pool price that ultimately determines whether nuclear is viable. Rising gas prices and stricter market-based carbon reduction policies improve competitiveness because they raise the revenue </w:t>
      </w:r>
      <w:r>
        <w:t>available to a generator with no fuel exposure and no carbon liability. The results show that removing the TIER benchmark entirely is more consequential for nuclear competitiveness than any plausible increase in the carbon price level alone.</w:t>
      </w:r>
    </w:p>
    <w:p w14:paraId="2D4A96A9" w14:textId="77777777" w:rsidR="0008375C" w:rsidRDefault="0008375C" w:rsidP="0008375C">
      <w:pPr>
        <w:pStyle w:val="BodyText"/>
      </w:pPr>
      <w:r>
        <w:t>Conditions required for nuclear viability require sustained high electricity prices and expensive gas generation setting the margin. This is in direct tension with the long-run direction of electricity policy, which targets a zero-carbon grid. As renewable penetration increases and suppresses the pool price, the revenue case for nuclear weakens. Alberta's DEOM provides no mechanism to compensate nuclear for the capacity and reliability value it provides independent of the spot price.</w:t>
      </w:r>
    </w:p>
    <w:p w14:paraId="022FCE6E" w14:textId="2B6BDFEE" w:rsidR="0080791D" w:rsidRPr="005B520E" w:rsidRDefault="0008375C" w:rsidP="0008375C">
      <w:pPr>
        <w:pStyle w:val="BodyText"/>
      </w:pPr>
      <w:r>
        <w:t>In conclusion, nuclear is not competitive in Alberta today, and the market conditions under which it could become so are either environmentally contradictory, politically uncertain, or both. The most credible path to nuclear viability runs through a combination of more constrictive carbon policy that removes the protection currently afforded to gas generators, explicit policy support for long-lead capital investment, and a willingness to accept higher electricity prices as the cost of long-run decarbonization. Without these conditions, Alberta's energy-only market is structurally ill-suited to support nuclear generation</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BED58D6" w14:textId="77777777" w:rsidR="0008375C" w:rsidRDefault="0008375C" w:rsidP="0008375C">
      <w:pPr>
        <w:pStyle w:val="BodyText"/>
      </w:pPr>
      <w:r>
        <w:t>The author declares employment with Energy Alberta, a nuclear energy proponent in Alberta. However, as the findings of this paper present conclusions unfavorable to the viability of nuclear energy under current market conditions, this affiliation is not considered to constitute a conflict of interest. No additional competing interests are declared.</w:t>
      </w:r>
    </w:p>
    <w:p w14:paraId="7C7060F5" w14:textId="1B75D905" w:rsidR="00575BCA" w:rsidRDefault="0008375C" w:rsidP="0008375C">
      <w:pPr>
        <w:pStyle w:val="BodyText"/>
      </w:pPr>
      <w:r>
        <w:t>Dr. Jason Donev provided periodic review, overall guidance for the research, and contact with experts in the electricity and nuclear energy fields. Juan Estevez Moreno provided valuable feedback on the ideas and writing presented in this paper.</w:t>
      </w:r>
      <w:r w:rsidR="001A42EA">
        <w:t xml:space="preserve"> </w:t>
      </w:r>
    </w:p>
    <w:p w14:paraId="762EC548" w14:textId="380DE8EC" w:rsidR="009303D9" w:rsidRPr="005B520E" w:rsidRDefault="009303D9" w:rsidP="0008375C">
      <w:pPr>
        <w:pStyle w:val="Heading5"/>
      </w:pPr>
      <w:r w:rsidRPr="005B520E">
        <w:t>References</w:t>
      </w:r>
    </w:p>
    <w:p w14:paraId="560E57F2" w14:textId="353CB4C0" w:rsidR="00E13CF7" w:rsidRDefault="00E13CF7" w:rsidP="0004781E">
      <w:pPr>
        <w:pStyle w:val="references"/>
        <w:ind w:left="354" w:hanging="354"/>
      </w:pPr>
      <w:r w:rsidRPr="00E13CF7">
        <w:t xml:space="preserve">J. Emblemsvåg, “Rethinking the ‘Levelized Cost of Energy’: A critical review and evaluation of the concept,” Energy Res. Soc. Sci., vol. 119, 2025. Online. Available: </w:t>
      </w:r>
      <w:hyperlink r:id="rId10" w:history="1">
        <w:r w:rsidRPr="0066525A">
          <w:rPr>
            <w:rStyle w:val="Hyperlink"/>
          </w:rPr>
          <w:t>https://www.sciencedirect.com/science/article/pii/S2214629624004882</w:t>
        </w:r>
      </w:hyperlink>
      <w:r w:rsidRPr="00E13CF7">
        <w:t>.</w:t>
      </w:r>
    </w:p>
    <w:p w14:paraId="30D3BAB8" w14:textId="0EDA22F6" w:rsidR="00E13CF7" w:rsidRDefault="00E13CF7" w:rsidP="0004781E">
      <w:pPr>
        <w:pStyle w:val="references"/>
        <w:ind w:left="354" w:hanging="354"/>
      </w:pPr>
      <w:r w:rsidRPr="00E13CF7">
        <w:t xml:space="preserve">International Energy Agency and OECD Nuclear Energy Agency, Projected Costs of Generating Electricity: 2020 Edition, 2020. Online. Available: </w:t>
      </w:r>
      <w:hyperlink r:id="rId11" w:history="1">
        <w:r w:rsidRPr="0066525A">
          <w:rPr>
            <w:rStyle w:val="Hyperlink"/>
          </w:rPr>
          <w:t>https://www.oecd.org/content/dam/oecd/en/publications/reports/2020/12/projected-costs-of-generating-electricity-2020_9f0efddc/a6</w:t>
        </w:r>
      </w:hyperlink>
      <w:r w:rsidRPr="00E13CF7">
        <w:t>.</w:t>
      </w:r>
    </w:p>
    <w:p w14:paraId="5B1D94A1" w14:textId="0D2A2EA4" w:rsidR="00E13CF7" w:rsidRDefault="00E13CF7" w:rsidP="0004781E">
      <w:pPr>
        <w:pStyle w:val="references"/>
        <w:ind w:left="354" w:hanging="354"/>
      </w:pPr>
      <w:r w:rsidRPr="00E13CF7">
        <w:t xml:space="preserve">J. Stewart et al., “Capital cost estimation for advanced nuclear power plants,” Renew. Sustain. Energy Rev., vol. 154, 2022. Online. Available: </w:t>
      </w:r>
      <w:hyperlink r:id="rId12" w:history="1">
        <w:r w:rsidRPr="0066525A">
          <w:rPr>
            <w:rStyle w:val="Hyperlink"/>
          </w:rPr>
          <w:t>https://www.sciencedirect.com/science/article/abs/pii/S1364032121011473</w:t>
        </w:r>
      </w:hyperlink>
      <w:r w:rsidRPr="00E13CF7">
        <w:t xml:space="preserve">. </w:t>
      </w:r>
    </w:p>
    <w:p w14:paraId="0AE38B6D" w14:textId="48DCC5C9" w:rsidR="00E13CF7" w:rsidRDefault="00E13CF7" w:rsidP="0004781E">
      <w:pPr>
        <w:pStyle w:val="references"/>
        <w:ind w:left="354" w:hanging="354"/>
      </w:pPr>
      <w:r w:rsidRPr="00E13CF7">
        <w:t xml:space="preserve">A. Abou-Jaoude et al., “Literature review of advanced reactor cost estimates,” Idaho National Laboratory, INL-RPT-23-72972, 2023. Online. Available: </w:t>
      </w:r>
      <w:hyperlink r:id="rId13" w:history="1">
        <w:r w:rsidRPr="0066525A">
          <w:rPr>
            <w:rStyle w:val="Hyperlink"/>
          </w:rPr>
          <w:t>https://gain.inl.gov/content/uploads/4/2024/11/INL-RPT-23-72972-Literature-Review-of-Adv-Reactor-Cost-Estimates.pdf</w:t>
        </w:r>
      </w:hyperlink>
      <w:r w:rsidRPr="00E13CF7">
        <w:t xml:space="preserve">. </w:t>
      </w:r>
    </w:p>
    <w:p w14:paraId="17CDEB5A" w14:textId="73637B2D" w:rsidR="00E13CF7" w:rsidRDefault="00E13CF7" w:rsidP="0004781E">
      <w:pPr>
        <w:pStyle w:val="references"/>
        <w:ind w:left="354" w:hanging="354"/>
      </w:pPr>
      <w:r w:rsidRPr="00E13CF7">
        <w:t xml:space="preserve">Synapse Energy Economics, “Nuclear power plant construction costs,” 2008. Online. Available: </w:t>
      </w:r>
      <w:hyperlink r:id="rId14" w:history="1">
        <w:r w:rsidRPr="0066525A">
          <w:rPr>
            <w:rStyle w:val="Hyperlink"/>
          </w:rPr>
          <w:t>https://www.synapse-energy.com/sites/default/files/SynapsePaper.2008-07.0.Nuclear-Plant-Construction-Costs.A0022_0.pdf</w:t>
        </w:r>
      </w:hyperlink>
      <w:r w:rsidRPr="00E13CF7">
        <w:t>.</w:t>
      </w:r>
    </w:p>
    <w:p w14:paraId="11595680" w14:textId="6012DF1B" w:rsidR="00E13CF7" w:rsidRDefault="00E13CF7" w:rsidP="00156B74">
      <w:pPr>
        <w:pStyle w:val="references"/>
        <w:ind w:left="354" w:hanging="354"/>
      </w:pPr>
      <w:r w:rsidRPr="00E13CF7">
        <w:t xml:space="preserve">Pembina Institute, “Overnight costs of new nuclear reactors,” 2020. Online. Available: </w:t>
      </w:r>
      <w:hyperlink r:id="rId15" w:history="1">
        <w:r w:rsidRPr="0066525A">
          <w:rPr>
            <w:rStyle w:val="Hyperlink"/>
          </w:rPr>
          <w:t>https://www.pembina.org/pub/overnight-costs-new-nuclear-reactors</w:t>
        </w:r>
      </w:hyperlink>
      <w:r w:rsidRPr="00E13CF7">
        <w:t>.</w:t>
      </w:r>
    </w:p>
    <w:p w14:paraId="67F110B4" w14:textId="688EA59F" w:rsidR="00E13CF7" w:rsidRPr="00E13CF7" w:rsidRDefault="00E13CF7" w:rsidP="00156B74">
      <w:pPr>
        <w:pStyle w:val="references"/>
        <w:ind w:left="354" w:hanging="354"/>
        <w:rPr>
          <w:rFonts w:ascii="NimbusRomNo9L-Regu" w:eastAsia="NimbusRomNo9L-Regu" w:cs="NimbusRomNo9L-Regu"/>
        </w:rPr>
      </w:pPr>
      <w:r w:rsidRPr="00E13CF7">
        <w:lastRenderedPageBreak/>
        <w:t xml:space="preserve">World Nuclear Association, “Economics of nuclear power,” 2026. Online. Available: </w:t>
      </w:r>
      <w:hyperlink r:id="rId16" w:history="1">
        <w:r w:rsidRPr="0066525A">
          <w:rPr>
            <w:rStyle w:val="Hyperlink"/>
          </w:rPr>
          <w:t>https://world-nuclear.org/information-library/economic-aspects/economics-of-nuclear-power</w:t>
        </w:r>
      </w:hyperlink>
      <w:r w:rsidRPr="00E13CF7">
        <w:t>.</w:t>
      </w:r>
    </w:p>
    <w:p w14:paraId="3F276967" w14:textId="1CCBB9A7" w:rsidR="00E13CF7" w:rsidRPr="00E13CF7" w:rsidRDefault="00E13CF7" w:rsidP="00E13CF7">
      <w:pPr>
        <w:pStyle w:val="references"/>
        <w:ind w:left="354" w:hanging="354"/>
        <w:rPr>
          <w:rFonts w:ascii="NimbusRomNo9L-Regu" w:eastAsia="NimbusRomNo9L-Regu" w:cs="NimbusRomNo9L-Regu"/>
        </w:rPr>
      </w:pPr>
      <w:r w:rsidRPr="00E13CF7">
        <w:t xml:space="preserve">W. D’haeseleer, “Synthesis on the plant-level cost of nuclear power generation,” OECD Nuclear Energy Agency, 2013. Online. Available: </w:t>
      </w:r>
      <w:hyperlink r:id="rId17" w:history="1">
        <w:r w:rsidRPr="0066525A">
          <w:rPr>
            <w:rStyle w:val="Hyperlink"/>
          </w:rPr>
          <w:t>https://www.oecd-nea.org/upload/docs/application/pdf/2020-07/fulll_cost_workshop_5._synthesis_on_the_plant-level_cost_of_nuclear.pdf</w:t>
        </w:r>
      </w:hyperlink>
      <w:r w:rsidRPr="00E13CF7">
        <w:t>.</w:t>
      </w:r>
    </w:p>
    <w:p w14:paraId="7C6DE6F9" w14:textId="38CD856C" w:rsidR="00E13CF7" w:rsidRDefault="00E13CF7" w:rsidP="00156B74">
      <w:pPr>
        <w:pStyle w:val="references"/>
        <w:autoSpaceDE w:val="0"/>
        <w:autoSpaceDN w:val="0"/>
        <w:adjustRightInd w:val="0"/>
        <w:ind w:left="354" w:hanging="354"/>
        <w:jc w:val="left"/>
      </w:pPr>
      <w:r w:rsidRPr="00E13CF7">
        <w:t xml:space="preserve">Gas Turbine World, “Gas turbine costs ($/kW),” 2024. Online. Available: </w:t>
      </w:r>
      <w:hyperlink r:id="rId18" w:history="1">
        <w:r w:rsidRPr="0066525A">
          <w:rPr>
            <w:rStyle w:val="Hyperlink"/>
          </w:rPr>
          <w:t>https://gasturbineworld.com/gas-turbine-costs-kw/</w:t>
        </w:r>
      </w:hyperlink>
    </w:p>
    <w:p w14:paraId="10342160" w14:textId="77777777" w:rsidR="00E13CF7" w:rsidRDefault="00E13CF7" w:rsidP="00156B74">
      <w:pPr>
        <w:pStyle w:val="references"/>
        <w:autoSpaceDE w:val="0"/>
        <w:autoSpaceDN w:val="0"/>
        <w:adjustRightInd w:val="0"/>
        <w:ind w:left="354" w:hanging="354"/>
        <w:jc w:val="left"/>
      </w:pPr>
      <w:r w:rsidRPr="00E13CF7">
        <w:t>H. Chalmers, J. Gibbins, and S. Robertson, “Repowering options for complying with Canadian CO2 regulations: A case study for Alberta,” Energy Conversion and Management, 2012. Online. Available: https://albertainnovates.ca/wp-content/uploads/2022/04/CCPC-E28093-Elsevier-Article-on-Repowering-E28093-8a.pdf</w:t>
      </w:r>
      <w:r w:rsidRPr="00E13CF7">
        <w:t xml:space="preserve"> </w:t>
      </w:r>
    </w:p>
    <w:p w14:paraId="0E333974" w14:textId="444C64C7" w:rsidR="00E13CF7" w:rsidRDefault="00E13CF7" w:rsidP="00156B74">
      <w:pPr>
        <w:pStyle w:val="references"/>
        <w:autoSpaceDE w:val="0"/>
        <w:autoSpaceDN w:val="0"/>
        <w:adjustRightInd w:val="0"/>
        <w:ind w:left="354" w:hanging="354"/>
        <w:jc w:val="left"/>
      </w:pPr>
      <w:r w:rsidRPr="00E13CF7">
        <w:t xml:space="preserve">Alberta Electric System Operator, “AESO 2024 annual market statistics,” 2025. Online. Available: </w:t>
      </w:r>
      <w:hyperlink r:id="rId19" w:history="1">
        <w:r w:rsidRPr="0066525A">
          <w:rPr>
            <w:rStyle w:val="Hyperlink"/>
          </w:rPr>
          <w:t>https://www.aeso.ca/assets/Uploads/market-and-system-reporting/Annual-Market-Stats-2024.pdf</w:t>
        </w:r>
      </w:hyperlink>
    </w:p>
    <w:p w14:paraId="7CF50365" w14:textId="4276D22D" w:rsidR="00E13CF7" w:rsidRDefault="00E13CF7" w:rsidP="00156B74">
      <w:pPr>
        <w:pStyle w:val="references"/>
        <w:autoSpaceDE w:val="0"/>
        <w:autoSpaceDN w:val="0"/>
        <w:adjustRightInd w:val="0"/>
        <w:ind w:left="354" w:hanging="354"/>
        <w:jc w:val="left"/>
      </w:pPr>
      <w:r w:rsidRPr="00E13CF7">
        <w:t xml:space="preserve">Clean Prosperity, “Tightening TIER for Alberta’s decarbonization,” Oct. 2022. Online. Available: </w:t>
      </w:r>
      <w:hyperlink r:id="rId20" w:history="1">
        <w:r w:rsidRPr="0066525A">
          <w:rPr>
            <w:rStyle w:val="Hyperlink"/>
          </w:rPr>
          <w:t>https://cleanprosperity.ca/wp-content/uploads/2022/09/Tightening_TIER_for_Albertas_Decarbonization.pdf</w:t>
        </w:r>
      </w:hyperlink>
    </w:p>
    <w:p w14:paraId="44659F0C" w14:textId="09A4449D" w:rsidR="00E13CF7" w:rsidRDefault="00E13CF7" w:rsidP="00156B74">
      <w:pPr>
        <w:pStyle w:val="references"/>
        <w:autoSpaceDE w:val="0"/>
        <w:autoSpaceDN w:val="0"/>
        <w:adjustRightInd w:val="0"/>
        <w:ind w:left="354" w:hanging="354"/>
        <w:jc w:val="left"/>
      </w:pPr>
      <w:r w:rsidRPr="00E13CF7">
        <w:t xml:space="preserve">D. E. H. Olmstead and A. Yatchew, “Carbon pricing and Alberta’s energy-only electricity market,” The Electricity Journal, vol. 35, no. 4, 2022. Online. Available: </w:t>
      </w:r>
      <w:hyperlink r:id="rId21" w:history="1">
        <w:r w:rsidRPr="0066525A">
          <w:rPr>
            <w:rStyle w:val="Hyperlink"/>
          </w:rPr>
          <w:t>https://www.cdhowe.org/intelligence-memos/olmstead-yatchew-efficacy-carbon-pricing-albertas-wholesale-electricity-market</w:t>
        </w:r>
      </w:hyperlink>
      <w:r w:rsidRPr="00E13CF7">
        <w:t>.</w:t>
      </w:r>
    </w:p>
    <w:p w14:paraId="32787BF1" w14:textId="0A364169" w:rsidR="00E13CF7" w:rsidRDefault="00E13CF7" w:rsidP="00156B74">
      <w:pPr>
        <w:pStyle w:val="references"/>
        <w:autoSpaceDE w:val="0"/>
        <w:autoSpaceDN w:val="0"/>
        <w:adjustRightInd w:val="0"/>
        <w:ind w:left="354" w:hanging="354"/>
        <w:jc w:val="left"/>
      </w:pPr>
      <w:r w:rsidRPr="00E13CF7">
        <w:t>C. Jullien, H. Khalfallah, and V. Pignon, "An experimental study of capacity remuneration mechanisms in the electricity industry," The J. Energy Markets, vol. 15, no. 4, pp. 1–25, 2023. DOI: 10.21314/JEM.2023.018.</w:t>
      </w:r>
    </w:p>
    <w:p w14:paraId="4040CDA6" w14:textId="6CEFE326" w:rsidR="00E13CF7" w:rsidRDefault="00E13CF7" w:rsidP="00156B74">
      <w:pPr>
        <w:pStyle w:val="references"/>
        <w:autoSpaceDE w:val="0"/>
        <w:autoSpaceDN w:val="0"/>
        <w:adjustRightInd w:val="0"/>
        <w:ind w:left="354" w:hanging="354"/>
        <w:jc w:val="left"/>
      </w:pPr>
      <w:r w:rsidRPr="00E13CF7">
        <w:t>A. Yatchew, et al., "Alberta's electricity futures market: An empirical analysis of price formation," Energy Econ., vol. 143, 2025. DOI: 10.1016/j.eneco.2025.108284.</w:t>
      </w:r>
    </w:p>
    <w:p w14:paraId="35FD9171" w14:textId="6519B5FA" w:rsidR="00E13CF7" w:rsidRDefault="00E13CF7" w:rsidP="00156B74">
      <w:pPr>
        <w:pStyle w:val="references"/>
        <w:autoSpaceDE w:val="0"/>
        <w:autoSpaceDN w:val="0"/>
        <w:adjustRightInd w:val="0"/>
        <w:ind w:left="354" w:hanging="354"/>
        <w:jc w:val="left"/>
      </w:pPr>
      <w:r w:rsidRPr="00E13CF7">
        <w:t xml:space="preserve">A. Yatchew, et al., "Carbon pricing and Alberta’s energy-only electricity market," The Electricity Journal, vol. 35, 2022. DOI: </w:t>
      </w:r>
      <w:hyperlink r:id="rId22" w:history="1">
        <w:r w:rsidRPr="0066525A">
          <w:rPr>
            <w:rStyle w:val="Hyperlink"/>
          </w:rPr>
          <w:t>https://doi.org/10.1016/j.tej.2022.107112</w:t>
        </w:r>
      </w:hyperlink>
      <w:r w:rsidRPr="00E13CF7">
        <w:t>.</w:t>
      </w:r>
    </w:p>
    <w:p w14:paraId="2E386200" w14:textId="410A55ED" w:rsidR="00E13CF7" w:rsidRDefault="00E13CF7" w:rsidP="00156B74">
      <w:pPr>
        <w:pStyle w:val="references"/>
        <w:autoSpaceDE w:val="0"/>
        <w:autoSpaceDN w:val="0"/>
        <w:adjustRightInd w:val="0"/>
        <w:ind w:left="354" w:hanging="354"/>
        <w:jc w:val="left"/>
      </w:pPr>
      <w:r w:rsidRPr="00E13CF7">
        <w:t>International Atomic Energy Agency (IAEA), Nuclear Power 2024: Financing Nuclear Energy in Low Carbon Transitions. Vienna, Austria: IAEA, 2024. DOI: 10.61092/iaea.sgyh-rjoq.</w:t>
      </w:r>
    </w:p>
    <w:p w14:paraId="4412B57B" w14:textId="60CD2E42" w:rsidR="00E13CF7" w:rsidRDefault="00E13CF7" w:rsidP="00156B74">
      <w:pPr>
        <w:pStyle w:val="references"/>
        <w:autoSpaceDE w:val="0"/>
        <w:autoSpaceDN w:val="0"/>
        <w:adjustRightInd w:val="0"/>
        <w:ind w:left="354" w:hanging="354"/>
        <w:jc w:val="left"/>
      </w:pPr>
      <w:r w:rsidRPr="00E13CF7">
        <w:t>N. Barkatullah and A. Ahmad, "Current status and emerging trends in financing nuclear power projects," Energy Strategy Reviews, vol. 18, pp. 127–140, 2017. DOI: 10.1016/j.esr.2017.09.015.</w:t>
      </w:r>
    </w:p>
    <w:p w14:paraId="204CAD72" w14:textId="23EF7FE4" w:rsidR="00E13CF7" w:rsidRDefault="00E13CF7" w:rsidP="00156B74">
      <w:pPr>
        <w:pStyle w:val="references"/>
        <w:autoSpaceDE w:val="0"/>
        <w:autoSpaceDN w:val="0"/>
        <w:adjustRightInd w:val="0"/>
        <w:ind w:left="354" w:hanging="354"/>
        <w:jc w:val="left"/>
      </w:pPr>
      <w:r w:rsidRPr="00E13CF7">
        <w:t>J. Weibezahn and B. Steigerwald, "Fission for funds: The financing of nuclear power plants," Energy Policy, vol. 195, 2024. DOI: 10.1016/j.enpol.2024.114382.</w:t>
      </w:r>
    </w:p>
    <w:p w14:paraId="231DEDD3" w14:textId="5B636DD9" w:rsidR="00E13CF7" w:rsidRPr="00156B74" w:rsidRDefault="00E13CF7" w:rsidP="00E13CF7">
      <w:pPr>
        <w:pStyle w:val="references"/>
        <w:autoSpaceDE w:val="0"/>
        <w:autoSpaceDN w:val="0"/>
        <w:adjustRightInd w:val="0"/>
        <w:ind w:left="354" w:hanging="354"/>
        <w:jc w:val="left"/>
      </w:pPr>
      <w:r w:rsidRPr="00E13CF7">
        <w:t>J. Koomey and B. Hultman, “Construction time of PWRs,” Energy Policy, vol. 55, pp. 531–542, 2013. Online. Available: https://www.sciencedirect.com/science/article/abs/pii/S030142151201097X.</w:t>
      </w:r>
    </w:p>
    <w:p w14:paraId="2A5DE92A" w14:textId="57AC430C" w:rsidR="00E13CF7" w:rsidRDefault="00E13CF7">
      <w:pPr>
        <w:jc w:val="left"/>
        <w:rPr>
          <w:b/>
          <w:color w:val="FF0000"/>
          <w:spacing w:val="-1"/>
          <w:lang w:val="x-none" w:eastAsia="x-none"/>
        </w:rPr>
      </w:pPr>
      <w:r>
        <w:rPr>
          <w:b/>
          <w:color w:val="FF0000"/>
          <w:spacing w:val="-1"/>
          <w:lang w:val="x-none" w:eastAsia="x-none"/>
        </w:rPr>
        <w:br w:type="page"/>
      </w:r>
    </w:p>
    <w:p w14:paraId="0695067E" w14:textId="6A099CD0"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0A9DA6F3" w14:textId="77777777" w:rsidR="00E13CF7" w:rsidRPr="00D91EE8" w:rsidRDefault="00E13CF7" w:rsidP="00E13CF7">
      <w:pPr>
        <w:pStyle w:val="Heading1"/>
        <w:jc w:val="both"/>
      </w:pPr>
      <w:bookmarkStart w:id="0" w:name="_Toc227337690"/>
      <w:r w:rsidRPr="00D91EE8">
        <w:lastRenderedPageBreak/>
        <w:t>Appendix A: Base-Case Cost Assumptions</w:t>
      </w:r>
      <w:bookmarkEnd w:id="0"/>
    </w:p>
    <w:p w14:paraId="5D1A67DB" w14:textId="77777777" w:rsidR="00E13CF7" w:rsidRPr="00D91EE8" w:rsidRDefault="00E13CF7" w:rsidP="00E13CF7">
      <w:pPr>
        <w:jc w:val="both"/>
        <w:rPr>
          <w:lang w:eastAsia="ja-JP"/>
        </w:rPr>
      </w:pPr>
    </w:p>
    <w:tbl>
      <w:tblPr>
        <w:tblStyle w:val="TableGrid"/>
        <w:tblW w:w="15060" w:type="dxa"/>
        <w:tblInd w:w="-1031" w:type="dxa"/>
        <w:tblLook w:val="04A0" w:firstRow="1" w:lastRow="0" w:firstColumn="1" w:lastColumn="0" w:noHBand="0" w:noVBand="1"/>
      </w:tblPr>
      <w:tblGrid>
        <w:gridCol w:w="2160"/>
        <w:gridCol w:w="12900"/>
      </w:tblGrid>
      <w:tr w:rsidR="00E13CF7" w:rsidRPr="00E13CF7" w14:paraId="7C72D3D3" w14:textId="77777777" w:rsidTr="00E13CF7">
        <w:tc>
          <w:tcPr>
            <w:tcW w:w="2160" w:type="dxa"/>
          </w:tcPr>
          <w:p w14:paraId="590F2382" w14:textId="77777777" w:rsidR="00E13CF7" w:rsidRPr="00E13CF7" w:rsidRDefault="00E13CF7" w:rsidP="008C7337">
            <w:pPr>
              <w:jc w:val="both"/>
              <w:rPr>
                <w:rFonts w:ascii="Times New Roman" w:hAnsi="Times New Roman" w:cs="Times New Roman"/>
                <w:b/>
                <w:bCs/>
                <w:color w:val="000000"/>
                <w:sz w:val="16"/>
                <w:szCs w:val="16"/>
              </w:rPr>
            </w:pPr>
            <w:r w:rsidRPr="00E13CF7">
              <w:rPr>
                <w:rFonts w:ascii="Times New Roman" w:hAnsi="Times New Roman" w:cs="Times New Roman"/>
                <w:b/>
                <w:bCs/>
                <w:color w:val="000000"/>
                <w:sz w:val="16"/>
                <w:szCs w:val="16"/>
              </w:rPr>
              <w:t>Model Variable</w:t>
            </w:r>
          </w:p>
        </w:tc>
        <w:tc>
          <w:tcPr>
            <w:tcW w:w="12900" w:type="dxa"/>
          </w:tcPr>
          <w:p w14:paraId="34D22218" w14:textId="77777777" w:rsidR="00E13CF7" w:rsidRPr="00E13CF7" w:rsidRDefault="00E13CF7" w:rsidP="008C7337">
            <w:pPr>
              <w:jc w:val="both"/>
              <w:rPr>
                <w:rFonts w:ascii="Times New Roman" w:hAnsi="Times New Roman" w:cs="Times New Roman"/>
                <w:b/>
                <w:bCs/>
                <w:color w:val="000000"/>
                <w:sz w:val="16"/>
                <w:szCs w:val="16"/>
              </w:rPr>
            </w:pPr>
            <w:r w:rsidRPr="00E13CF7">
              <w:rPr>
                <w:rFonts w:ascii="Times New Roman" w:hAnsi="Times New Roman" w:cs="Times New Roman"/>
                <w:b/>
                <w:bCs/>
                <w:color w:val="000000"/>
                <w:sz w:val="16"/>
                <w:szCs w:val="16"/>
              </w:rPr>
              <w:t>Literature supported range and justification</w:t>
            </w:r>
          </w:p>
        </w:tc>
      </w:tr>
      <w:tr w:rsidR="00E13CF7" w:rsidRPr="00E13CF7" w14:paraId="020535F0" w14:textId="77777777" w:rsidTr="008C7337">
        <w:tc>
          <w:tcPr>
            <w:tcW w:w="15060" w:type="dxa"/>
            <w:gridSpan w:val="2"/>
            <w:shd w:val="clear" w:color="auto" w:fill="BFBFBF" w:themeFill="background1" w:themeFillShade="BF"/>
          </w:tcPr>
          <w:p w14:paraId="5C352F13"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Core financial and time parameters</w:t>
            </w:r>
          </w:p>
          <w:p w14:paraId="7F5BDB9E"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5992C358" w14:textId="77777777" w:rsidTr="00E13CF7">
        <w:tc>
          <w:tcPr>
            <w:tcW w:w="2160" w:type="dxa"/>
          </w:tcPr>
          <w:p w14:paraId="1CF2DD48"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Model simulation length</w:t>
            </w:r>
          </w:p>
        </w:tc>
        <w:tc>
          <w:tcPr>
            <w:tcW w:w="12900" w:type="dxa"/>
          </w:tcPr>
          <w:p w14:paraId="2C1FC344"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Large CCGT plants are typically evaluated over 25–35 years in cost studies, while nuclear plants are usually assessed over 40–60 years, especially in recent LCOE work that assumes 60‑year lives for new nuclear [15] [2]. A </w:t>
            </w:r>
            <w:r w:rsidRPr="00E13CF7">
              <w:rPr>
                <w:rFonts w:ascii="Times New Roman" w:hAnsi="Times New Roman" w:cs="Times New Roman"/>
                <w:b/>
                <w:bCs/>
                <w:color w:val="000000"/>
                <w:sz w:val="16"/>
                <w:szCs w:val="16"/>
              </w:rPr>
              <w:t>40‑year evaluation horizon</w:t>
            </w:r>
            <w:r w:rsidRPr="00E13CF7">
              <w:rPr>
                <w:rFonts w:ascii="Times New Roman" w:hAnsi="Times New Roman" w:cs="Times New Roman"/>
                <w:color w:val="000000"/>
                <w:sz w:val="16"/>
                <w:szCs w:val="16"/>
              </w:rPr>
              <w:t xml:space="preserve"> is sufficiently long to generate meaningful NPV values and observe market dynamics.</w:t>
            </w:r>
          </w:p>
        </w:tc>
      </w:tr>
      <w:tr w:rsidR="00E13CF7" w:rsidRPr="00E13CF7" w14:paraId="0EAEF9C1" w14:textId="77777777" w:rsidTr="00E13CF7">
        <w:tc>
          <w:tcPr>
            <w:tcW w:w="2160" w:type="dxa"/>
          </w:tcPr>
          <w:p w14:paraId="6E5CF749"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An annual discount rate</w:t>
            </w:r>
          </w:p>
        </w:tc>
        <w:tc>
          <w:tcPr>
            <w:tcW w:w="12900" w:type="dxa"/>
          </w:tcPr>
          <w:p w14:paraId="7F879012"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Real discount rates between 3–10% are common in generation cost studies, with 5–7% often used for regulated or low‑risk nuclear and gas in OECD contexts [2]. </w:t>
            </w:r>
            <w:proofErr w:type="spellStart"/>
            <w:r w:rsidRPr="00E13CF7">
              <w:rPr>
                <w:rFonts w:ascii="Times New Roman" w:hAnsi="Times New Roman" w:cs="Times New Roman"/>
                <w:color w:val="000000"/>
                <w:sz w:val="16"/>
                <w:szCs w:val="16"/>
              </w:rPr>
              <w:t>Emblemsvåg</w:t>
            </w:r>
            <w:proofErr w:type="spellEnd"/>
            <w:r w:rsidRPr="00E13CF7">
              <w:rPr>
                <w:rFonts w:ascii="Times New Roman" w:hAnsi="Times New Roman" w:cs="Times New Roman"/>
                <w:color w:val="000000"/>
                <w:sz w:val="16"/>
                <w:szCs w:val="16"/>
              </w:rPr>
              <w:t xml:space="preserve"> (2025) uses 5% as a base case in comparative LCOE calculations for nuclear and gas [15]. A </w:t>
            </w:r>
            <w:r w:rsidRPr="00E13CF7">
              <w:rPr>
                <w:rFonts w:ascii="Times New Roman" w:hAnsi="Times New Roman" w:cs="Times New Roman"/>
                <w:b/>
                <w:bCs/>
                <w:color w:val="000000"/>
                <w:sz w:val="16"/>
                <w:szCs w:val="16"/>
              </w:rPr>
              <w:t xml:space="preserve">5% </w:t>
            </w:r>
            <w:proofErr w:type="gramStart"/>
            <w:r w:rsidRPr="00E13CF7">
              <w:rPr>
                <w:rFonts w:ascii="Times New Roman" w:hAnsi="Times New Roman" w:cs="Times New Roman"/>
                <w:b/>
                <w:bCs/>
                <w:color w:val="000000"/>
                <w:sz w:val="16"/>
                <w:szCs w:val="16"/>
              </w:rPr>
              <w:t>rate</w:t>
            </w:r>
            <w:r w:rsidRPr="00E13CF7">
              <w:rPr>
                <w:rFonts w:ascii="Times New Roman" w:hAnsi="Times New Roman" w:cs="Times New Roman"/>
                <w:color w:val="000000"/>
                <w:sz w:val="16"/>
                <w:szCs w:val="16"/>
              </w:rPr>
              <w:t>,</w:t>
            </w:r>
            <w:proofErr w:type="gramEnd"/>
            <w:r w:rsidRPr="00E13CF7">
              <w:rPr>
                <w:rFonts w:ascii="Times New Roman" w:hAnsi="Times New Roman" w:cs="Times New Roman"/>
                <w:color w:val="000000"/>
                <w:sz w:val="16"/>
                <w:szCs w:val="16"/>
              </w:rPr>
              <w:t xml:space="preserve"> is within the literature range.</w:t>
            </w:r>
          </w:p>
        </w:tc>
      </w:tr>
      <w:tr w:rsidR="00E13CF7" w:rsidRPr="00E13CF7" w14:paraId="66D78ADE" w14:textId="77777777" w:rsidTr="008C7337">
        <w:tc>
          <w:tcPr>
            <w:tcW w:w="15060" w:type="dxa"/>
            <w:gridSpan w:val="2"/>
            <w:shd w:val="clear" w:color="auto" w:fill="BFBFBF" w:themeFill="background1" w:themeFillShade="BF"/>
          </w:tcPr>
          <w:p w14:paraId="69B01449"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Nuclear </w:t>
            </w:r>
            <w:proofErr w:type="gramStart"/>
            <w:r w:rsidRPr="00E13CF7">
              <w:rPr>
                <w:rFonts w:ascii="Times New Roman" w:hAnsi="Times New Roman" w:cs="Times New Roman"/>
                <w:color w:val="000000"/>
                <w:sz w:val="16"/>
                <w:szCs w:val="16"/>
              </w:rPr>
              <w:t>plant parameters</w:t>
            </w:r>
            <w:proofErr w:type="gramEnd"/>
          </w:p>
          <w:p w14:paraId="2307370C"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3886DD3F" w14:textId="77777777" w:rsidTr="00E13CF7">
        <w:tc>
          <w:tcPr>
            <w:tcW w:w="2160" w:type="dxa"/>
          </w:tcPr>
          <w:p w14:paraId="75F759BC"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Overnight capital cost of a 1000 MW nuclear plant (CAD)</w:t>
            </w:r>
          </w:p>
        </w:tc>
        <w:tc>
          <w:tcPr>
            <w:tcW w:w="12900" w:type="dxa"/>
          </w:tcPr>
          <w:p w14:paraId="2D3A8180"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Advanced LWR capital cost estimates are commonly in the range of 3,856–3,977 USD/kW, implying approximately 4.0 billion USD (5 billion CAD) for 1,000 MW at 1.3–1.4 CAD/USD [3]. A recent INL literature review for advanced reactors reports FOAK costs mostly 4,000–7,000 USD/kW for large reactors, i.e., ≈ 4–7 billion USD (5–9.5 billion CAD) for 1,000 MW [4]. Historical experience from U.S. Vogtle AP1000 units suggests total all‑in costs of approximately 10,000–12,500 USD/kW, i.e., 10–12.5 billion USD (13–17 billion CAD) for 1,200 MW. This represents a high‑end outlier including delays and overruns [6] [5]. A 5,000 USD/kW benchmark (6.75 billion CAD per 1,000 MW) is often used in Canadian policy discussions [6]. A realistic range for a 1,000 MW unit is therefore about 5–15 billion CAD, with the low end reflecting optimistic NOAK of a kind estimates and the upper end including FOAK risk and overruns. </w:t>
            </w:r>
            <w:r w:rsidRPr="00E13CF7">
              <w:rPr>
                <w:rFonts w:ascii="Times New Roman" w:hAnsi="Times New Roman" w:cs="Times New Roman"/>
                <w:b/>
                <w:bCs/>
                <w:color w:val="000000"/>
                <w:sz w:val="16"/>
                <w:szCs w:val="16"/>
              </w:rPr>
              <w:t>8 billion CAD</w:t>
            </w:r>
            <w:r w:rsidRPr="00E13CF7">
              <w:rPr>
                <w:rFonts w:ascii="Times New Roman" w:hAnsi="Times New Roman" w:cs="Times New Roman"/>
                <w:color w:val="000000"/>
                <w:sz w:val="16"/>
                <w:szCs w:val="16"/>
              </w:rPr>
              <w:t xml:space="preserve"> was chosen to reflect the current trend of cost overruns, while anchoring close to Canadian policy standards.</w:t>
            </w:r>
          </w:p>
        </w:tc>
      </w:tr>
      <w:tr w:rsidR="00E13CF7" w:rsidRPr="00E13CF7" w14:paraId="0A7ED867" w14:textId="77777777" w:rsidTr="00E13CF7">
        <w:tc>
          <w:tcPr>
            <w:tcW w:w="2160" w:type="dxa"/>
          </w:tcPr>
          <w:p w14:paraId="28E29A3F"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Net electrical capacity (MW)</w:t>
            </w:r>
          </w:p>
        </w:tc>
        <w:tc>
          <w:tcPr>
            <w:tcW w:w="12900" w:type="dxa"/>
          </w:tcPr>
          <w:p w14:paraId="18442CFE"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 single large PWR unit is commonly 1,000–1,600 MW. Many cost studies model a “standard” </w:t>
            </w:r>
            <w:r w:rsidRPr="00E13CF7">
              <w:rPr>
                <w:rFonts w:ascii="Times New Roman" w:hAnsi="Times New Roman" w:cs="Times New Roman"/>
                <w:b/>
                <w:bCs/>
                <w:color w:val="000000"/>
                <w:sz w:val="16"/>
                <w:szCs w:val="16"/>
              </w:rPr>
              <w:t>1,000 MW</w:t>
            </w:r>
            <w:r w:rsidRPr="00E13CF7">
              <w:rPr>
                <w:rFonts w:ascii="Times New Roman" w:hAnsi="Times New Roman" w:cs="Times New Roman"/>
                <w:color w:val="000000"/>
                <w:sz w:val="16"/>
                <w:szCs w:val="16"/>
              </w:rPr>
              <w:t xml:space="preserve"> reference plant [2].</w:t>
            </w:r>
          </w:p>
        </w:tc>
      </w:tr>
      <w:tr w:rsidR="00E13CF7" w:rsidRPr="00E13CF7" w14:paraId="58C80D0F" w14:textId="77777777" w:rsidTr="00E13CF7">
        <w:tc>
          <w:tcPr>
            <w:tcW w:w="2160" w:type="dxa"/>
          </w:tcPr>
          <w:p w14:paraId="3F40AFE0"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Capacity factor (fraction of full output over a year)</w:t>
            </w:r>
          </w:p>
        </w:tc>
        <w:tc>
          <w:tcPr>
            <w:tcW w:w="12900" w:type="dxa"/>
          </w:tcPr>
          <w:p w14:paraId="2FA7F0A7"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World Nuclear Association reports typical modern reactor capacity factors around 85–95% [7]. </w:t>
            </w:r>
            <w:r w:rsidRPr="00E13CF7">
              <w:rPr>
                <w:rFonts w:ascii="Times New Roman" w:hAnsi="Times New Roman" w:cs="Times New Roman"/>
                <w:b/>
                <w:bCs/>
                <w:color w:val="000000"/>
                <w:sz w:val="16"/>
                <w:szCs w:val="16"/>
              </w:rPr>
              <w:t>0.90</w:t>
            </w:r>
            <w:r w:rsidRPr="00E13CF7">
              <w:rPr>
                <w:rFonts w:ascii="Times New Roman" w:hAnsi="Times New Roman" w:cs="Times New Roman"/>
                <w:color w:val="000000"/>
                <w:sz w:val="16"/>
                <w:szCs w:val="16"/>
              </w:rPr>
              <w:t xml:space="preserve"> is standard modelling assumption.</w:t>
            </w:r>
          </w:p>
        </w:tc>
      </w:tr>
      <w:tr w:rsidR="00E13CF7" w:rsidRPr="00E13CF7" w14:paraId="7A6AB4CF" w14:textId="77777777" w:rsidTr="00E13CF7">
        <w:tc>
          <w:tcPr>
            <w:tcW w:w="2160" w:type="dxa"/>
          </w:tcPr>
          <w:p w14:paraId="0DA9E2DA"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Nuclear fixed O&amp;M cost (CAD/day)</w:t>
            </w:r>
          </w:p>
        </w:tc>
        <w:tc>
          <w:tcPr>
            <w:tcW w:w="12900" w:type="dxa"/>
          </w:tcPr>
          <w:p w14:paraId="497075F9"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OECD/IEA cost compilations place fixed O&amp;M for large nuclear in the range of about 90–150 USD/kW‑year, sometimes higher in older fleets [2]. A NEA synthesis notes that O&amp;M accounts for approximately 10–25% of the levelized cost, consistent with fixed O&amp;M in this range when combined with variable costs [8]. If fixed O&amp;M is about 100–200 USD/kW‑year, the corresponding CAD value at 1.3–1.4 CAD/USD is ≈ 130–280 CAD/kW‑year. </w:t>
            </w:r>
            <w:r w:rsidRPr="00E13CF7">
              <w:rPr>
                <w:rFonts w:ascii="Times New Roman" w:hAnsi="Times New Roman" w:cs="Times New Roman"/>
                <w:b/>
                <w:bCs/>
                <w:color w:val="000000"/>
                <w:sz w:val="16"/>
                <w:szCs w:val="16"/>
              </w:rPr>
              <w:t>150 CAN/kW-</w:t>
            </w:r>
            <w:proofErr w:type="gramStart"/>
            <w:r w:rsidRPr="00E13CF7">
              <w:rPr>
                <w:rFonts w:ascii="Times New Roman" w:hAnsi="Times New Roman" w:cs="Times New Roman"/>
                <w:b/>
                <w:bCs/>
                <w:color w:val="000000"/>
                <w:sz w:val="16"/>
                <w:szCs w:val="16"/>
              </w:rPr>
              <w:t>year</w:t>
            </w:r>
            <w:r w:rsidRPr="00E13CF7">
              <w:rPr>
                <w:rFonts w:ascii="Times New Roman" w:hAnsi="Times New Roman" w:cs="Times New Roman"/>
                <w:color w:val="000000"/>
                <w:sz w:val="16"/>
                <w:szCs w:val="16"/>
              </w:rPr>
              <w:t xml:space="preserve"> was</w:t>
            </w:r>
            <w:proofErr w:type="gramEnd"/>
            <w:r w:rsidRPr="00E13CF7">
              <w:rPr>
                <w:rFonts w:ascii="Times New Roman" w:hAnsi="Times New Roman" w:cs="Times New Roman"/>
                <w:color w:val="000000"/>
                <w:sz w:val="16"/>
                <w:szCs w:val="16"/>
              </w:rPr>
              <w:t xml:space="preserve"> chosen.</w:t>
            </w:r>
          </w:p>
        </w:tc>
      </w:tr>
      <w:tr w:rsidR="00E13CF7" w:rsidRPr="00E13CF7" w14:paraId="72989DB4" w14:textId="77777777" w:rsidTr="00E13CF7">
        <w:tc>
          <w:tcPr>
            <w:tcW w:w="2160" w:type="dxa"/>
          </w:tcPr>
          <w:p w14:paraId="6AA763DB"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Nuclear OPEX: Variable non-fuel O&amp;M (CAD/MWh)</w:t>
            </w:r>
          </w:p>
        </w:tc>
        <w:tc>
          <w:tcPr>
            <w:tcW w:w="12900" w:type="dxa"/>
          </w:tcPr>
          <w:p w14:paraId="32AEAFBC"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The INL literature review and OECD/IEA data suggest nuclear operating expenditures (excluding fuel) of approximately 10–25 USD/MWh [4][2]. World Nuclear Association indicates total nuclear generation costs of approximately 30–50 USD/MWh, with fuel costs of about 4–10 USD/MWh. This implies non‑fuel O&amp;M in the range of 20–40 USD/MWh [7]. Converted at 1.3–1.4 CAD/USD, non‑fuel O&amp;M is ≈ 13–56 CAD/MWh. </w:t>
            </w:r>
            <w:r w:rsidRPr="00E13CF7">
              <w:rPr>
                <w:rFonts w:ascii="Times New Roman" w:hAnsi="Times New Roman" w:cs="Times New Roman"/>
                <w:b/>
                <w:bCs/>
                <w:color w:val="000000"/>
                <w:sz w:val="16"/>
                <w:szCs w:val="16"/>
              </w:rPr>
              <w:t>30 CAD/MWh</w:t>
            </w:r>
            <w:r w:rsidRPr="00E13CF7">
              <w:rPr>
                <w:rFonts w:ascii="Times New Roman" w:hAnsi="Times New Roman" w:cs="Times New Roman"/>
                <w:color w:val="000000"/>
                <w:sz w:val="16"/>
                <w:szCs w:val="16"/>
              </w:rPr>
              <w:t xml:space="preserve"> was chosen for non‑fuel O&amp;M.</w:t>
            </w:r>
          </w:p>
        </w:tc>
      </w:tr>
      <w:tr w:rsidR="00E13CF7" w:rsidRPr="00E13CF7" w14:paraId="6FD68D85" w14:textId="77777777" w:rsidTr="00E13CF7">
        <w:tc>
          <w:tcPr>
            <w:tcW w:w="2160" w:type="dxa"/>
          </w:tcPr>
          <w:p w14:paraId="63E6FD7F"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Uranium price.  Effective nuclear fuel cost (CAD/GJ)</w:t>
            </w:r>
          </w:p>
        </w:tc>
        <w:tc>
          <w:tcPr>
            <w:tcW w:w="12900" w:type="dxa"/>
          </w:tcPr>
          <w:p w14:paraId="2F97DBC3"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World Nuclear Association reports that total fuel cycle costs (including uranium, conversion, enrichment, and fuel fabrication) correspond to about 4–7 USD/MWh for nuclear electricity [7]. With a plant heat rate of 10.8 GJ/MWh, this implies a primary‑energy cost of 0.37–0.64 USD/GJ (0.5–0.9 CAD/GJ at 1.3–1.4 CAD/USD). Long‑term supply contracts reported by Cameco and others indicate that even with recent market tightening, fuel cost at the plant level remains within such range. Most LCOE studies still assume approximately 4–10 USD/MWh for nuclear fuel [4] [7]. </w:t>
            </w:r>
            <w:r w:rsidRPr="00E13CF7">
              <w:rPr>
                <w:rFonts w:ascii="Times New Roman" w:hAnsi="Times New Roman" w:cs="Times New Roman"/>
                <w:b/>
                <w:bCs/>
                <w:color w:val="000000"/>
                <w:sz w:val="16"/>
                <w:szCs w:val="16"/>
              </w:rPr>
              <w:t>0.94 CAD/GJ</w:t>
            </w:r>
            <w:r w:rsidRPr="00E13CF7">
              <w:rPr>
                <w:rFonts w:ascii="Times New Roman" w:hAnsi="Times New Roman" w:cs="Times New Roman"/>
                <w:color w:val="000000"/>
                <w:sz w:val="16"/>
                <w:szCs w:val="16"/>
              </w:rPr>
              <w:t xml:space="preserve"> is slightly this range but remains plausible as an all‑in fuel cycle cost. This figure will likely be reduced in subsequent versions of the model.</w:t>
            </w:r>
          </w:p>
        </w:tc>
      </w:tr>
      <w:tr w:rsidR="00E13CF7" w:rsidRPr="00E13CF7" w14:paraId="26EAED54" w14:textId="77777777" w:rsidTr="00E13CF7">
        <w:tc>
          <w:tcPr>
            <w:tcW w:w="2160" w:type="dxa"/>
          </w:tcPr>
          <w:p w14:paraId="150024AD"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Uranium conversion. Thermal energy required per MWh of electricity (GJ/MWh)</w:t>
            </w:r>
          </w:p>
        </w:tc>
        <w:tc>
          <w:tcPr>
            <w:tcW w:w="12900" w:type="dxa"/>
          </w:tcPr>
          <w:p w14:paraId="418BAFFA"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 large LWR with 33% thermal efficiency has a heat rate of approximately 10.9 GJ/MWh, which is widely used in nuclear cost studies [2] [7]. This is essentially a physics/thermodynamics parameter rather than an empirical cost assumption. </w:t>
            </w:r>
            <w:r w:rsidRPr="00E13CF7">
              <w:rPr>
                <w:rFonts w:ascii="Times New Roman" w:hAnsi="Times New Roman" w:cs="Times New Roman"/>
                <w:b/>
                <w:bCs/>
                <w:color w:val="000000"/>
                <w:sz w:val="16"/>
                <w:szCs w:val="16"/>
              </w:rPr>
              <w:t>10.8 GJ/MWh</w:t>
            </w:r>
            <w:r w:rsidRPr="00E13CF7">
              <w:rPr>
                <w:rFonts w:ascii="Times New Roman" w:hAnsi="Times New Roman" w:cs="Times New Roman"/>
                <w:color w:val="000000"/>
                <w:sz w:val="16"/>
                <w:szCs w:val="16"/>
              </w:rPr>
              <w:t xml:space="preserve"> was assumed in the model.</w:t>
            </w:r>
          </w:p>
        </w:tc>
      </w:tr>
      <w:tr w:rsidR="00E13CF7" w:rsidRPr="00E13CF7" w14:paraId="545F200F" w14:textId="77777777" w:rsidTr="008C7337">
        <w:tc>
          <w:tcPr>
            <w:tcW w:w="15060" w:type="dxa"/>
            <w:gridSpan w:val="2"/>
            <w:shd w:val="clear" w:color="auto" w:fill="BFBFBF" w:themeFill="background1" w:themeFillShade="BF"/>
          </w:tcPr>
          <w:p w14:paraId="1D9F6B63"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CCGT plant parameters</w:t>
            </w:r>
          </w:p>
          <w:p w14:paraId="07E76D77"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49FE67AD" w14:textId="77777777" w:rsidTr="00E13CF7">
        <w:tc>
          <w:tcPr>
            <w:tcW w:w="2160" w:type="dxa"/>
          </w:tcPr>
          <w:p w14:paraId="605DB145"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Overnight cost of 1000 MW CCGT (CAD)</w:t>
            </w:r>
          </w:p>
        </w:tc>
        <w:tc>
          <w:tcPr>
            <w:tcW w:w="12900" w:type="dxa"/>
          </w:tcPr>
          <w:p w14:paraId="05668B65"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Industry and planning sources place large CCGT installed costs in the range 650–1,100 USD/kW for recent multi‑shaft plants [9].</w:t>
            </w:r>
            <w:r w:rsidRPr="00E13CF7">
              <w:rPr>
                <w:rFonts w:ascii="Times New Roman" w:hAnsi="Times New Roman" w:cs="Times New Roman"/>
                <w:sz w:val="16"/>
                <w:szCs w:val="16"/>
              </w:rPr>
              <w:t xml:space="preserve"> </w:t>
            </w:r>
            <w:r w:rsidRPr="00E13CF7">
              <w:rPr>
                <w:rFonts w:ascii="Times New Roman" w:hAnsi="Times New Roman" w:cs="Times New Roman"/>
                <w:color w:val="000000"/>
                <w:sz w:val="16"/>
                <w:szCs w:val="16"/>
              </w:rPr>
              <w:t>For a 1,000 MW plant this corresponds to approximately 0.65–1.1 billion USD (0.9–1.5 billion CAD at 1.3–1.4 CAD/USD).</w:t>
            </w:r>
            <w:r w:rsidRPr="00E13CF7">
              <w:rPr>
                <w:rFonts w:ascii="Times New Roman" w:hAnsi="Times New Roman" w:cs="Times New Roman"/>
                <w:sz w:val="16"/>
                <w:szCs w:val="16"/>
              </w:rPr>
              <w:t xml:space="preserve"> </w:t>
            </w:r>
            <w:r w:rsidRPr="00E13CF7">
              <w:rPr>
                <w:rFonts w:ascii="Times New Roman" w:hAnsi="Times New Roman" w:cs="Times New Roman"/>
                <w:color w:val="000000"/>
                <w:sz w:val="16"/>
                <w:szCs w:val="16"/>
              </w:rPr>
              <w:t xml:space="preserve">Alberta‑focused analyses for gas emissions compliance use similar ranges of 900–1,200 USD/kW [10]. </w:t>
            </w:r>
            <w:r w:rsidRPr="00E13CF7">
              <w:rPr>
                <w:rFonts w:ascii="Times New Roman" w:hAnsi="Times New Roman" w:cs="Times New Roman"/>
                <w:b/>
                <w:bCs/>
                <w:color w:val="000000"/>
                <w:sz w:val="16"/>
                <w:szCs w:val="16"/>
              </w:rPr>
              <w:t>1.5 billion CAD</w:t>
            </w:r>
            <w:r w:rsidRPr="00E13CF7">
              <w:rPr>
                <w:rFonts w:ascii="Times New Roman" w:hAnsi="Times New Roman" w:cs="Times New Roman"/>
                <w:color w:val="000000"/>
                <w:sz w:val="16"/>
                <w:szCs w:val="16"/>
              </w:rPr>
              <w:t xml:space="preserve"> was selected.</w:t>
            </w:r>
          </w:p>
        </w:tc>
      </w:tr>
      <w:tr w:rsidR="00E13CF7" w:rsidRPr="00E13CF7" w14:paraId="5FC0DF86" w14:textId="77777777" w:rsidTr="00E13CF7">
        <w:tc>
          <w:tcPr>
            <w:tcW w:w="2160" w:type="dxa"/>
          </w:tcPr>
          <w:p w14:paraId="3FDC245A"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CCGT net electrical capacity (MW</w:t>
            </w:r>
          </w:p>
        </w:tc>
        <w:tc>
          <w:tcPr>
            <w:tcW w:w="12900" w:type="dxa"/>
          </w:tcPr>
          <w:p w14:paraId="7B6B55A0"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Modern CCGT plants are often built as 400–900 MW blocks, and planning studies frequently use round‑number capacities such as 500 or </w:t>
            </w:r>
            <w:r w:rsidRPr="00E13CF7">
              <w:rPr>
                <w:rFonts w:ascii="Times New Roman" w:hAnsi="Times New Roman" w:cs="Times New Roman"/>
                <w:b/>
                <w:bCs/>
                <w:color w:val="000000"/>
                <w:sz w:val="16"/>
                <w:szCs w:val="16"/>
              </w:rPr>
              <w:t>1,000 MW</w:t>
            </w:r>
            <w:r w:rsidRPr="00E13CF7">
              <w:rPr>
                <w:rFonts w:ascii="Times New Roman" w:hAnsi="Times New Roman" w:cs="Times New Roman"/>
                <w:color w:val="000000"/>
                <w:sz w:val="16"/>
                <w:szCs w:val="16"/>
              </w:rPr>
              <w:t xml:space="preserve"> [2].</w:t>
            </w:r>
          </w:p>
        </w:tc>
      </w:tr>
      <w:tr w:rsidR="00E13CF7" w:rsidRPr="00E13CF7" w14:paraId="3D7F197D" w14:textId="77777777" w:rsidTr="00E13CF7">
        <w:tc>
          <w:tcPr>
            <w:tcW w:w="2160" w:type="dxa"/>
          </w:tcPr>
          <w:p w14:paraId="054BF006"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CCGT capacity factor</w:t>
            </w:r>
          </w:p>
        </w:tc>
        <w:tc>
          <w:tcPr>
            <w:tcW w:w="12900" w:type="dxa"/>
          </w:tcPr>
          <w:p w14:paraId="4D43CF93"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CCGT baseload plants in liberalized markets operate across a broad range of capacity factors; IEA/NEA data show approximately 40–80% depending on fuel prices and competition from renewables [2]. AESO’s 2024 Annual Market Statistics report a gross capacity factor of </w:t>
            </w:r>
            <w:r w:rsidRPr="00E13CF7">
              <w:rPr>
                <w:rFonts w:ascii="Times New Roman" w:hAnsi="Times New Roman" w:cs="Times New Roman"/>
                <w:b/>
                <w:bCs/>
                <w:color w:val="000000"/>
                <w:sz w:val="16"/>
                <w:szCs w:val="16"/>
              </w:rPr>
              <w:t>60%</w:t>
            </w:r>
            <w:r w:rsidRPr="00E13CF7">
              <w:rPr>
                <w:rFonts w:ascii="Times New Roman" w:hAnsi="Times New Roman" w:cs="Times New Roman"/>
                <w:color w:val="000000"/>
                <w:sz w:val="16"/>
                <w:szCs w:val="16"/>
              </w:rPr>
              <w:t xml:space="preserve"> for combined‑cycle assets, reduced relative to earlier years by commissioning effects and increased non‑emitting capacity [11].</w:t>
            </w:r>
          </w:p>
        </w:tc>
      </w:tr>
      <w:tr w:rsidR="00E13CF7" w:rsidRPr="00E13CF7" w14:paraId="4F70FF01" w14:textId="77777777" w:rsidTr="00E13CF7">
        <w:tc>
          <w:tcPr>
            <w:tcW w:w="2160" w:type="dxa"/>
          </w:tcPr>
          <w:p w14:paraId="50019724"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CCGT fixed O&amp;M (CAD/DAY)</w:t>
            </w:r>
          </w:p>
        </w:tc>
        <w:tc>
          <w:tcPr>
            <w:tcW w:w="12900" w:type="dxa"/>
          </w:tcPr>
          <w:p w14:paraId="68102BE6"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Gas Turbine World’s cost data indicate typical fixed O&amp;M for large CCGT plants in the range 7–16 USD/kW‑year, with higher values for smaller or peaking units [9]. Academic and policy analyses for Alberta report fixed O&amp;M in a similar range of about 10–25 USD/kW‑year for new CCGT [10]. Converted to CAD, this gives 13–35 CAD/kW‑year. </w:t>
            </w:r>
            <w:r w:rsidRPr="00E13CF7">
              <w:rPr>
                <w:rFonts w:ascii="Times New Roman" w:hAnsi="Times New Roman" w:cs="Times New Roman"/>
                <w:b/>
                <w:bCs/>
                <w:color w:val="000000"/>
                <w:sz w:val="16"/>
                <w:szCs w:val="16"/>
              </w:rPr>
              <w:t>40 CAD/kW‑year</w:t>
            </w:r>
            <w:r w:rsidRPr="00E13CF7">
              <w:rPr>
                <w:rFonts w:ascii="Times New Roman" w:hAnsi="Times New Roman" w:cs="Times New Roman"/>
                <w:color w:val="000000"/>
                <w:sz w:val="16"/>
                <w:szCs w:val="16"/>
              </w:rPr>
              <w:t xml:space="preserve"> lies slightly above this.</w:t>
            </w:r>
          </w:p>
        </w:tc>
      </w:tr>
      <w:tr w:rsidR="00E13CF7" w:rsidRPr="00E13CF7" w14:paraId="0190ED1E" w14:textId="77777777" w:rsidTr="00E13CF7">
        <w:tc>
          <w:tcPr>
            <w:tcW w:w="2160" w:type="dxa"/>
          </w:tcPr>
          <w:p w14:paraId="3CF3AB25"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CCGT Variable non-fuel O&amp;M (CAD/MWh)</w:t>
            </w:r>
          </w:p>
        </w:tc>
        <w:tc>
          <w:tcPr>
            <w:tcW w:w="12900" w:type="dxa"/>
          </w:tcPr>
          <w:p w14:paraId="6AF985DA"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Many combined‑cycle cost studies assume non‑fuel variable O&amp;M of 2–5 USD/MWh (2.5–7 CAD/MWh) for large CCGT plants [9][10]. IEA/NEA projections use similar values in LCOE calculations. AESO specifies </w:t>
            </w:r>
            <w:r w:rsidRPr="00E13CF7">
              <w:rPr>
                <w:rFonts w:ascii="Times New Roman" w:hAnsi="Times New Roman" w:cs="Times New Roman"/>
                <w:b/>
                <w:bCs/>
                <w:color w:val="000000"/>
                <w:sz w:val="16"/>
                <w:szCs w:val="16"/>
              </w:rPr>
              <w:t>5 CAD/MWh</w:t>
            </w:r>
            <w:r w:rsidRPr="00E13CF7">
              <w:rPr>
                <w:rFonts w:ascii="Times New Roman" w:hAnsi="Times New Roman" w:cs="Times New Roman"/>
                <w:color w:val="000000"/>
                <w:sz w:val="16"/>
                <w:szCs w:val="16"/>
              </w:rPr>
              <w:t xml:space="preserve"> for gas generation in their 2024 Market Statistics Report [11].</w:t>
            </w:r>
          </w:p>
        </w:tc>
      </w:tr>
      <w:tr w:rsidR="00E13CF7" w:rsidRPr="00E13CF7" w14:paraId="40BA659F" w14:textId="77777777" w:rsidTr="008C7337">
        <w:tc>
          <w:tcPr>
            <w:tcW w:w="15060" w:type="dxa"/>
            <w:gridSpan w:val="2"/>
            <w:shd w:val="clear" w:color="auto" w:fill="BFBFBF" w:themeFill="background1" w:themeFillShade="BF"/>
          </w:tcPr>
          <w:p w14:paraId="2FE5412F"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Gas generation cost and emissions parameters</w:t>
            </w:r>
          </w:p>
          <w:p w14:paraId="09028524"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772A58CA" w14:textId="77777777" w:rsidTr="00E13CF7">
        <w:tc>
          <w:tcPr>
            <w:tcW w:w="2160" w:type="dxa"/>
          </w:tcPr>
          <w:p w14:paraId="49D9550C"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Non-fuel O&amp;M in gas unit marginal cost CAD/MWh</w:t>
            </w:r>
          </w:p>
        </w:tc>
        <w:tc>
          <w:tcPr>
            <w:tcW w:w="12900" w:type="dxa"/>
          </w:tcPr>
          <w:p w14:paraId="31A08C12"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As mentioned above, AESO’s 2024 Annual Market Statistics explicitly </w:t>
            </w:r>
            <w:proofErr w:type="gramStart"/>
            <w:r w:rsidRPr="00E13CF7">
              <w:rPr>
                <w:rFonts w:ascii="Times New Roman" w:hAnsi="Times New Roman" w:cs="Times New Roman"/>
                <w:color w:val="000000"/>
                <w:sz w:val="16"/>
                <w:szCs w:val="16"/>
              </w:rPr>
              <w:t>assume</w:t>
            </w:r>
            <w:proofErr w:type="gramEnd"/>
            <w:r w:rsidRPr="00E13CF7">
              <w:rPr>
                <w:rFonts w:ascii="Times New Roman" w:hAnsi="Times New Roman" w:cs="Times New Roman"/>
                <w:color w:val="000000"/>
                <w:sz w:val="16"/>
                <w:szCs w:val="16"/>
              </w:rPr>
              <w:t xml:space="preserve"> 5 CAD/MWh for operation and maintenance in the estimated marginal cost of gas units, on top of fuel and carbon costs. [11]. This </w:t>
            </w:r>
            <w:r w:rsidRPr="00E13CF7">
              <w:rPr>
                <w:rFonts w:ascii="Times New Roman" w:hAnsi="Times New Roman" w:cs="Times New Roman"/>
                <w:b/>
                <w:bCs/>
                <w:color w:val="000000"/>
                <w:sz w:val="16"/>
                <w:szCs w:val="16"/>
              </w:rPr>
              <w:t>5 CAD/MW</w:t>
            </w:r>
            <w:r w:rsidRPr="00E13CF7">
              <w:rPr>
                <w:rFonts w:ascii="Times New Roman" w:hAnsi="Times New Roman" w:cs="Times New Roman"/>
                <w:color w:val="000000"/>
                <w:sz w:val="16"/>
                <w:szCs w:val="16"/>
              </w:rPr>
              <w:t>h aligns with non‑fuel O&amp;M assumptions in gas cost studies [10][9]</w:t>
            </w:r>
          </w:p>
        </w:tc>
      </w:tr>
      <w:tr w:rsidR="00E13CF7" w:rsidRPr="00E13CF7" w14:paraId="3184A310" w14:textId="77777777" w:rsidTr="00E13CF7">
        <w:tc>
          <w:tcPr>
            <w:tcW w:w="2160" w:type="dxa"/>
          </w:tcPr>
          <w:p w14:paraId="2E9D3DD0"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Heat rate of high efficiency gas units (CCGT) (GJ/MWh)</w:t>
            </w:r>
          </w:p>
        </w:tc>
        <w:tc>
          <w:tcPr>
            <w:tcW w:w="12900" w:type="dxa"/>
          </w:tcPr>
          <w:p w14:paraId="615914ED" w14:textId="77777777" w:rsidR="00E13CF7" w:rsidRPr="00E13CF7" w:rsidRDefault="00E13CF7" w:rsidP="008C7337">
            <w:pPr>
              <w:jc w:val="both"/>
              <w:rPr>
                <w:rFonts w:ascii="Times New Roman" w:hAnsi="Times New Roman" w:cs="Times New Roman"/>
                <w:sz w:val="16"/>
                <w:szCs w:val="16"/>
              </w:rPr>
            </w:pPr>
            <w:r w:rsidRPr="00E13CF7">
              <w:rPr>
                <w:rFonts w:ascii="Times New Roman" w:hAnsi="Times New Roman" w:cs="Times New Roman"/>
                <w:sz w:val="16"/>
                <w:szCs w:val="16"/>
              </w:rPr>
              <w:t xml:space="preserve">AESO’s uses a “high efficiency” gas unit with a 7 GJ/MWh heat rate in its marginal cost estimates [11]. Modern CCGTs with efficiencies of 58–60% have heat rates equal to about 6.0–6.2 GJ/MWh, slightly better than AESO’s illustrative value [10]. A </w:t>
            </w:r>
            <w:r w:rsidRPr="00E13CF7">
              <w:rPr>
                <w:rFonts w:ascii="Times New Roman" w:hAnsi="Times New Roman" w:cs="Times New Roman"/>
                <w:b/>
                <w:bCs/>
                <w:sz w:val="16"/>
                <w:szCs w:val="16"/>
              </w:rPr>
              <w:t>6 GJ/MWh</w:t>
            </w:r>
            <w:r w:rsidRPr="00E13CF7">
              <w:rPr>
                <w:rFonts w:ascii="Times New Roman" w:hAnsi="Times New Roman" w:cs="Times New Roman"/>
                <w:sz w:val="16"/>
                <w:szCs w:val="16"/>
              </w:rPr>
              <w:t xml:space="preserve"> heat rate is consistent with a state‑of‑the‑art, high‑efficiency CCGT.</w:t>
            </w:r>
          </w:p>
        </w:tc>
      </w:tr>
      <w:tr w:rsidR="00E13CF7" w:rsidRPr="00E13CF7" w14:paraId="56909854" w14:textId="77777777" w:rsidTr="00E13CF7">
        <w:tc>
          <w:tcPr>
            <w:tcW w:w="2160" w:type="dxa"/>
          </w:tcPr>
          <w:p w14:paraId="487063EB"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Heat rate of low efficiency gas unit (GJ/MWh)</w:t>
            </w:r>
          </w:p>
        </w:tc>
        <w:tc>
          <w:tcPr>
            <w:tcW w:w="12900" w:type="dxa"/>
          </w:tcPr>
          <w:p w14:paraId="1AB616AD"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AESO’s marginal cost analysis uses a 12 GJ/MWh unit to represent a low‑efficiency simple‑cycle plant [11]. A </w:t>
            </w:r>
            <w:r w:rsidRPr="00E13CF7">
              <w:rPr>
                <w:rFonts w:ascii="Times New Roman" w:hAnsi="Times New Roman" w:cs="Times New Roman"/>
                <w:b/>
                <w:bCs/>
                <w:color w:val="000000"/>
                <w:sz w:val="16"/>
                <w:szCs w:val="16"/>
              </w:rPr>
              <w:t>10 GJ/MWh</w:t>
            </w:r>
            <w:r w:rsidRPr="00E13CF7">
              <w:rPr>
                <w:rFonts w:ascii="Times New Roman" w:hAnsi="Times New Roman" w:cs="Times New Roman"/>
                <w:color w:val="000000"/>
                <w:sz w:val="16"/>
                <w:szCs w:val="16"/>
              </w:rPr>
              <w:t xml:space="preserve"> heat rate is between the 7 and 12 GJ/MWh examples AESO provides and reasonably represents a weighted average of simple‑cycle, cogeneration, and older gas‑fired steam units [10].</w:t>
            </w:r>
          </w:p>
        </w:tc>
      </w:tr>
      <w:tr w:rsidR="00E13CF7" w:rsidRPr="00E13CF7" w14:paraId="5D411B00" w14:textId="77777777" w:rsidTr="00E13CF7">
        <w:tc>
          <w:tcPr>
            <w:tcW w:w="2160" w:type="dxa"/>
          </w:tcPr>
          <w:p w14:paraId="0430B22D"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lastRenderedPageBreak/>
              <w:t>Emissions intensity of high efficiency gas (tCO₂/MWh)</w:t>
            </w:r>
          </w:p>
        </w:tc>
        <w:tc>
          <w:tcPr>
            <w:tcW w:w="12900" w:type="dxa"/>
          </w:tcPr>
          <w:p w14:paraId="5B300BCA"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For a 7 GJ/MWh gas unit and a typical natural‑gas carbon content of about 50–55 kg CO₂/GJ, emissions intensity is approximately 0.35–0.38 tCO₂/MWh [10]. Alberta’s TIER regulation sets a high‑performance benchmark of </w:t>
            </w:r>
            <w:r w:rsidRPr="00E13CF7">
              <w:rPr>
                <w:rFonts w:ascii="Times New Roman" w:hAnsi="Times New Roman" w:cs="Times New Roman"/>
                <w:b/>
                <w:bCs/>
                <w:color w:val="000000"/>
                <w:sz w:val="16"/>
                <w:szCs w:val="16"/>
              </w:rPr>
              <w:t>0.37 tCO₂e/MWh</w:t>
            </w:r>
            <w:r w:rsidRPr="00E13CF7">
              <w:rPr>
                <w:rFonts w:ascii="Times New Roman" w:hAnsi="Times New Roman" w:cs="Times New Roman"/>
                <w:color w:val="000000"/>
                <w:sz w:val="16"/>
                <w:szCs w:val="16"/>
              </w:rPr>
              <w:t xml:space="preserve"> for electricity, consistent with efficient combined‑cycle units [12].</w:t>
            </w:r>
          </w:p>
        </w:tc>
      </w:tr>
      <w:tr w:rsidR="00E13CF7" w:rsidRPr="00E13CF7" w14:paraId="0F38E1FF" w14:textId="77777777" w:rsidTr="00E13CF7">
        <w:tc>
          <w:tcPr>
            <w:tcW w:w="2160" w:type="dxa"/>
          </w:tcPr>
          <w:p w14:paraId="25B5A7F1"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Emissions intensity of low efficiency gas (tCO₂/MWh)</w:t>
            </w:r>
          </w:p>
        </w:tc>
        <w:tc>
          <w:tcPr>
            <w:tcW w:w="12900" w:type="dxa"/>
          </w:tcPr>
          <w:p w14:paraId="44F89354"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At 10–12 GJ/MWh and 50–55 kg CO₂/GJ, emissions intensities are typically between 0.5–0.65 tCO₂/MWh, reflecting older simple‑cycle or gas‑fired steam units [10]. </w:t>
            </w:r>
            <w:r w:rsidRPr="00E13CF7">
              <w:rPr>
                <w:rFonts w:ascii="Times New Roman" w:hAnsi="Times New Roman" w:cs="Times New Roman"/>
                <w:b/>
                <w:bCs/>
                <w:color w:val="000000"/>
                <w:sz w:val="16"/>
                <w:szCs w:val="16"/>
              </w:rPr>
              <w:t>0.58 tCO₂/MWh</w:t>
            </w:r>
            <w:r w:rsidRPr="00E13CF7">
              <w:rPr>
                <w:rFonts w:ascii="Times New Roman" w:hAnsi="Times New Roman" w:cs="Times New Roman"/>
                <w:color w:val="000000"/>
                <w:sz w:val="16"/>
                <w:szCs w:val="16"/>
              </w:rPr>
              <w:t xml:space="preserve"> was selected to represent these generators.</w:t>
            </w:r>
          </w:p>
        </w:tc>
      </w:tr>
      <w:tr w:rsidR="00E13CF7" w:rsidRPr="00E13CF7" w14:paraId="22DE052C" w14:textId="77777777" w:rsidTr="00E13CF7">
        <w:tc>
          <w:tcPr>
            <w:tcW w:w="2160" w:type="dxa"/>
          </w:tcPr>
          <w:p w14:paraId="1442BD5F"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Output based benchmark for emissions (tCO₂/MWh)</w:t>
            </w:r>
          </w:p>
        </w:tc>
        <w:tc>
          <w:tcPr>
            <w:tcW w:w="12900" w:type="dxa"/>
          </w:tcPr>
          <w:p w14:paraId="5F678ECC"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Clean Prosperity’s assessment TIER notes that Alberta’s electricity high‑performance benchmark (HPB) is </w:t>
            </w:r>
            <w:r w:rsidRPr="00E13CF7">
              <w:rPr>
                <w:rFonts w:ascii="Times New Roman" w:hAnsi="Times New Roman" w:cs="Times New Roman"/>
                <w:b/>
                <w:bCs/>
                <w:color w:val="000000"/>
                <w:sz w:val="16"/>
                <w:szCs w:val="16"/>
              </w:rPr>
              <w:t>0.37 tCO₂e/MWh</w:t>
            </w:r>
            <w:r w:rsidRPr="00E13CF7">
              <w:rPr>
                <w:rFonts w:ascii="Times New Roman" w:hAnsi="Times New Roman" w:cs="Times New Roman"/>
                <w:color w:val="000000"/>
                <w:sz w:val="16"/>
                <w:szCs w:val="16"/>
              </w:rPr>
              <w:t>, consistent with the conversion of coal units to gas and the emissions intensity of efficient CCGT [12]. Olmstead and Yatchew (2022) analyze Alberta’s energy‑only market and refer to output‑based allocations consistent with this benchmark [13]. This is still the current emissions benchmark in Alberta.</w:t>
            </w:r>
          </w:p>
        </w:tc>
      </w:tr>
      <w:tr w:rsidR="00E13CF7" w:rsidRPr="00E13CF7" w14:paraId="03239612" w14:textId="77777777" w:rsidTr="008C7337">
        <w:tc>
          <w:tcPr>
            <w:tcW w:w="15060" w:type="dxa"/>
            <w:gridSpan w:val="2"/>
            <w:shd w:val="clear" w:color="auto" w:fill="BFBFBF" w:themeFill="background1" w:themeFillShade="BF"/>
          </w:tcPr>
          <w:p w14:paraId="3A793364"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Gas and carbon price path parameters</w:t>
            </w:r>
          </w:p>
          <w:p w14:paraId="56B544F7"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48D2069C" w14:textId="77777777" w:rsidTr="00E13CF7">
        <w:tc>
          <w:tcPr>
            <w:tcW w:w="2160" w:type="dxa"/>
          </w:tcPr>
          <w:p w14:paraId="0740D7F5"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Initial and long run mean gas </w:t>
            </w:r>
            <w:proofErr w:type="gramStart"/>
            <w:r w:rsidRPr="00E13CF7">
              <w:rPr>
                <w:rFonts w:ascii="Times New Roman" w:hAnsi="Times New Roman" w:cs="Times New Roman"/>
                <w:color w:val="000000"/>
                <w:sz w:val="16"/>
                <w:szCs w:val="16"/>
              </w:rPr>
              <w:t>price(</w:t>
            </w:r>
            <w:proofErr w:type="gramEnd"/>
            <w:r w:rsidRPr="00E13CF7">
              <w:rPr>
                <w:rFonts w:ascii="Times New Roman" w:hAnsi="Times New Roman" w:cs="Times New Roman"/>
                <w:color w:val="000000"/>
                <w:sz w:val="16"/>
                <w:szCs w:val="16"/>
              </w:rPr>
              <w:t>CAD/GJ)</w:t>
            </w:r>
          </w:p>
        </w:tc>
        <w:tc>
          <w:tcPr>
            <w:tcW w:w="12900" w:type="dxa"/>
          </w:tcPr>
          <w:p w14:paraId="5DA973F3"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AESO’s 2024 Annual Market Statistics report an average AECO gas price of 1.30 CAD/GJ in 2024, down from 2.55 CAD/GJ in 2020 [11]. Over 2015–2024 the AECO price varied between 1.3 and 5.1 CAD/GJ. A long‑run average of about 1.5 CAD/GJ (with variation across simulations due to price shock) is therefore consistent with recent Alberta conditions. </w:t>
            </w:r>
            <w:r w:rsidRPr="00E13CF7">
              <w:rPr>
                <w:rFonts w:ascii="Times New Roman" w:hAnsi="Times New Roman" w:cs="Times New Roman"/>
                <w:b/>
                <w:bCs/>
                <w:color w:val="000000"/>
                <w:sz w:val="16"/>
                <w:szCs w:val="16"/>
              </w:rPr>
              <w:t>1.5 CAD/GJ</w:t>
            </w:r>
            <w:r w:rsidRPr="00E13CF7">
              <w:rPr>
                <w:rFonts w:ascii="Times New Roman" w:hAnsi="Times New Roman" w:cs="Times New Roman"/>
                <w:color w:val="000000"/>
                <w:sz w:val="16"/>
                <w:szCs w:val="16"/>
              </w:rPr>
              <w:t xml:space="preserve"> starting and mean values are consistent with the 2024 environment.</w:t>
            </w:r>
          </w:p>
        </w:tc>
      </w:tr>
      <w:tr w:rsidR="00E13CF7" w:rsidRPr="00E13CF7" w14:paraId="2D0A254A" w14:textId="77777777" w:rsidTr="00E13CF7">
        <w:tc>
          <w:tcPr>
            <w:tcW w:w="2160" w:type="dxa"/>
          </w:tcPr>
          <w:p w14:paraId="3C547B52"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Daily shock standard deviation (CAD/GJ)</w:t>
            </w:r>
          </w:p>
        </w:tc>
        <w:tc>
          <w:tcPr>
            <w:tcW w:w="12900" w:type="dxa"/>
          </w:tcPr>
          <w:p w14:paraId="100BBACE"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Historical AECO daily price movements over 2015–2024 often involve variations of a few tens of cents per GJ </w:t>
            </w:r>
            <w:proofErr w:type="gramStart"/>
            <w:r w:rsidRPr="00E13CF7">
              <w:rPr>
                <w:rFonts w:ascii="Times New Roman" w:hAnsi="Times New Roman" w:cs="Times New Roman"/>
                <w:color w:val="000000"/>
                <w:sz w:val="16"/>
                <w:szCs w:val="16"/>
              </w:rPr>
              <w:t>on a daily basis</w:t>
            </w:r>
            <w:proofErr w:type="gramEnd"/>
            <w:r w:rsidRPr="00E13CF7">
              <w:rPr>
                <w:rFonts w:ascii="Times New Roman" w:hAnsi="Times New Roman" w:cs="Times New Roman"/>
                <w:color w:val="000000"/>
                <w:sz w:val="16"/>
                <w:szCs w:val="16"/>
              </w:rPr>
              <w:t xml:space="preserve">, with occasional larger swings in high‑price periods [11][11]. A daily shock scale of </w:t>
            </w:r>
            <w:r w:rsidRPr="00E13CF7">
              <w:rPr>
                <w:rFonts w:ascii="Times New Roman" w:hAnsi="Times New Roman" w:cs="Times New Roman"/>
                <w:b/>
                <w:bCs/>
                <w:color w:val="000000"/>
                <w:sz w:val="16"/>
                <w:szCs w:val="16"/>
              </w:rPr>
              <w:t>0.5 CAD/GJ</w:t>
            </w:r>
            <w:r w:rsidRPr="00E13CF7">
              <w:rPr>
                <w:rFonts w:ascii="Times New Roman" w:hAnsi="Times New Roman" w:cs="Times New Roman"/>
                <w:color w:val="000000"/>
                <w:sz w:val="16"/>
                <w:szCs w:val="16"/>
              </w:rPr>
              <w:t xml:space="preserve"> is consistent with this observed volatility. Using an Ornstein–Uhlenbeck (OU) process with such shocks is standard in commodity price modelling [1] [1].</w:t>
            </w:r>
          </w:p>
        </w:tc>
      </w:tr>
      <w:tr w:rsidR="00E13CF7" w:rsidRPr="00E13CF7" w14:paraId="7C8E83F2" w14:textId="77777777" w:rsidTr="00E13CF7">
        <w:tc>
          <w:tcPr>
            <w:tcW w:w="2160" w:type="dxa"/>
          </w:tcPr>
          <w:p w14:paraId="7945410D"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Mean-reversion speed</w:t>
            </w:r>
          </w:p>
        </w:tc>
        <w:tc>
          <w:tcPr>
            <w:tcW w:w="12900" w:type="dxa"/>
          </w:tcPr>
          <w:p w14:paraId="70DD8043"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Mean‑reversion speeds in OU models for energy commodities are commonly calibrated in the range 0.05–0.3 per time step [1][1]. </w:t>
            </w:r>
            <w:r w:rsidRPr="00E13CF7">
              <w:rPr>
                <w:rFonts w:ascii="Times New Roman" w:hAnsi="Times New Roman" w:cs="Times New Roman"/>
                <w:b/>
                <w:bCs/>
                <w:color w:val="000000"/>
                <w:sz w:val="16"/>
                <w:szCs w:val="16"/>
              </w:rPr>
              <w:t>0.1</w:t>
            </w:r>
            <w:r w:rsidRPr="00E13CF7">
              <w:rPr>
                <w:rFonts w:ascii="Times New Roman" w:hAnsi="Times New Roman" w:cs="Times New Roman"/>
                <w:color w:val="000000"/>
                <w:sz w:val="16"/>
                <w:szCs w:val="16"/>
              </w:rPr>
              <w:t xml:space="preserve"> Was selected for the daily time step.</w:t>
            </w:r>
          </w:p>
        </w:tc>
      </w:tr>
      <w:tr w:rsidR="00E13CF7" w:rsidRPr="00E13CF7" w14:paraId="21D1403D" w14:textId="77777777" w:rsidTr="00E13CF7">
        <w:tc>
          <w:tcPr>
            <w:tcW w:w="2160" w:type="dxa"/>
          </w:tcPr>
          <w:p w14:paraId="0268D3A1"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The near carbon price path</w:t>
            </w:r>
          </w:p>
        </w:tc>
        <w:tc>
          <w:tcPr>
            <w:tcW w:w="12900" w:type="dxa"/>
          </w:tcPr>
          <w:p w14:paraId="0A8B6C95"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This path closely mirrors Canada’s federal carbon‑price schedule under the Greenhouse Gas Pollution Pricing Act before the recent freeze, which envisaged a rise from 65 CAD/t in 2023 to 170 CAD/t by 2030 [13]. Using a </w:t>
            </w:r>
            <w:r w:rsidRPr="00E13CF7">
              <w:rPr>
                <w:rFonts w:ascii="Times New Roman" w:hAnsi="Times New Roman" w:cs="Times New Roman"/>
                <w:b/>
                <w:bCs/>
                <w:color w:val="000000"/>
                <w:sz w:val="16"/>
                <w:szCs w:val="16"/>
              </w:rPr>
              <w:t>linear increase between 95 (the current price) and 170 CAD/t over about four years</w:t>
            </w:r>
            <w:r w:rsidRPr="00E13CF7">
              <w:rPr>
                <w:rFonts w:ascii="Times New Roman" w:hAnsi="Times New Roman" w:cs="Times New Roman"/>
                <w:color w:val="000000"/>
                <w:sz w:val="16"/>
                <w:szCs w:val="16"/>
              </w:rPr>
              <w:t xml:space="preserve"> is therefore a stylized but reasonable scenario.</w:t>
            </w:r>
          </w:p>
        </w:tc>
      </w:tr>
      <w:tr w:rsidR="00E13CF7" w:rsidRPr="00E13CF7" w14:paraId="151417B9" w14:textId="77777777" w:rsidTr="008C7337">
        <w:tc>
          <w:tcPr>
            <w:tcW w:w="15060" w:type="dxa"/>
            <w:gridSpan w:val="2"/>
            <w:shd w:val="clear" w:color="auto" w:fill="BFBFBF" w:themeFill="background1" w:themeFillShade="BF"/>
          </w:tcPr>
          <w:p w14:paraId="739A1FCA"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Electricity price formation and scarcity parameters</w:t>
            </w:r>
          </w:p>
          <w:p w14:paraId="7AC28FD0"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3B67EC42" w14:textId="77777777" w:rsidTr="00E13CF7">
        <w:tc>
          <w:tcPr>
            <w:tcW w:w="2160" w:type="dxa"/>
          </w:tcPr>
          <w:p w14:paraId="3EDEE31B"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Probability of a “scarcity “price</w:t>
            </w:r>
          </w:p>
        </w:tc>
        <w:tc>
          <w:tcPr>
            <w:tcW w:w="12900" w:type="dxa"/>
          </w:tcPr>
          <w:p w14:paraId="07BB66EB"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AESO’s 2024 report shows that hours with very high prices (e.g., 200–999.99 CAD/MWh) are relatively rare and have fallen in frequency compared to 2021–2022. High‑priced hours make up a small percentage of annual hours [11]. A </w:t>
            </w:r>
            <w:r w:rsidRPr="00E13CF7">
              <w:rPr>
                <w:rFonts w:ascii="Times New Roman" w:hAnsi="Times New Roman" w:cs="Times New Roman"/>
                <w:b/>
                <w:bCs/>
                <w:color w:val="000000"/>
                <w:sz w:val="16"/>
                <w:szCs w:val="16"/>
              </w:rPr>
              <w:t>5% probability</w:t>
            </w:r>
            <w:r w:rsidRPr="00E13CF7">
              <w:rPr>
                <w:rFonts w:ascii="Times New Roman" w:hAnsi="Times New Roman" w:cs="Times New Roman"/>
                <w:color w:val="000000"/>
                <w:sz w:val="16"/>
                <w:szCs w:val="16"/>
              </w:rPr>
              <w:t xml:space="preserve"> reflects that only a limited fraction of hours experience scarcity‑like conditions. This is somewhat higher than the empirical share of extreme hours in 2024.</w:t>
            </w:r>
          </w:p>
        </w:tc>
      </w:tr>
      <w:tr w:rsidR="00E13CF7" w:rsidRPr="00E13CF7" w14:paraId="5664FDC6" w14:textId="77777777" w:rsidTr="00E13CF7">
        <w:tc>
          <w:tcPr>
            <w:tcW w:w="2160" w:type="dxa"/>
          </w:tcPr>
          <w:p w14:paraId="1CDF843C"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Scarcity price level (CAD/MWh)</w:t>
            </w:r>
          </w:p>
        </w:tc>
        <w:tc>
          <w:tcPr>
            <w:tcW w:w="12900" w:type="dxa"/>
          </w:tcPr>
          <w:p w14:paraId="45E0A69F"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AESO’s pool price cap is 999.99 CAD/MWh; price duration curves show that while most hours are far below this cap, a non‑trivial number of hours in 2021–2023 had prices in the 200–800 CAD/MWh range [11]. Selecting </w:t>
            </w:r>
            <w:r w:rsidRPr="00E13CF7">
              <w:rPr>
                <w:rFonts w:ascii="Times New Roman" w:hAnsi="Times New Roman" w:cs="Times New Roman"/>
                <w:b/>
                <w:bCs/>
                <w:color w:val="000000"/>
                <w:sz w:val="16"/>
                <w:szCs w:val="16"/>
              </w:rPr>
              <w:t>500 CAD/MWh</w:t>
            </w:r>
            <w:r w:rsidRPr="00E13CF7">
              <w:rPr>
                <w:rFonts w:ascii="Times New Roman" w:hAnsi="Times New Roman" w:cs="Times New Roman"/>
                <w:color w:val="000000"/>
                <w:sz w:val="16"/>
                <w:szCs w:val="16"/>
              </w:rPr>
              <w:t xml:space="preserve"> as a representative scarcity price is consistent with mid‑range values in this high‑price band and is widely used as an illustrative scarcity level in energy‑only market models [1].</w:t>
            </w:r>
          </w:p>
        </w:tc>
      </w:tr>
      <w:tr w:rsidR="00E13CF7" w:rsidRPr="00E13CF7" w14:paraId="62498BA3" w14:textId="77777777" w:rsidTr="00E13CF7">
        <w:tc>
          <w:tcPr>
            <w:tcW w:w="2160" w:type="dxa"/>
          </w:tcPr>
          <w:p w14:paraId="7B6870DD"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Share of hours when low efficiency gas sets marginal price</w:t>
            </w:r>
          </w:p>
        </w:tc>
        <w:tc>
          <w:tcPr>
            <w:tcW w:w="12900" w:type="dxa"/>
          </w:tcPr>
          <w:p w14:paraId="70BEC99D"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AESO’s marginal price‑setting statistics show that in 2024, gas generation set the marginal price about </w:t>
            </w:r>
            <w:r w:rsidRPr="00E13CF7">
              <w:rPr>
                <w:rFonts w:ascii="Times New Roman" w:hAnsi="Times New Roman" w:cs="Times New Roman"/>
                <w:b/>
                <w:bCs/>
                <w:color w:val="000000"/>
                <w:sz w:val="16"/>
                <w:szCs w:val="16"/>
              </w:rPr>
              <w:t>68%</w:t>
            </w:r>
            <w:r w:rsidRPr="00E13CF7">
              <w:rPr>
                <w:rFonts w:ascii="Times New Roman" w:hAnsi="Times New Roman" w:cs="Times New Roman"/>
                <w:color w:val="000000"/>
                <w:sz w:val="16"/>
                <w:szCs w:val="16"/>
              </w:rPr>
              <w:t xml:space="preserve"> of the time, with gas‑fired steam (including converted coal) accounting for 49% and combined‑cycle for 21% [11].</w:t>
            </w:r>
          </w:p>
        </w:tc>
      </w:tr>
      <w:tr w:rsidR="00E13CF7" w:rsidRPr="00E13CF7" w14:paraId="7D57890F" w14:textId="77777777" w:rsidTr="00E13CF7">
        <w:tc>
          <w:tcPr>
            <w:tcW w:w="2160" w:type="dxa"/>
          </w:tcPr>
          <w:p w14:paraId="3A7ED2F1"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Share of hours when high efficiency gas is on the margin</w:t>
            </w:r>
          </w:p>
        </w:tc>
        <w:tc>
          <w:tcPr>
            <w:tcW w:w="12900" w:type="dxa"/>
          </w:tcPr>
          <w:p w14:paraId="2E6F4284"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 reports combined‑cycle units on the margin </w:t>
            </w:r>
            <w:r w:rsidRPr="00E13CF7">
              <w:rPr>
                <w:rFonts w:ascii="Times New Roman" w:hAnsi="Times New Roman" w:cs="Times New Roman"/>
                <w:b/>
                <w:bCs/>
                <w:color w:val="000000"/>
                <w:sz w:val="16"/>
                <w:szCs w:val="16"/>
              </w:rPr>
              <w:t>21%</w:t>
            </w:r>
            <w:r w:rsidRPr="00E13CF7">
              <w:rPr>
                <w:rFonts w:ascii="Times New Roman" w:hAnsi="Times New Roman" w:cs="Times New Roman"/>
                <w:color w:val="000000"/>
                <w:sz w:val="16"/>
                <w:szCs w:val="16"/>
              </w:rPr>
              <w:t xml:space="preserve"> of hours in 2024 [11].</w:t>
            </w:r>
          </w:p>
        </w:tc>
      </w:tr>
      <w:tr w:rsidR="00E13CF7" w:rsidRPr="00E13CF7" w14:paraId="6E648BDF" w14:textId="77777777" w:rsidTr="00E13CF7">
        <w:tc>
          <w:tcPr>
            <w:tcW w:w="2160" w:type="dxa"/>
          </w:tcPr>
          <w:p w14:paraId="2231ECC0"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Share of “zero– Price quote marginal hours used in the weighted price</w:t>
            </w:r>
          </w:p>
        </w:tc>
        <w:tc>
          <w:tcPr>
            <w:tcW w:w="12900" w:type="dxa"/>
          </w:tcPr>
          <w:p w14:paraId="70545598"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 notes that about </w:t>
            </w:r>
            <w:r w:rsidRPr="00E13CF7">
              <w:rPr>
                <w:rFonts w:ascii="Times New Roman" w:hAnsi="Times New Roman" w:cs="Times New Roman"/>
                <w:b/>
                <w:bCs/>
                <w:color w:val="000000"/>
                <w:sz w:val="16"/>
                <w:szCs w:val="16"/>
              </w:rPr>
              <w:t>6%</w:t>
            </w:r>
            <w:r w:rsidRPr="00E13CF7">
              <w:rPr>
                <w:rFonts w:ascii="Times New Roman" w:hAnsi="Times New Roman" w:cs="Times New Roman"/>
                <w:color w:val="000000"/>
                <w:sz w:val="16"/>
                <w:szCs w:val="16"/>
              </w:rPr>
              <w:t xml:space="preserve"> of hours in 2024 had a zero marginal price, where supply at 0 CAD/MWh exceeded demand, leading to supply surplus events [11].</w:t>
            </w:r>
          </w:p>
        </w:tc>
      </w:tr>
      <w:tr w:rsidR="00E13CF7" w:rsidRPr="00E13CF7" w14:paraId="76B93C1B" w14:textId="77777777" w:rsidTr="00E13CF7">
        <w:tc>
          <w:tcPr>
            <w:tcW w:w="2160" w:type="dxa"/>
          </w:tcPr>
          <w:p w14:paraId="2256DA55"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Share hours when wind, solar, hydro and battery storage set the marginal price</w:t>
            </w:r>
          </w:p>
        </w:tc>
        <w:tc>
          <w:tcPr>
            <w:tcW w:w="12900" w:type="dxa"/>
          </w:tcPr>
          <w:p w14:paraId="7902AD24"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 indicates that hydro, imports, and other non‑gas technologies are on the margin only infrequently compared with gas, with gas on the margin 89% of the time and “zero‑dollar” hours about 6%; the residual share is split among hydro, imports, and other sources [11]. </w:t>
            </w:r>
            <w:r w:rsidRPr="00E13CF7">
              <w:rPr>
                <w:rFonts w:ascii="Times New Roman" w:hAnsi="Times New Roman" w:cs="Times New Roman"/>
                <w:b/>
                <w:bCs/>
                <w:color w:val="000000"/>
                <w:sz w:val="16"/>
                <w:szCs w:val="16"/>
              </w:rPr>
              <w:t>3.7%</w:t>
            </w:r>
            <w:r w:rsidRPr="00E13CF7">
              <w:rPr>
                <w:rFonts w:ascii="Times New Roman" w:hAnsi="Times New Roman" w:cs="Times New Roman"/>
                <w:color w:val="000000"/>
                <w:sz w:val="16"/>
                <w:szCs w:val="16"/>
              </w:rPr>
              <w:t xml:space="preserve"> for hydro is and </w:t>
            </w:r>
            <w:r w:rsidRPr="00E13CF7">
              <w:rPr>
                <w:rFonts w:ascii="Times New Roman" w:hAnsi="Times New Roman" w:cs="Times New Roman"/>
                <w:b/>
                <w:bCs/>
                <w:color w:val="000000"/>
                <w:sz w:val="16"/>
                <w:szCs w:val="16"/>
              </w:rPr>
              <w:t>1.3%</w:t>
            </w:r>
            <w:r w:rsidRPr="00E13CF7">
              <w:rPr>
                <w:rFonts w:ascii="Times New Roman" w:hAnsi="Times New Roman" w:cs="Times New Roman"/>
                <w:color w:val="000000"/>
                <w:sz w:val="16"/>
                <w:szCs w:val="16"/>
              </w:rPr>
              <w:t xml:space="preserve"> for other technology was interpolated from AESO figures and is consistent with this residual.</w:t>
            </w:r>
          </w:p>
        </w:tc>
      </w:tr>
      <w:tr w:rsidR="00E13CF7" w:rsidRPr="00E13CF7" w14:paraId="12B650C8" w14:textId="77777777" w:rsidTr="008C7337">
        <w:tc>
          <w:tcPr>
            <w:tcW w:w="15060" w:type="dxa"/>
            <w:gridSpan w:val="2"/>
            <w:shd w:val="clear" w:color="auto" w:fill="BFBFBF" w:themeFill="background1" w:themeFillShade="BF"/>
          </w:tcPr>
          <w:p w14:paraId="3B43C5BB"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Hydro and other “marginal cost proxies</w:t>
            </w:r>
          </w:p>
          <w:p w14:paraId="32055C65" w14:textId="77777777" w:rsidR="00E13CF7" w:rsidRPr="00E13CF7" w:rsidRDefault="00E13CF7" w:rsidP="008C7337">
            <w:pPr>
              <w:jc w:val="both"/>
              <w:rPr>
                <w:rFonts w:ascii="Times New Roman" w:hAnsi="Times New Roman" w:cs="Times New Roman"/>
                <w:color w:val="000000"/>
                <w:sz w:val="16"/>
                <w:szCs w:val="16"/>
              </w:rPr>
            </w:pPr>
          </w:p>
        </w:tc>
      </w:tr>
      <w:tr w:rsidR="00E13CF7" w:rsidRPr="00E13CF7" w14:paraId="280035FB" w14:textId="77777777" w:rsidTr="00E13CF7">
        <w:tc>
          <w:tcPr>
            <w:tcW w:w="2160" w:type="dxa"/>
          </w:tcPr>
          <w:p w14:paraId="7745C412"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Marginal cost proxy for Hydro (CAD/MWh)</w:t>
            </w:r>
          </w:p>
        </w:tc>
        <w:tc>
          <w:tcPr>
            <w:tcW w:w="12900" w:type="dxa"/>
          </w:tcPr>
          <w:p w14:paraId="4A7FE851"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AESO’s Figure 18 (Annual Achieved Price by Technology) shows that hydro achieved prices substantially above the average pool price in 2024 due to its use in higher‑priced hours. Visual inspection suggests approximately </w:t>
            </w:r>
            <w:r w:rsidRPr="00E13CF7">
              <w:rPr>
                <w:rFonts w:ascii="Times New Roman" w:hAnsi="Times New Roman" w:cs="Times New Roman"/>
                <w:b/>
                <w:bCs/>
                <w:color w:val="000000"/>
                <w:sz w:val="16"/>
                <w:szCs w:val="16"/>
              </w:rPr>
              <w:t>80 CAD/MWh</w:t>
            </w:r>
            <w:r w:rsidRPr="00E13CF7">
              <w:rPr>
                <w:rFonts w:ascii="Times New Roman" w:hAnsi="Times New Roman" w:cs="Times New Roman"/>
                <w:color w:val="000000"/>
                <w:sz w:val="16"/>
                <w:szCs w:val="16"/>
              </w:rPr>
              <w:t xml:space="preserve"> compared with an average pool price of 62.78 CAD/MWh [11].</w:t>
            </w:r>
          </w:p>
        </w:tc>
      </w:tr>
      <w:tr w:rsidR="00E13CF7" w:rsidRPr="00E13CF7" w14:paraId="7A87CC90" w14:textId="77777777" w:rsidTr="00E13CF7">
        <w:tc>
          <w:tcPr>
            <w:tcW w:w="2160" w:type="dxa"/>
          </w:tcPr>
          <w:p w14:paraId="2B23ADC2"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Marginal cost proxy for “other” non-emitting technologies (CAD/MWh)</w:t>
            </w:r>
          </w:p>
        </w:tc>
        <w:tc>
          <w:tcPr>
            <w:tcW w:w="12900" w:type="dxa"/>
          </w:tcPr>
          <w:p w14:paraId="12CDC192" w14:textId="77777777" w:rsidR="00E13CF7" w:rsidRPr="00E13CF7" w:rsidRDefault="00E13CF7" w:rsidP="008C7337">
            <w:pPr>
              <w:jc w:val="both"/>
              <w:rPr>
                <w:rFonts w:ascii="Times New Roman" w:hAnsi="Times New Roman" w:cs="Times New Roman"/>
                <w:color w:val="000000"/>
                <w:sz w:val="16"/>
                <w:szCs w:val="16"/>
              </w:rPr>
            </w:pPr>
            <w:r w:rsidRPr="00E13CF7">
              <w:rPr>
                <w:rFonts w:ascii="Times New Roman" w:hAnsi="Times New Roman" w:cs="Times New Roman"/>
                <w:color w:val="000000"/>
                <w:sz w:val="16"/>
                <w:szCs w:val="16"/>
              </w:rPr>
              <w:t xml:space="preserve">Figure 18 from AESO’s 2024 Market Statistics </w:t>
            </w:r>
            <w:proofErr w:type="gramStart"/>
            <w:r w:rsidRPr="00E13CF7">
              <w:rPr>
                <w:rFonts w:ascii="Times New Roman" w:hAnsi="Times New Roman" w:cs="Times New Roman"/>
                <w:color w:val="000000"/>
                <w:sz w:val="16"/>
                <w:szCs w:val="16"/>
              </w:rPr>
              <w:t>shows</w:t>
            </w:r>
            <w:proofErr w:type="gramEnd"/>
            <w:r w:rsidRPr="00E13CF7">
              <w:rPr>
                <w:rFonts w:ascii="Times New Roman" w:hAnsi="Times New Roman" w:cs="Times New Roman"/>
                <w:color w:val="000000"/>
                <w:sz w:val="16"/>
                <w:szCs w:val="16"/>
              </w:rPr>
              <w:t xml:space="preserve"> the annual achieved price by technology, the average of other generation at </w:t>
            </w:r>
            <w:r w:rsidRPr="00E13CF7">
              <w:rPr>
                <w:rFonts w:ascii="Times New Roman" w:hAnsi="Times New Roman" w:cs="Times New Roman"/>
                <w:b/>
                <w:bCs/>
                <w:color w:val="000000"/>
                <w:sz w:val="16"/>
                <w:szCs w:val="16"/>
              </w:rPr>
              <w:t xml:space="preserve">40 CAD/MWh </w:t>
            </w:r>
            <w:r w:rsidRPr="00E13CF7">
              <w:rPr>
                <w:rFonts w:ascii="Times New Roman" w:hAnsi="Times New Roman" w:cs="Times New Roman"/>
                <w:color w:val="000000"/>
                <w:sz w:val="16"/>
                <w:szCs w:val="16"/>
              </w:rPr>
              <w:t>[11].</w:t>
            </w:r>
          </w:p>
        </w:tc>
      </w:tr>
    </w:tbl>
    <w:p w14:paraId="46BF97F0" w14:textId="77777777" w:rsidR="00E13CF7" w:rsidRPr="00E13CF7" w:rsidRDefault="00E13CF7" w:rsidP="00E13CF7">
      <w:pPr>
        <w:jc w:val="both"/>
        <w:rPr>
          <w:color w:val="000000"/>
          <w:sz w:val="16"/>
          <w:szCs w:val="16"/>
        </w:rPr>
      </w:pPr>
    </w:p>
    <w:p w14:paraId="6FC6C90C" w14:textId="512A97AD" w:rsidR="009303D9" w:rsidRPr="00F96569" w:rsidRDefault="009303D9" w:rsidP="00F96569">
      <w:pPr>
        <w:rPr>
          <w:color w:val="FF0000"/>
        </w:rPr>
      </w:pPr>
    </w:p>
    <w:sectPr w:rsidR="009303D9" w:rsidRPr="00F96569" w:rsidSect="00E13CF7">
      <w:pgSz w:w="15840" w:h="12240" w:orient="landscape"/>
      <w:pgMar w:top="378" w:right="27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509A" w14:textId="77777777" w:rsidR="00A55317" w:rsidRDefault="00A55317" w:rsidP="001A3B3D">
      <w:r>
        <w:separator/>
      </w:r>
    </w:p>
  </w:endnote>
  <w:endnote w:type="continuationSeparator" w:id="0">
    <w:p w14:paraId="4137B541" w14:textId="77777777" w:rsidR="00A55317" w:rsidRDefault="00A5531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43375100" w:rsidR="001A3B3D" w:rsidRPr="006F6D3D" w:rsidRDefault="00E13CF7" w:rsidP="0056610F">
    <w:pPr>
      <w:pStyle w:val="Footer"/>
      <w:jc w:val="left"/>
      <w:rPr>
        <w:sz w:val="16"/>
        <w:szCs w:val="16"/>
      </w:rPr>
    </w:pPr>
    <w:r>
      <w:rPr>
        <w:sz w:val="16"/>
        <w:szCs w:val="16"/>
      </w:rPr>
      <w:t>michael.edmunds@ucalgary.ca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90C7" w14:textId="77777777" w:rsidR="00A55317" w:rsidRDefault="00A55317" w:rsidP="001A3B3D">
      <w:r>
        <w:separator/>
      </w:r>
    </w:p>
  </w:footnote>
  <w:footnote w:type="continuationSeparator" w:id="0">
    <w:p w14:paraId="3C8C6681" w14:textId="77777777" w:rsidR="00A55317" w:rsidRDefault="00A5531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479"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4559"/>
        </w:tabs>
        <w:ind w:left="4559" w:hanging="360"/>
      </w:pPr>
      <w:rPr>
        <w:rFonts w:cs="Times New Roman"/>
      </w:rPr>
    </w:lvl>
    <w:lvl w:ilvl="2" w:tplc="0409001B">
      <w:start w:val="1"/>
      <w:numFmt w:val="lowerRoman"/>
      <w:lvlText w:val="%3."/>
      <w:lvlJc w:val="right"/>
      <w:pPr>
        <w:tabs>
          <w:tab w:val="num" w:pos="5279"/>
        </w:tabs>
        <w:ind w:left="5279" w:hanging="180"/>
      </w:pPr>
      <w:rPr>
        <w:rFonts w:cs="Times New Roman"/>
      </w:rPr>
    </w:lvl>
    <w:lvl w:ilvl="3" w:tplc="0409000F">
      <w:start w:val="1"/>
      <w:numFmt w:val="decimal"/>
      <w:lvlText w:val="%4."/>
      <w:lvlJc w:val="left"/>
      <w:pPr>
        <w:tabs>
          <w:tab w:val="num" w:pos="5999"/>
        </w:tabs>
        <w:ind w:left="5999" w:hanging="360"/>
      </w:pPr>
      <w:rPr>
        <w:rFonts w:cs="Times New Roman"/>
      </w:rPr>
    </w:lvl>
    <w:lvl w:ilvl="4" w:tplc="04090019">
      <w:start w:val="1"/>
      <w:numFmt w:val="lowerLetter"/>
      <w:lvlText w:val="%5."/>
      <w:lvlJc w:val="left"/>
      <w:pPr>
        <w:tabs>
          <w:tab w:val="num" w:pos="6719"/>
        </w:tabs>
        <w:ind w:left="6719" w:hanging="360"/>
      </w:pPr>
      <w:rPr>
        <w:rFonts w:cs="Times New Roman"/>
      </w:rPr>
    </w:lvl>
    <w:lvl w:ilvl="5" w:tplc="0409001B">
      <w:start w:val="1"/>
      <w:numFmt w:val="lowerRoman"/>
      <w:lvlText w:val="%6."/>
      <w:lvlJc w:val="right"/>
      <w:pPr>
        <w:tabs>
          <w:tab w:val="num" w:pos="7439"/>
        </w:tabs>
        <w:ind w:left="7439" w:hanging="180"/>
      </w:pPr>
      <w:rPr>
        <w:rFonts w:cs="Times New Roman"/>
      </w:rPr>
    </w:lvl>
    <w:lvl w:ilvl="6" w:tplc="0409000F">
      <w:start w:val="1"/>
      <w:numFmt w:val="decimal"/>
      <w:lvlText w:val="%7."/>
      <w:lvlJc w:val="left"/>
      <w:pPr>
        <w:tabs>
          <w:tab w:val="num" w:pos="8159"/>
        </w:tabs>
        <w:ind w:left="8159" w:hanging="360"/>
      </w:pPr>
      <w:rPr>
        <w:rFonts w:cs="Times New Roman"/>
      </w:rPr>
    </w:lvl>
    <w:lvl w:ilvl="7" w:tplc="04090019">
      <w:start w:val="1"/>
      <w:numFmt w:val="lowerLetter"/>
      <w:lvlText w:val="%8."/>
      <w:lvlJc w:val="left"/>
      <w:pPr>
        <w:tabs>
          <w:tab w:val="num" w:pos="8879"/>
        </w:tabs>
        <w:ind w:left="8879" w:hanging="360"/>
      </w:pPr>
      <w:rPr>
        <w:rFonts w:cs="Times New Roman"/>
      </w:rPr>
    </w:lvl>
    <w:lvl w:ilvl="8" w:tplc="0409001B">
      <w:start w:val="1"/>
      <w:numFmt w:val="lowerRoman"/>
      <w:lvlText w:val="%9."/>
      <w:lvlJc w:val="right"/>
      <w:pPr>
        <w:tabs>
          <w:tab w:val="num" w:pos="9599"/>
        </w:tabs>
        <w:ind w:left="9599"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75C"/>
    <w:rsid w:val="0008758A"/>
    <w:rsid w:val="000C1E68"/>
    <w:rsid w:val="000C43C9"/>
    <w:rsid w:val="0012284D"/>
    <w:rsid w:val="0015079E"/>
    <w:rsid w:val="00156B74"/>
    <w:rsid w:val="001A2EFD"/>
    <w:rsid w:val="001A3B3D"/>
    <w:rsid w:val="001A42EA"/>
    <w:rsid w:val="001B67DC"/>
    <w:rsid w:val="001D7BCF"/>
    <w:rsid w:val="002254A9"/>
    <w:rsid w:val="00233D97"/>
    <w:rsid w:val="002850E3"/>
    <w:rsid w:val="002C73CB"/>
    <w:rsid w:val="00354FCF"/>
    <w:rsid w:val="00393844"/>
    <w:rsid w:val="003A19E2"/>
    <w:rsid w:val="00421EC6"/>
    <w:rsid w:val="004325FB"/>
    <w:rsid w:val="004432BA"/>
    <w:rsid w:val="0044407E"/>
    <w:rsid w:val="004D72B5"/>
    <w:rsid w:val="004E52BA"/>
    <w:rsid w:val="00547E73"/>
    <w:rsid w:val="00551B7F"/>
    <w:rsid w:val="0056610F"/>
    <w:rsid w:val="00575BCA"/>
    <w:rsid w:val="005B0344"/>
    <w:rsid w:val="005B520E"/>
    <w:rsid w:val="005E2800"/>
    <w:rsid w:val="00633CF5"/>
    <w:rsid w:val="006347CF"/>
    <w:rsid w:val="00645D22"/>
    <w:rsid w:val="00651A08"/>
    <w:rsid w:val="00654204"/>
    <w:rsid w:val="00670434"/>
    <w:rsid w:val="006B6B66"/>
    <w:rsid w:val="006F6D3D"/>
    <w:rsid w:val="00704134"/>
    <w:rsid w:val="00715BEA"/>
    <w:rsid w:val="00740EEA"/>
    <w:rsid w:val="00773764"/>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9F059F"/>
    <w:rsid w:val="00A059B3"/>
    <w:rsid w:val="00A55317"/>
    <w:rsid w:val="00A83751"/>
    <w:rsid w:val="00AE3409"/>
    <w:rsid w:val="00AF3C8F"/>
    <w:rsid w:val="00B11A60"/>
    <w:rsid w:val="00B22613"/>
    <w:rsid w:val="00B5021F"/>
    <w:rsid w:val="00B850F5"/>
    <w:rsid w:val="00BA1025"/>
    <w:rsid w:val="00BC3420"/>
    <w:rsid w:val="00BE7D3C"/>
    <w:rsid w:val="00BF275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13CF7"/>
    <w:rsid w:val="00E5718A"/>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284D"/>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2Char">
    <w:name w:val="Heading 2 Char"/>
    <w:basedOn w:val="DefaultParagraphFont"/>
    <w:link w:val="Heading2"/>
    <w:rsid w:val="00E5718A"/>
    <w:rPr>
      <w:i/>
      <w:iCs/>
      <w:noProof/>
    </w:rPr>
  </w:style>
  <w:style w:type="character" w:styleId="PlaceholderText">
    <w:name w:val="Placeholder Text"/>
    <w:basedOn w:val="DefaultParagraphFont"/>
    <w:uiPriority w:val="99"/>
    <w:semiHidden/>
    <w:rsid w:val="00E5718A"/>
    <w:rPr>
      <w:color w:val="666666"/>
    </w:rPr>
  </w:style>
  <w:style w:type="character" w:customStyle="1" w:styleId="Heading4Char">
    <w:name w:val="Heading 4 Char"/>
    <w:basedOn w:val="DefaultParagraphFont"/>
    <w:link w:val="Heading4"/>
    <w:rsid w:val="0012284D"/>
    <w:rPr>
      <w:i/>
      <w:iCs/>
      <w:noProof/>
    </w:rPr>
  </w:style>
  <w:style w:type="character" w:customStyle="1" w:styleId="Heading1Char">
    <w:name w:val="Heading 1 Char"/>
    <w:basedOn w:val="DefaultParagraphFont"/>
    <w:link w:val="Heading1"/>
    <w:rsid w:val="0008375C"/>
    <w:rPr>
      <w:smallCaps/>
      <w:noProof/>
    </w:rPr>
  </w:style>
  <w:style w:type="paragraph" w:styleId="BodyText2">
    <w:name w:val="Body Text 2"/>
    <w:basedOn w:val="Normal"/>
    <w:link w:val="BodyText2Char"/>
    <w:rsid w:val="0008375C"/>
    <w:pPr>
      <w:spacing w:after="120" w:line="480" w:lineRule="auto"/>
    </w:pPr>
  </w:style>
  <w:style w:type="character" w:customStyle="1" w:styleId="BodyText2Char">
    <w:name w:val="Body Text 2 Char"/>
    <w:basedOn w:val="DefaultParagraphFont"/>
    <w:link w:val="BodyText2"/>
    <w:rsid w:val="0008375C"/>
  </w:style>
  <w:style w:type="table" w:styleId="TableGrid">
    <w:name w:val="Table Grid"/>
    <w:basedOn w:val="TableNormal"/>
    <w:uiPriority w:val="59"/>
    <w:rsid w:val="00E13CF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ain.inl.gov/content/uploads/4/2024/11/INL-RPT-23-72972-Literature-Review-of-Adv-Reactor-Cost-Estimates.pdf" TargetMode="External"/><Relationship Id="rId18" Type="http://schemas.openxmlformats.org/officeDocument/2006/relationships/hyperlink" Target="https://gasturbineworld.com/gas-turbine-costs-kw/" TargetMode="External"/><Relationship Id="rId3" Type="http://schemas.openxmlformats.org/officeDocument/2006/relationships/styles" Target="styles.xml"/><Relationship Id="rId21" Type="http://schemas.openxmlformats.org/officeDocument/2006/relationships/hyperlink" Target="https://www.cdhowe.org/intelligence-memos/olmstead-yatchew-efficacy-carbon-pricing-albertas-wholesale-electricity-market" TargetMode="External"/><Relationship Id="rId7" Type="http://schemas.openxmlformats.org/officeDocument/2006/relationships/endnotes" Target="endnotes.xml"/><Relationship Id="rId12" Type="http://schemas.openxmlformats.org/officeDocument/2006/relationships/hyperlink" Target="https://www.sciencedirect.com/science/article/abs/pii/S1364032121011473" TargetMode="External"/><Relationship Id="rId17" Type="http://schemas.openxmlformats.org/officeDocument/2006/relationships/hyperlink" Target="https://www.oecd-nea.org/upload/docs/application/pdf/2020-07/fulll_cost_workshop_5._synthesis_on_the_plant-level_cost_of_nuclear.pdf" TargetMode="External"/><Relationship Id="rId2" Type="http://schemas.openxmlformats.org/officeDocument/2006/relationships/numbering" Target="numbering.xml"/><Relationship Id="rId16" Type="http://schemas.openxmlformats.org/officeDocument/2006/relationships/hyperlink" Target="https://world-nuclear.org/information-library/economic-aspects/economics-of-nuclear-power" TargetMode="External"/><Relationship Id="rId20" Type="http://schemas.openxmlformats.org/officeDocument/2006/relationships/hyperlink" Target="https://cleanprosperity.ca/wp-content/uploads/2022/09/Tightening_TIER_for_Albertas_Decarboniza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ecd.org/content/dam/oecd/en/publications/reports/2020/12/projected-costs-of-generating-electricity-2020_9f0efddc/a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embina.org/pub/overnight-costs-new-nuclear-reactors" TargetMode="External"/><Relationship Id="rId23" Type="http://schemas.openxmlformats.org/officeDocument/2006/relationships/fontTable" Target="fontTable.xml"/><Relationship Id="rId10" Type="http://schemas.openxmlformats.org/officeDocument/2006/relationships/hyperlink" Target="https://www.sciencedirect.com/science/article/pii/S2214629624004882" TargetMode="External"/><Relationship Id="rId19" Type="http://schemas.openxmlformats.org/officeDocument/2006/relationships/hyperlink" Target="https://www.aeso.ca/assets/Uploads/market-and-system-reporting/Annual-Market-Stats-2024.pdf"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www.synapse-energy.com/sites/default/files/SynapsePaper.2008-07.0.Nuclear-Plant-Construction-Costs.A0022_0.pdf" TargetMode="External"/><Relationship Id="rId22" Type="http://schemas.openxmlformats.org/officeDocument/2006/relationships/hyperlink" Target="https://doi.org/10.1016/j.tej.2022.107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8515</Words>
  <Characters>44281</Characters>
  <Application>Microsoft Office Word</Application>
  <DocSecurity>0</DocSecurity>
  <Lines>1196</Lines>
  <Paragraphs>361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Michael Edmunds</dc:creator>
  <cp:keywords/>
  <cp:lastModifiedBy>Michael Edmunds</cp:lastModifiedBy>
  <cp:revision>2</cp:revision>
  <dcterms:created xsi:type="dcterms:W3CDTF">2026-06-10T22:24:00Z</dcterms:created>
  <dcterms:modified xsi:type="dcterms:W3CDTF">2026-06-10T22:24:00Z</dcterms:modified>
</cp:coreProperties>
</file>