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A87E" w14:textId="4EFC7852" w:rsidR="00295CAE" w:rsidRPr="00295CAE" w:rsidRDefault="00295CAE" w:rsidP="00165F6F">
      <w:pPr>
        <w:jc w:val="both"/>
        <w:rPr>
          <w:rFonts w:ascii="Arial" w:hAnsi="Arial" w:cs="Arial"/>
          <w:sz w:val="40"/>
          <w:szCs w:val="40"/>
        </w:rPr>
      </w:pPr>
      <w:r w:rsidRPr="00295CAE">
        <w:rPr>
          <w:rFonts w:ascii="Arial" w:hAnsi="Arial" w:cs="Arial"/>
          <w:sz w:val="40"/>
          <w:szCs w:val="40"/>
        </w:rPr>
        <w:t>Summary on</w:t>
      </w:r>
      <w:r w:rsidR="00991B4B">
        <w:rPr>
          <w:rFonts w:ascii="Arial" w:hAnsi="Arial" w:cs="Arial"/>
          <w:sz w:val="40"/>
          <w:szCs w:val="40"/>
        </w:rPr>
        <w:t xml:space="preserve"> climate policies effects on Inflation</w:t>
      </w:r>
    </w:p>
    <w:p w14:paraId="7122BC97" w14:textId="5CA9E62A" w:rsidR="00295CAE" w:rsidRPr="00295CAE" w:rsidRDefault="00295CAE" w:rsidP="00165F6F">
      <w:pPr>
        <w:jc w:val="both"/>
        <w:rPr>
          <w:rFonts w:ascii="Arial" w:hAnsi="Arial" w:cs="Arial"/>
          <w:sz w:val="40"/>
          <w:szCs w:val="40"/>
        </w:rPr>
      </w:pPr>
    </w:p>
    <w:p w14:paraId="7CEFB617" w14:textId="77777777" w:rsidR="00295CAE" w:rsidRPr="00295CAE" w:rsidRDefault="00295CAE" w:rsidP="00165F6F">
      <w:pPr>
        <w:jc w:val="both"/>
        <w:rPr>
          <w:rFonts w:ascii="Arial" w:hAnsi="Arial" w:cs="Arial"/>
        </w:rPr>
      </w:pPr>
    </w:p>
    <w:p w14:paraId="31C12D88" w14:textId="44C5955D" w:rsidR="006A2F5E" w:rsidRPr="006A2F5E" w:rsidRDefault="00295CAE" w:rsidP="00165F6F">
      <w:pPr>
        <w:pStyle w:val="ListParagraph"/>
        <w:numPr>
          <w:ilvl w:val="0"/>
          <w:numId w:val="3"/>
        </w:numPr>
        <w:jc w:val="both"/>
        <w:rPr>
          <w:rFonts w:ascii="Arial" w:hAnsi="Arial" w:cs="Arial"/>
        </w:rPr>
      </w:pPr>
      <w:r w:rsidRPr="00295CAE">
        <w:rPr>
          <w:rFonts w:ascii="Arial" w:hAnsi="Arial" w:cs="Arial"/>
          <w:b/>
          <w:bCs/>
        </w:rPr>
        <w:t>THE INFLATION REDUCTION ACT’S INVESTMENTS IN CLEAN ENERGY AND</w:t>
      </w:r>
      <w:r>
        <w:rPr>
          <w:rFonts w:ascii="Arial" w:hAnsi="Arial" w:cs="Arial"/>
          <w:b/>
          <w:bCs/>
        </w:rPr>
        <w:t xml:space="preserve"> </w:t>
      </w:r>
      <w:r w:rsidRPr="00295CAE">
        <w:rPr>
          <w:rFonts w:ascii="Arial" w:hAnsi="Arial" w:cs="Arial"/>
          <w:b/>
          <w:bCs/>
        </w:rPr>
        <w:t>CLIMATE ACTION</w:t>
      </w:r>
    </w:p>
    <w:p w14:paraId="5B3D9736" w14:textId="77777777" w:rsidR="006A2F5E" w:rsidRDefault="006A2F5E" w:rsidP="00165F6F">
      <w:pPr>
        <w:pStyle w:val="ListParagraph"/>
        <w:jc w:val="both"/>
        <w:rPr>
          <w:rFonts w:ascii="Arial" w:hAnsi="Arial" w:cs="Arial"/>
        </w:rPr>
      </w:pPr>
    </w:p>
    <w:p w14:paraId="2CFA48F6" w14:textId="2BA45AD6" w:rsidR="006A2F5E" w:rsidRPr="006A2F5E" w:rsidRDefault="006A2F5E" w:rsidP="00165F6F">
      <w:pPr>
        <w:pStyle w:val="ListParagraph"/>
        <w:jc w:val="both"/>
        <w:rPr>
          <w:rFonts w:ascii="Arial" w:hAnsi="Arial" w:cs="Arial"/>
        </w:rPr>
      </w:pPr>
      <w:r>
        <w:rPr>
          <w:rFonts w:ascii="Arial" w:hAnsi="Arial" w:cs="Arial"/>
        </w:rPr>
        <w:t>T</w:t>
      </w:r>
      <w:r w:rsidRPr="006A2F5E">
        <w:rPr>
          <w:rFonts w:ascii="Arial" w:hAnsi="Arial" w:cs="Arial"/>
        </w:rPr>
        <w:t>he Inflation Reduction Act is a law that was signed by President Biden in August 2022 with the aim of lowering energy costs for families and small businesses, creating good-paying jobs, and accelerating private investment in clean energy solutions across every sector of the economy and the country. The Act includes $370 billion in investments and prioritizes creating shared prosperity, environmental justice, and resilience for underserved communities, particularly those affected by legacy pollution.</w:t>
      </w:r>
    </w:p>
    <w:p w14:paraId="18CDD325" w14:textId="178ADEE3" w:rsidR="006A2F5E" w:rsidRPr="006A2F5E" w:rsidRDefault="006A2F5E" w:rsidP="00165F6F">
      <w:pPr>
        <w:pStyle w:val="ListParagraph"/>
        <w:jc w:val="both"/>
        <w:rPr>
          <w:rFonts w:ascii="Arial" w:hAnsi="Arial" w:cs="Arial"/>
        </w:rPr>
      </w:pPr>
      <w:r w:rsidRPr="006A2F5E">
        <w:rPr>
          <w:rFonts w:ascii="Arial" w:hAnsi="Arial" w:cs="Arial"/>
        </w:rPr>
        <w:t>The Act builds on previous climate and clean energy actions taken by the Biden-Harris Administration and the investments secured in the Bipartisan Infrastructure Law</w:t>
      </w:r>
      <w:r w:rsidR="00D844F7">
        <w:rPr>
          <w:rStyle w:val="FootnoteReference"/>
          <w:rFonts w:ascii="Arial" w:hAnsi="Arial" w:cs="Arial"/>
        </w:rPr>
        <w:footnoteReference w:id="1"/>
      </w:r>
      <w:r w:rsidRPr="006A2F5E">
        <w:rPr>
          <w:rFonts w:ascii="Arial" w:hAnsi="Arial" w:cs="Arial"/>
        </w:rPr>
        <w:t xml:space="preserve"> signed in November 2021. According to the Department of Energy, the clean energy provisions of both laws could reduce greenhouse gas emissions by more than 1,000 million metric tons of CO2e in 2030, equivalent to the combined annual emissions released from every home in the United States.</w:t>
      </w:r>
    </w:p>
    <w:p w14:paraId="2B29FAC0" w14:textId="6DC13918" w:rsidR="006A2F5E" w:rsidRDefault="006A2F5E" w:rsidP="00165F6F">
      <w:pPr>
        <w:pStyle w:val="ListParagraph"/>
        <w:jc w:val="both"/>
        <w:rPr>
          <w:rFonts w:ascii="Arial" w:hAnsi="Arial" w:cs="Arial"/>
        </w:rPr>
      </w:pPr>
      <w:r w:rsidRPr="006A2F5E">
        <w:rPr>
          <w:rFonts w:ascii="Arial" w:hAnsi="Arial" w:cs="Arial"/>
        </w:rPr>
        <w:t>Overall, the Inflation Reduction Act represents a significant effort by the Biden administration to tackle the climate crisis while also creating economic opportunities and supporting underserved communities.</w:t>
      </w:r>
    </w:p>
    <w:p w14:paraId="29C165FB" w14:textId="7B720CE5" w:rsidR="006A2F5E" w:rsidRDefault="006A2F5E" w:rsidP="00165F6F">
      <w:pPr>
        <w:pStyle w:val="ListParagraph"/>
        <w:jc w:val="both"/>
        <w:rPr>
          <w:rFonts w:ascii="Arial" w:hAnsi="Arial" w:cs="Arial"/>
        </w:rPr>
      </w:pPr>
    </w:p>
    <w:p w14:paraId="6AFFF2A4" w14:textId="21E4AA6E" w:rsidR="006A2F5E" w:rsidRPr="00D844F7" w:rsidRDefault="00D844F7" w:rsidP="00165F6F">
      <w:pPr>
        <w:pStyle w:val="ListParagraph"/>
        <w:numPr>
          <w:ilvl w:val="0"/>
          <w:numId w:val="3"/>
        </w:numPr>
        <w:jc w:val="both"/>
        <w:rPr>
          <w:rFonts w:ascii="Arial" w:hAnsi="Arial" w:cs="Arial"/>
        </w:rPr>
      </w:pPr>
      <w:r w:rsidRPr="00D844F7">
        <w:rPr>
          <w:rFonts w:ascii="Arial" w:hAnsi="Arial" w:cs="Arial"/>
          <w:b/>
          <w:bCs/>
        </w:rPr>
        <w:t>EUROPEAN GREEN DEAL “</w:t>
      </w:r>
    </w:p>
    <w:p w14:paraId="47A9071F" w14:textId="77777777" w:rsidR="00D844F7" w:rsidRDefault="00D844F7" w:rsidP="00165F6F">
      <w:pPr>
        <w:pStyle w:val="ListParagraph"/>
        <w:jc w:val="both"/>
        <w:rPr>
          <w:rFonts w:ascii="Arial" w:hAnsi="Arial" w:cs="Arial"/>
        </w:rPr>
      </w:pPr>
    </w:p>
    <w:p w14:paraId="71A16EAB" w14:textId="574D32F7" w:rsidR="00D844F7" w:rsidRDefault="00D844F7" w:rsidP="00165F6F">
      <w:pPr>
        <w:pStyle w:val="ListParagraph"/>
        <w:jc w:val="both"/>
        <w:rPr>
          <w:rFonts w:ascii="Arial" w:hAnsi="Arial" w:cs="Arial"/>
        </w:rPr>
      </w:pPr>
      <w:r w:rsidRPr="00D844F7">
        <w:rPr>
          <w:rFonts w:ascii="Arial" w:hAnsi="Arial" w:cs="Arial"/>
        </w:rPr>
        <w:t>The European Green Deal is a comprehensive plan by the European Union to transition to a low-carbon economy and reduce greenhouse gas emissions. It focuses on three key principles: ensuring a secure and affordable energy supply, developing an integrated and digitalized energy market, and prioritizing energy efficiency and renewable sources. The plan aims to build interconnected energy systems, promote innovative technologies and infrastructure, boost energy efficiency, decarbonize the gas sector, empower consumers, promote global energy standards, and develop offshore wind energy. The goal is to reduce net greenhouse gas emissions by at least 55% by 2030 compared to 1990 levels.</w:t>
      </w:r>
    </w:p>
    <w:p w14:paraId="5C6B0AB0" w14:textId="1185DBC8" w:rsidR="00D844F7" w:rsidRPr="006A2F5E" w:rsidRDefault="00D844F7" w:rsidP="00165F6F">
      <w:pPr>
        <w:pStyle w:val="ListParagraph"/>
        <w:numPr>
          <w:ilvl w:val="0"/>
          <w:numId w:val="3"/>
        </w:numPr>
        <w:jc w:val="both"/>
        <w:rPr>
          <w:rFonts w:ascii="Arial" w:hAnsi="Arial" w:cs="Arial"/>
          <w:b/>
          <w:bCs/>
        </w:rPr>
      </w:pPr>
      <w:r w:rsidRPr="00D844F7">
        <w:rPr>
          <w:rFonts w:ascii="Arial" w:hAnsi="Arial" w:cs="Arial"/>
          <w:b/>
          <w:bCs/>
        </w:rPr>
        <w:t>FIT FOR 55</w:t>
      </w:r>
    </w:p>
    <w:p w14:paraId="70BB902C" w14:textId="53FB432D" w:rsidR="00D844F7" w:rsidRPr="00D844F7" w:rsidRDefault="00D844F7" w:rsidP="00165F6F">
      <w:pPr>
        <w:pStyle w:val="ListParagraph"/>
        <w:jc w:val="both"/>
        <w:rPr>
          <w:rFonts w:ascii="Arial" w:hAnsi="Arial" w:cs="Arial"/>
        </w:rPr>
      </w:pPr>
    </w:p>
    <w:p w14:paraId="6728E862" w14:textId="77777777" w:rsidR="00097D15" w:rsidRPr="00097D15" w:rsidRDefault="00097D15" w:rsidP="00165F6F">
      <w:pPr>
        <w:pStyle w:val="ListParagraph"/>
        <w:jc w:val="both"/>
        <w:rPr>
          <w:rFonts w:ascii="Arial" w:hAnsi="Arial" w:cs="Arial"/>
        </w:rPr>
      </w:pPr>
      <w:r w:rsidRPr="00097D15">
        <w:rPr>
          <w:rFonts w:ascii="Arial" w:hAnsi="Arial" w:cs="Arial"/>
        </w:rPr>
        <w:t xml:space="preserve">The EU Fit for 55 is a package of legislative proposals presented by the European Commission in July 2021. The main objective of the package is to align EU climate, energy, land use, transport, and taxation policies with the </w:t>
      </w:r>
      <w:r w:rsidRPr="00097D15">
        <w:rPr>
          <w:rFonts w:ascii="Arial" w:hAnsi="Arial" w:cs="Arial"/>
        </w:rPr>
        <w:lastRenderedPageBreak/>
        <w:t>target of reducing net greenhouse gas emissions by at least 55% by 2030 compared to 1990 levels, as set out in the European Green Deal.</w:t>
      </w:r>
    </w:p>
    <w:p w14:paraId="2767F51C" w14:textId="6DCCF33D" w:rsidR="00097D15" w:rsidRPr="00097D15" w:rsidRDefault="00097D15" w:rsidP="00165F6F">
      <w:pPr>
        <w:pStyle w:val="ListParagraph"/>
        <w:jc w:val="both"/>
        <w:rPr>
          <w:rFonts w:ascii="Arial" w:hAnsi="Arial" w:cs="Arial"/>
        </w:rPr>
      </w:pPr>
      <w:r w:rsidRPr="00097D15">
        <w:rPr>
          <w:rFonts w:ascii="Arial" w:hAnsi="Arial" w:cs="Arial"/>
        </w:rPr>
        <w:t xml:space="preserve">The package includes a range of proposals to achieve this goal, including </w:t>
      </w:r>
      <w:r>
        <w:rPr>
          <w:rFonts w:ascii="Arial" w:hAnsi="Arial" w:cs="Arial"/>
        </w:rPr>
        <w:t>optimizing</w:t>
      </w:r>
      <w:r w:rsidRPr="00097D15">
        <w:rPr>
          <w:rFonts w:ascii="Arial" w:hAnsi="Arial" w:cs="Arial"/>
        </w:rPr>
        <w:t xml:space="preserve"> and expanding the EU Emissions Trading System (ETS), introducing new legislation on renewable energy and energy efficiency, increasing the use of sustainable biofuels, promoting the uptake of low-emission vehicles, and establishing a Carbon Border Adjustment Mechanism (CBAM) to prevent carbon leakage.</w:t>
      </w:r>
    </w:p>
    <w:p w14:paraId="5A32F02A" w14:textId="77777777" w:rsidR="00097D15" w:rsidRPr="00097D15" w:rsidRDefault="00097D15" w:rsidP="00165F6F">
      <w:pPr>
        <w:pStyle w:val="ListParagraph"/>
        <w:jc w:val="both"/>
        <w:rPr>
          <w:rFonts w:ascii="Arial" w:hAnsi="Arial" w:cs="Arial"/>
        </w:rPr>
      </w:pPr>
      <w:r w:rsidRPr="00097D15">
        <w:rPr>
          <w:rFonts w:ascii="Arial" w:hAnsi="Arial" w:cs="Arial"/>
        </w:rPr>
        <w:t>The package also includes proposals to revise the EU Energy Taxation Directive, which aims to align taxation of energy products with EU climate objectives, and to revise the EU's Energy Performance of Buildings Directive to make buildings more energy-efficient and decarbonized.</w:t>
      </w:r>
    </w:p>
    <w:p w14:paraId="6F344F8D" w14:textId="77777777" w:rsidR="00097D15" w:rsidRPr="00097D15" w:rsidRDefault="00097D15" w:rsidP="00165F6F">
      <w:pPr>
        <w:pStyle w:val="ListParagraph"/>
        <w:jc w:val="both"/>
        <w:rPr>
          <w:rFonts w:ascii="Arial" w:hAnsi="Arial" w:cs="Arial"/>
        </w:rPr>
      </w:pPr>
      <w:r w:rsidRPr="00097D15">
        <w:rPr>
          <w:rFonts w:ascii="Arial" w:hAnsi="Arial" w:cs="Arial"/>
        </w:rPr>
        <w:t>The Fit for 55 package is a major step towards achieving the EU's ambitious climate goals, and it will require significant effort from EU member states, businesses, and citizens to implement the proposed measures and transition to a low-carbon economy.</w:t>
      </w:r>
    </w:p>
    <w:p w14:paraId="7869B3FD" w14:textId="75208167" w:rsidR="00D844F7" w:rsidRDefault="00D844F7" w:rsidP="00165F6F">
      <w:pPr>
        <w:pStyle w:val="ListParagraph"/>
        <w:jc w:val="both"/>
        <w:rPr>
          <w:rFonts w:ascii="Arial" w:hAnsi="Arial" w:cs="Arial"/>
        </w:rPr>
      </w:pPr>
    </w:p>
    <w:p w14:paraId="2B7BBD48" w14:textId="45C4E3E4" w:rsidR="00154E5F" w:rsidRDefault="00C72BEA" w:rsidP="00165F6F">
      <w:pPr>
        <w:pStyle w:val="ListParagraph"/>
        <w:numPr>
          <w:ilvl w:val="0"/>
          <w:numId w:val="3"/>
        </w:numPr>
        <w:jc w:val="both"/>
        <w:rPr>
          <w:rFonts w:ascii="Arial" w:hAnsi="Arial" w:cs="Arial"/>
          <w:b/>
          <w:bCs/>
        </w:rPr>
      </w:pPr>
      <w:r w:rsidRPr="00154E5F">
        <w:rPr>
          <w:rFonts w:ascii="Arial" w:hAnsi="Arial" w:cs="Arial"/>
          <w:b/>
          <w:bCs/>
        </w:rPr>
        <w:t xml:space="preserve">Carbon Taxation and </w:t>
      </w:r>
      <w:proofErr w:type="spellStart"/>
      <w:r w:rsidRPr="00154E5F">
        <w:rPr>
          <w:rFonts w:ascii="Arial" w:hAnsi="Arial" w:cs="Arial"/>
          <w:b/>
          <w:bCs/>
        </w:rPr>
        <w:t>Greenflation</w:t>
      </w:r>
      <w:proofErr w:type="spellEnd"/>
      <w:r w:rsidRPr="00154E5F">
        <w:rPr>
          <w:rFonts w:ascii="Arial" w:hAnsi="Arial" w:cs="Arial"/>
          <w:b/>
          <w:bCs/>
        </w:rPr>
        <w:t>:</w:t>
      </w:r>
      <w:r w:rsidR="00154E5F" w:rsidRPr="00154E5F">
        <w:rPr>
          <w:rFonts w:ascii="Arial" w:hAnsi="Arial" w:cs="Arial"/>
          <w:b/>
          <w:bCs/>
        </w:rPr>
        <w:t xml:space="preserve"> Evidence from Europe and Canada</w:t>
      </w:r>
      <w:r w:rsidR="00CF71C9">
        <w:rPr>
          <w:rFonts w:ascii="Arial" w:hAnsi="Arial" w:cs="Arial"/>
          <w:b/>
          <w:bCs/>
        </w:rPr>
        <w:t>, Maximil</w:t>
      </w:r>
      <w:r w:rsidR="00E82708">
        <w:rPr>
          <w:rFonts w:ascii="Arial" w:hAnsi="Arial" w:cs="Arial"/>
          <w:b/>
          <w:bCs/>
        </w:rPr>
        <w:t>ian Konradt, Beatrice Weder di Mauro</w:t>
      </w:r>
    </w:p>
    <w:p w14:paraId="3F1FFEE2" w14:textId="49820489" w:rsidR="00154E5F" w:rsidRDefault="00154E5F" w:rsidP="00165F6F">
      <w:pPr>
        <w:pStyle w:val="ListParagraph"/>
        <w:jc w:val="both"/>
        <w:rPr>
          <w:rFonts w:ascii="Arial" w:hAnsi="Arial" w:cs="Arial"/>
          <w:b/>
          <w:bCs/>
        </w:rPr>
      </w:pPr>
    </w:p>
    <w:p w14:paraId="1066031D" w14:textId="1882617D" w:rsidR="00CB2582" w:rsidRDefault="00154E5F" w:rsidP="00165F6F">
      <w:pPr>
        <w:pStyle w:val="ListParagraph"/>
        <w:jc w:val="both"/>
        <w:rPr>
          <w:rFonts w:ascii="Arial" w:hAnsi="Arial" w:cs="Arial"/>
        </w:rPr>
      </w:pPr>
      <w:r w:rsidRPr="00154E5F">
        <w:rPr>
          <w:rFonts w:ascii="Arial" w:hAnsi="Arial" w:cs="Arial"/>
        </w:rPr>
        <w:t>The paper examines the impact of carbon taxation on inflation in Europe and Canada, and specifically focuses on the phenomenon of "</w:t>
      </w:r>
      <w:proofErr w:type="spellStart"/>
      <w:r w:rsidRPr="00154E5F">
        <w:rPr>
          <w:rFonts w:ascii="Arial" w:hAnsi="Arial" w:cs="Arial"/>
        </w:rPr>
        <w:t>greenflation</w:t>
      </w:r>
      <w:proofErr w:type="spellEnd"/>
      <w:r w:rsidRPr="00154E5F">
        <w:rPr>
          <w:rFonts w:ascii="Arial" w:hAnsi="Arial" w:cs="Arial"/>
        </w:rPr>
        <w:t xml:space="preserve">," which refers to an increase in the general price level due to </w:t>
      </w:r>
      <w:r>
        <w:rPr>
          <w:rFonts w:ascii="Arial" w:hAnsi="Arial" w:cs="Arial"/>
        </w:rPr>
        <w:t>climate</w:t>
      </w:r>
      <w:r w:rsidRPr="00154E5F">
        <w:rPr>
          <w:rFonts w:ascii="Arial" w:hAnsi="Arial" w:cs="Arial"/>
        </w:rPr>
        <w:t xml:space="preserve"> policy measures</w:t>
      </w:r>
      <w:r>
        <w:rPr>
          <w:rFonts w:ascii="Arial" w:hAnsi="Arial" w:cs="Arial"/>
        </w:rPr>
        <w:t xml:space="preserve">. </w:t>
      </w:r>
      <w:r w:rsidRPr="00154E5F">
        <w:rPr>
          <w:rFonts w:ascii="Arial" w:hAnsi="Arial" w:cs="Arial"/>
        </w:rPr>
        <w:t>The authors use a panel data approach</w:t>
      </w:r>
      <w:r>
        <w:rPr>
          <w:rFonts w:ascii="Arial" w:hAnsi="Arial" w:cs="Arial"/>
        </w:rPr>
        <w:t xml:space="preserve"> with</w:t>
      </w:r>
      <w:r w:rsidRPr="00154E5F">
        <w:rPr>
          <w:rFonts w:ascii="Arial" w:hAnsi="Arial" w:cs="Arial"/>
        </w:rPr>
        <w:t xml:space="preserve"> (OLS) regressions</w:t>
      </w:r>
      <w:r w:rsidR="005C6A5C">
        <w:rPr>
          <w:rFonts w:ascii="Arial" w:hAnsi="Arial" w:cs="Arial"/>
        </w:rPr>
        <w:t xml:space="preserve"> </w:t>
      </w:r>
      <w:r w:rsidR="005C6A5C" w:rsidRPr="00154E5F">
        <w:rPr>
          <w:rFonts w:ascii="Arial" w:hAnsi="Arial" w:cs="Arial"/>
        </w:rPr>
        <w:t>to estimate the effect of carbon taxation on inflation in several European countries and Canada</w:t>
      </w:r>
      <w:r w:rsidRPr="005C6A5C">
        <w:rPr>
          <w:rFonts w:ascii="Arial" w:hAnsi="Arial" w:cs="Arial"/>
        </w:rPr>
        <w:t>. To ensure the effect is properly identified and to control for potential confounding factors they use the local projections (LP) method by Jorda` (2005) for the main analysis.</w:t>
      </w:r>
      <w:r w:rsidR="00CB2582">
        <w:rPr>
          <w:rFonts w:ascii="Arial" w:hAnsi="Arial" w:cs="Arial"/>
        </w:rPr>
        <w:t xml:space="preserve"> The authors subject the main results to a number of robustness checks, i.e. panel-VAR models.</w:t>
      </w:r>
    </w:p>
    <w:p w14:paraId="5CE2C91B" w14:textId="321283DF" w:rsidR="00CB2582" w:rsidRPr="00D57B70" w:rsidRDefault="00CB2582" w:rsidP="00165F6F">
      <w:pPr>
        <w:pStyle w:val="ListParagraph"/>
        <w:jc w:val="both"/>
        <w:rPr>
          <w:rFonts w:ascii="Arial" w:hAnsi="Arial" w:cs="Arial"/>
        </w:rPr>
      </w:pPr>
      <w:r>
        <w:rPr>
          <w:rFonts w:ascii="Arial" w:hAnsi="Arial" w:cs="Arial"/>
        </w:rPr>
        <w:t>T</w:t>
      </w:r>
      <w:r w:rsidRPr="00CB2582">
        <w:rPr>
          <w:rFonts w:ascii="Arial" w:hAnsi="Arial" w:cs="Arial"/>
        </w:rPr>
        <w:t xml:space="preserve">he evidence from three waves of carbon taxes </w:t>
      </w:r>
      <w:r w:rsidR="00D57B70">
        <w:rPr>
          <w:rFonts w:ascii="Arial" w:hAnsi="Arial" w:cs="Arial"/>
        </w:rPr>
        <w:t xml:space="preserve">- 1) </w:t>
      </w:r>
      <w:r w:rsidRPr="00CB2582">
        <w:rPr>
          <w:rFonts w:ascii="Arial" w:hAnsi="Arial" w:cs="Arial"/>
        </w:rPr>
        <w:t>all taxes that came into e</w:t>
      </w:r>
      <w:r>
        <w:rPr>
          <w:rFonts w:ascii="Arial" w:hAnsi="Arial" w:cs="Arial"/>
        </w:rPr>
        <w:t>ff</w:t>
      </w:r>
      <w:r w:rsidRPr="00CB2582">
        <w:rPr>
          <w:rFonts w:ascii="Arial" w:hAnsi="Arial" w:cs="Arial"/>
        </w:rPr>
        <w:t>ect before 2000</w:t>
      </w:r>
      <w:r w:rsidR="00D57B70">
        <w:rPr>
          <w:rFonts w:ascii="Arial" w:hAnsi="Arial" w:cs="Arial"/>
        </w:rPr>
        <w:t>,</w:t>
      </w:r>
      <w:r w:rsidRPr="00CB2582">
        <w:rPr>
          <w:rFonts w:ascii="Arial" w:hAnsi="Arial" w:cs="Arial"/>
        </w:rPr>
        <w:t xml:space="preserve"> </w:t>
      </w:r>
      <w:r w:rsidR="00D57B70">
        <w:rPr>
          <w:rFonts w:ascii="Arial" w:hAnsi="Arial" w:cs="Arial"/>
        </w:rPr>
        <w:t xml:space="preserve">2) </w:t>
      </w:r>
      <w:r w:rsidRPr="00CB2582">
        <w:rPr>
          <w:rFonts w:ascii="Arial" w:hAnsi="Arial" w:cs="Arial"/>
        </w:rPr>
        <w:t xml:space="preserve">2000 </w:t>
      </w:r>
      <w:r w:rsidR="00D57B70">
        <w:rPr>
          <w:rFonts w:ascii="Arial" w:hAnsi="Arial" w:cs="Arial"/>
        </w:rPr>
        <w:t xml:space="preserve">- </w:t>
      </w:r>
      <w:r w:rsidRPr="00CB2582">
        <w:rPr>
          <w:rFonts w:ascii="Arial" w:hAnsi="Arial" w:cs="Arial"/>
        </w:rPr>
        <w:t xml:space="preserve">2010 </w:t>
      </w:r>
      <w:r w:rsidR="00D57B70">
        <w:rPr>
          <w:rFonts w:ascii="Arial" w:hAnsi="Arial" w:cs="Arial"/>
        </w:rPr>
        <w:t xml:space="preserve">and 3) </w:t>
      </w:r>
      <w:r w:rsidRPr="00CB2582">
        <w:rPr>
          <w:rFonts w:ascii="Arial" w:hAnsi="Arial" w:cs="Arial"/>
        </w:rPr>
        <w:t xml:space="preserve">after </w:t>
      </w:r>
      <w:r w:rsidR="00D57B70">
        <w:rPr>
          <w:rFonts w:ascii="Arial" w:hAnsi="Arial" w:cs="Arial"/>
        </w:rPr>
        <w:t xml:space="preserve">2010 - </w:t>
      </w:r>
      <w:r w:rsidRPr="00D57B70">
        <w:rPr>
          <w:rFonts w:ascii="Arial" w:hAnsi="Arial" w:cs="Arial"/>
        </w:rPr>
        <w:t xml:space="preserve">indicates that the most recent tax deployments have had larger inflationary effects: Compared to taxes enacted earlier, taxes enacted since 2000 have a greater effect on prices. Yet, </w:t>
      </w:r>
      <w:r w:rsidR="00104B23">
        <w:rPr>
          <w:rFonts w:ascii="Arial" w:hAnsi="Arial" w:cs="Arial"/>
        </w:rPr>
        <w:t>they</w:t>
      </w:r>
      <w:r w:rsidRPr="00D57B70">
        <w:rPr>
          <w:rFonts w:ascii="Arial" w:hAnsi="Arial" w:cs="Arial"/>
        </w:rPr>
        <w:t xml:space="preserve"> discover that any inflationary pressure that might materialize manifests mostly in headline </w:t>
      </w:r>
      <w:r w:rsidR="00D57B70">
        <w:rPr>
          <w:rFonts w:ascii="Arial" w:hAnsi="Arial" w:cs="Arial"/>
        </w:rPr>
        <w:t xml:space="preserve">CPI </w:t>
      </w:r>
      <w:r w:rsidRPr="00D57B70">
        <w:rPr>
          <w:rFonts w:ascii="Arial" w:hAnsi="Arial" w:cs="Arial"/>
        </w:rPr>
        <w:t>inflation rather than core inflation.</w:t>
      </w:r>
    </w:p>
    <w:p w14:paraId="6F91F935" w14:textId="77777777" w:rsidR="00D57B70" w:rsidRDefault="00D57B70" w:rsidP="00165F6F">
      <w:pPr>
        <w:pStyle w:val="ListParagraph"/>
        <w:jc w:val="both"/>
        <w:rPr>
          <w:rFonts w:ascii="Arial" w:hAnsi="Arial" w:cs="Arial"/>
        </w:rPr>
      </w:pPr>
      <w:r>
        <w:rPr>
          <w:rFonts w:ascii="Arial" w:hAnsi="Arial" w:cs="Arial"/>
        </w:rPr>
        <w:t xml:space="preserve">Interesting enough is the finding that the response of inflation to a similarly sized carbon tax shock (40 USD carbon tax per tCO2 with 30% coverage  of total GHG emissions) is more muted in countries equipped with carbon taxes for a longer time-horizon, that adopted effective recycle tax revenues and have monetary autonomy to react to changing prices. </w:t>
      </w:r>
    </w:p>
    <w:p w14:paraId="38AD5B2E" w14:textId="3DDA8156" w:rsidR="00CF71C9" w:rsidRDefault="00154E5F" w:rsidP="00165F6F">
      <w:pPr>
        <w:pStyle w:val="ListParagraph"/>
        <w:jc w:val="both"/>
        <w:rPr>
          <w:rFonts w:ascii="Arial" w:hAnsi="Arial" w:cs="Arial"/>
        </w:rPr>
      </w:pPr>
      <w:r w:rsidRPr="00D57B70">
        <w:rPr>
          <w:rFonts w:ascii="Arial" w:hAnsi="Arial" w:cs="Arial"/>
        </w:rPr>
        <w:t>Overall, the paper contributes to the ongoing debate about the optimal design of environmental policies, particularly carbon taxes, and their potential impact on inflation and economic welfar</w:t>
      </w:r>
      <w:r w:rsidR="00CF71C9">
        <w:rPr>
          <w:rFonts w:ascii="Arial" w:hAnsi="Arial" w:cs="Arial"/>
        </w:rPr>
        <w:t>e.</w:t>
      </w:r>
      <w:r w:rsidR="00061A46">
        <w:rPr>
          <w:rFonts w:ascii="Arial" w:hAnsi="Arial" w:cs="Arial"/>
        </w:rPr>
        <w:t xml:space="preserve"> The only limits of their conclusions </w:t>
      </w:r>
      <w:r w:rsidR="002D567F">
        <w:rPr>
          <w:rFonts w:ascii="Arial" w:hAnsi="Arial" w:cs="Arial"/>
        </w:rPr>
        <w:t>are</w:t>
      </w:r>
      <w:r w:rsidR="00061A46">
        <w:rPr>
          <w:rFonts w:ascii="Arial" w:hAnsi="Arial" w:cs="Arial"/>
        </w:rPr>
        <w:t xml:space="preserve"> that they did not consider EU ETS as carbon pricing in their models but only carbon taxes.</w:t>
      </w:r>
    </w:p>
    <w:p w14:paraId="01B44EE0" w14:textId="3828C1B0" w:rsidR="00CF71C9" w:rsidRDefault="00CF71C9" w:rsidP="00165F6F">
      <w:pPr>
        <w:jc w:val="both"/>
        <w:rPr>
          <w:rFonts w:ascii="Arial" w:hAnsi="Arial" w:cs="Arial"/>
        </w:rPr>
      </w:pPr>
    </w:p>
    <w:p w14:paraId="078FDE21" w14:textId="44CF716A" w:rsidR="00DE63BF" w:rsidRPr="00DE63BF" w:rsidRDefault="00DE63BF" w:rsidP="00165F6F">
      <w:pPr>
        <w:pStyle w:val="ListParagraph"/>
        <w:numPr>
          <w:ilvl w:val="0"/>
          <w:numId w:val="3"/>
        </w:numPr>
        <w:jc w:val="both"/>
        <w:rPr>
          <w:rFonts w:ascii="Arial" w:hAnsi="Arial" w:cs="Arial"/>
          <w:b/>
          <w:bCs/>
        </w:rPr>
      </w:pPr>
      <w:r w:rsidRPr="00DE63BF">
        <w:rPr>
          <w:rFonts w:ascii="Arial" w:hAnsi="Arial" w:cs="Arial"/>
          <w:b/>
          <w:bCs/>
        </w:rPr>
        <w:t>Effects of Carbon Pricing on inflation, Richhild Moessner</w:t>
      </w:r>
    </w:p>
    <w:p w14:paraId="2142775C" w14:textId="4EBE781C" w:rsidR="00104B23" w:rsidRDefault="00E82708" w:rsidP="00165F6F">
      <w:pPr>
        <w:pStyle w:val="ListParagraph"/>
        <w:jc w:val="both"/>
        <w:rPr>
          <w:rFonts w:ascii="Arial" w:hAnsi="Arial" w:cs="Arial"/>
        </w:rPr>
      </w:pPr>
      <w:r w:rsidRPr="00104B23">
        <w:rPr>
          <w:rFonts w:ascii="Arial" w:hAnsi="Arial" w:cs="Arial"/>
        </w:rPr>
        <w:t xml:space="preserve">This paper contributes to the literature on climate policy consequences on inflation, by providing ex-post empirical analysis of the effects of both carbon taxes and prices of ETS on consumer price inflation and its food, energy and </w:t>
      </w:r>
      <w:r w:rsidRPr="00104B23">
        <w:rPr>
          <w:rFonts w:ascii="Arial" w:hAnsi="Arial" w:cs="Arial"/>
        </w:rPr>
        <w:lastRenderedPageBreak/>
        <w:t>core subcomponents, across 35 OECD economies from 1995 to 2020. In contrast to Konradt and Weder di Mauro (2021) and McKibbin et al. (2021</w:t>
      </w:r>
      <w:r w:rsidR="002D567F" w:rsidRPr="00104B23">
        <w:rPr>
          <w:rFonts w:ascii="Arial" w:hAnsi="Arial" w:cs="Arial"/>
        </w:rPr>
        <w:t>), that</w:t>
      </w:r>
      <w:r w:rsidRPr="00104B23">
        <w:rPr>
          <w:rFonts w:ascii="Arial" w:hAnsi="Arial" w:cs="Arial"/>
        </w:rPr>
        <w:t xml:space="preserve"> only study carbon taxes, </w:t>
      </w:r>
      <w:r w:rsidR="00061A46" w:rsidRPr="00104B23">
        <w:rPr>
          <w:rFonts w:ascii="Arial" w:hAnsi="Arial" w:cs="Arial"/>
        </w:rPr>
        <w:t>this research</w:t>
      </w:r>
      <w:r w:rsidRPr="00104B23">
        <w:rPr>
          <w:rFonts w:ascii="Arial" w:hAnsi="Arial" w:cs="Arial"/>
        </w:rPr>
        <w:t xml:space="preserve"> also consider</w:t>
      </w:r>
      <w:r w:rsidR="00061A46" w:rsidRPr="00104B23">
        <w:rPr>
          <w:rFonts w:ascii="Arial" w:hAnsi="Arial" w:cs="Arial"/>
        </w:rPr>
        <w:t>s</w:t>
      </w:r>
      <w:r w:rsidRPr="00104B23">
        <w:rPr>
          <w:rFonts w:ascii="Arial" w:hAnsi="Arial" w:cs="Arial"/>
        </w:rPr>
        <w:t xml:space="preserve"> carbon </w:t>
      </w:r>
      <w:r w:rsidR="00061A46" w:rsidRPr="00104B23">
        <w:rPr>
          <w:rFonts w:ascii="Arial" w:hAnsi="Arial" w:cs="Arial"/>
        </w:rPr>
        <w:t>emissions trading system (</w:t>
      </w:r>
      <w:r w:rsidRPr="00104B23">
        <w:rPr>
          <w:rFonts w:ascii="Arial" w:hAnsi="Arial" w:cs="Arial"/>
        </w:rPr>
        <w:t>ETS</w:t>
      </w:r>
      <w:r w:rsidR="00061A46" w:rsidRPr="00104B23">
        <w:rPr>
          <w:rFonts w:ascii="Arial" w:hAnsi="Arial" w:cs="Arial"/>
        </w:rPr>
        <w:t>)</w:t>
      </w:r>
      <w:r w:rsidRPr="00104B23">
        <w:rPr>
          <w:rFonts w:ascii="Arial" w:hAnsi="Arial" w:cs="Arial"/>
        </w:rPr>
        <w:t xml:space="preserve"> prices.</w:t>
      </w:r>
      <w:r w:rsidR="00061A46" w:rsidRPr="00104B23">
        <w:rPr>
          <w:rFonts w:ascii="Arial" w:hAnsi="Arial" w:cs="Arial"/>
        </w:rPr>
        <w:t xml:space="preserve"> The author uses dynamic panel estimation of New-Keynesian Phillips curves across countries in order to capture inflation dynamics well</w:t>
      </w:r>
      <w:r w:rsidR="00104B23">
        <w:rPr>
          <w:rFonts w:ascii="Arial" w:hAnsi="Arial" w:cs="Arial"/>
        </w:rPr>
        <w:t>.</w:t>
      </w:r>
      <w:r w:rsidR="00104B23" w:rsidRPr="00104B23">
        <w:rPr>
          <w:rFonts w:ascii="Arial" w:hAnsi="Arial" w:cs="Arial"/>
        </w:rPr>
        <w:t xml:space="preserve"> </w:t>
      </w:r>
      <w:r w:rsidR="00104B23">
        <w:rPr>
          <w:rFonts w:ascii="Arial" w:hAnsi="Arial" w:cs="Arial"/>
        </w:rPr>
        <w:t xml:space="preserve">The key findings of the article are the following: </w:t>
      </w:r>
    </w:p>
    <w:p w14:paraId="0DE9D952" w14:textId="77777777" w:rsidR="00104B23" w:rsidRPr="000F0E21" w:rsidRDefault="00104B23" w:rsidP="00165F6F">
      <w:pPr>
        <w:pStyle w:val="ListParagraph"/>
        <w:numPr>
          <w:ilvl w:val="0"/>
          <w:numId w:val="8"/>
        </w:numPr>
        <w:jc w:val="both"/>
        <w:rPr>
          <w:rFonts w:ascii="Arial" w:hAnsi="Arial" w:cs="Arial"/>
        </w:rPr>
      </w:pPr>
      <w:r w:rsidRPr="000F0E21">
        <w:rPr>
          <w:rFonts w:ascii="Arial" w:hAnsi="Arial" w:cs="Arial"/>
        </w:rPr>
        <w:t>The impact of carbon pricing on inflation is likely to be small, particularly if the policy is implemented gradually and predictabl</w:t>
      </w:r>
      <w:r>
        <w:rPr>
          <w:rFonts w:ascii="Arial" w:hAnsi="Arial" w:cs="Arial"/>
        </w:rPr>
        <w:t>y by informing</w:t>
      </w:r>
    </w:p>
    <w:p w14:paraId="5F42CA8C" w14:textId="77777777" w:rsidR="00104B23" w:rsidRPr="000F0E21" w:rsidRDefault="00104B23" w:rsidP="00165F6F">
      <w:pPr>
        <w:pStyle w:val="ListParagraph"/>
        <w:numPr>
          <w:ilvl w:val="0"/>
          <w:numId w:val="8"/>
        </w:numPr>
        <w:jc w:val="both"/>
        <w:rPr>
          <w:rFonts w:ascii="Arial" w:hAnsi="Arial" w:cs="Arial"/>
        </w:rPr>
      </w:pPr>
      <w:r w:rsidRPr="000F0E21">
        <w:rPr>
          <w:rFonts w:ascii="Arial" w:hAnsi="Arial" w:cs="Arial"/>
        </w:rPr>
        <w:t>The effects of carbon pricing on inflation depend on a range of factors, including the degree of pass-through to consumer prices, the level of carbon intensity in different sectors, and the effectiveness of monetary policy in managing inflationary pressures.</w:t>
      </w:r>
    </w:p>
    <w:p w14:paraId="206139B3" w14:textId="77777777" w:rsidR="00104B23" w:rsidRPr="000F0E21" w:rsidRDefault="00104B23" w:rsidP="00165F6F">
      <w:pPr>
        <w:pStyle w:val="ListParagraph"/>
        <w:numPr>
          <w:ilvl w:val="0"/>
          <w:numId w:val="8"/>
        </w:numPr>
        <w:jc w:val="both"/>
        <w:rPr>
          <w:rFonts w:ascii="Arial" w:hAnsi="Arial" w:cs="Arial"/>
        </w:rPr>
      </w:pPr>
      <w:r w:rsidRPr="000F0E21">
        <w:rPr>
          <w:rFonts w:ascii="Arial" w:hAnsi="Arial" w:cs="Arial"/>
        </w:rPr>
        <w:t>While there may be some short-term inflationary effects from carbon pricing, the long-term benefits of reducing greenhouse gas emissions through this policy instrument are likely to outweigh these costs.</w:t>
      </w:r>
    </w:p>
    <w:p w14:paraId="4CEF3D87" w14:textId="77777777" w:rsidR="00104B23" w:rsidRDefault="00104B23" w:rsidP="00165F6F">
      <w:pPr>
        <w:pStyle w:val="ListParagraph"/>
        <w:numPr>
          <w:ilvl w:val="0"/>
          <w:numId w:val="8"/>
        </w:numPr>
        <w:jc w:val="both"/>
        <w:rPr>
          <w:rFonts w:ascii="Arial" w:hAnsi="Arial" w:cs="Arial"/>
        </w:rPr>
      </w:pPr>
      <w:r w:rsidRPr="000F0E21">
        <w:rPr>
          <w:rFonts w:ascii="Arial" w:hAnsi="Arial" w:cs="Arial"/>
        </w:rPr>
        <w:t>Carbon pricing can potentially have distributional effects, as some households and industries may be more affected than others. Policymakers should take steps to mitigate these impacts and ensure that the burden of reducing greenhouse gas emissions is shared fairly.</w:t>
      </w:r>
    </w:p>
    <w:p w14:paraId="1118320C" w14:textId="77777777" w:rsidR="00104B23" w:rsidRDefault="00104B23" w:rsidP="00165F6F">
      <w:pPr>
        <w:pStyle w:val="ListParagraph"/>
        <w:ind w:left="1080"/>
        <w:jc w:val="both"/>
        <w:rPr>
          <w:rFonts w:ascii="Arial" w:hAnsi="Arial" w:cs="Arial"/>
        </w:rPr>
      </w:pPr>
    </w:p>
    <w:p w14:paraId="05996FC6" w14:textId="0D236CB6" w:rsidR="00104B23" w:rsidRDefault="00104B23" w:rsidP="00165F6F">
      <w:pPr>
        <w:pStyle w:val="ListParagraph"/>
        <w:ind w:left="1080"/>
        <w:jc w:val="both"/>
        <w:rPr>
          <w:rFonts w:ascii="Arial" w:hAnsi="Arial" w:cs="Arial"/>
        </w:rPr>
      </w:pPr>
      <w:r w:rsidRPr="000F0E21">
        <w:rPr>
          <w:rFonts w:ascii="Arial" w:hAnsi="Arial" w:cs="Arial"/>
        </w:rPr>
        <w:t>Overall, the findings are relevant for future climate policies. They suggest that higher carbon taxes and prices of permits in ETS have not led to large increases in headline inflation</w:t>
      </w:r>
      <w:r>
        <w:rPr>
          <w:rFonts w:ascii="Arial" w:hAnsi="Arial" w:cs="Arial"/>
        </w:rPr>
        <w:t xml:space="preserve">, and especially </w:t>
      </w:r>
      <w:r w:rsidRPr="000F0E21">
        <w:rPr>
          <w:rFonts w:ascii="Arial" w:hAnsi="Arial" w:cs="Arial"/>
        </w:rPr>
        <w:t>had no significant effects on food CPI and core CPI inflation</w:t>
      </w:r>
      <w:r>
        <w:rPr>
          <w:rFonts w:ascii="Arial" w:hAnsi="Arial" w:cs="Arial"/>
        </w:rPr>
        <w:t xml:space="preserve">, consistent </w:t>
      </w:r>
      <w:r w:rsidRPr="00E82708">
        <w:rPr>
          <w:rFonts w:ascii="Arial" w:hAnsi="Arial" w:cs="Arial"/>
        </w:rPr>
        <w:t>Konradt and Weder di Mauro (2021)</w:t>
      </w:r>
      <w:r>
        <w:rPr>
          <w:rFonts w:ascii="Arial" w:hAnsi="Arial" w:cs="Arial"/>
        </w:rPr>
        <w:t xml:space="preserve"> results. All in all, t</w:t>
      </w:r>
      <w:r w:rsidRPr="00104B23">
        <w:rPr>
          <w:rFonts w:ascii="Arial" w:hAnsi="Arial" w:cs="Arial"/>
        </w:rPr>
        <w:t>he use of carbon pricing to accelerate the essential transition to net zero carbon emissions need not be then constrained by considerations about significant overall inflationary implications. This is significant since studies have shown that these carbon pricing schemes reduce carbon emissions (</w:t>
      </w:r>
      <w:proofErr w:type="spellStart"/>
      <w:r w:rsidRPr="00104B23">
        <w:rPr>
          <w:rFonts w:ascii="Arial" w:hAnsi="Arial" w:cs="Arial"/>
        </w:rPr>
        <w:t>Kohlscheen</w:t>
      </w:r>
      <w:proofErr w:type="spellEnd"/>
      <w:r w:rsidRPr="00104B23">
        <w:rPr>
          <w:rFonts w:ascii="Arial" w:hAnsi="Arial" w:cs="Arial"/>
        </w:rPr>
        <w:t xml:space="preserve"> et al., 2021).</w:t>
      </w:r>
    </w:p>
    <w:p w14:paraId="230E3838" w14:textId="77777777" w:rsidR="00104B23" w:rsidRDefault="00104B23" w:rsidP="00165F6F">
      <w:pPr>
        <w:pStyle w:val="ListParagraph"/>
        <w:ind w:left="1080"/>
        <w:jc w:val="both"/>
        <w:rPr>
          <w:rFonts w:ascii="Arial" w:hAnsi="Arial" w:cs="Arial"/>
        </w:rPr>
      </w:pPr>
    </w:p>
    <w:p w14:paraId="5437CDFD" w14:textId="2FD7C94F" w:rsidR="00104B23" w:rsidRDefault="00104B23" w:rsidP="00165F6F">
      <w:pPr>
        <w:pStyle w:val="ListParagraph"/>
        <w:numPr>
          <w:ilvl w:val="0"/>
          <w:numId w:val="3"/>
        </w:numPr>
        <w:jc w:val="both"/>
        <w:rPr>
          <w:rFonts w:ascii="Arial" w:hAnsi="Arial" w:cs="Arial"/>
          <w:b/>
          <w:bCs/>
        </w:rPr>
      </w:pPr>
      <w:r w:rsidRPr="00104B23">
        <w:rPr>
          <w:rFonts w:ascii="Arial" w:hAnsi="Arial" w:cs="Arial"/>
          <w:b/>
          <w:bCs/>
        </w:rPr>
        <w:t>Surging Energy Prices in Europe in the Aftermath of the War: How to Support the Vulnerable and Speed up the Transition Away from Fossil Fuels</w:t>
      </w:r>
      <w:r>
        <w:rPr>
          <w:rFonts w:ascii="Arial" w:hAnsi="Arial" w:cs="Arial"/>
          <w:b/>
          <w:bCs/>
        </w:rPr>
        <w:t xml:space="preserve">, IMF, </w:t>
      </w:r>
      <w:r w:rsidR="00C96CE1" w:rsidRPr="00C96CE1">
        <w:rPr>
          <w:rFonts w:ascii="Arial" w:hAnsi="Arial" w:cs="Arial"/>
          <w:b/>
          <w:bCs/>
        </w:rPr>
        <w:t xml:space="preserve">by Anil Ari, Nicolas Arregui, and Oya </w:t>
      </w:r>
      <w:proofErr w:type="spellStart"/>
      <w:r w:rsidR="00C96CE1" w:rsidRPr="00C96CE1">
        <w:rPr>
          <w:rFonts w:ascii="Arial" w:hAnsi="Arial" w:cs="Arial"/>
          <w:b/>
          <w:bCs/>
        </w:rPr>
        <w:t>Celasun</w:t>
      </w:r>
      <w:proofErr w:type="spellEnd"/>
      <w:r w:rsidR="00C96CE1">
        <w:rPr>
          <w:rFonts w:ascii="Arial" w:hAnsi="Arial" w:cs="Arial"/>
          <w:b/>
          <w:bCs/>
        </w:rPr>
        <w:t xml:space="preserve"> et al.</w:t>
      </w:r>
    </w:p>
    <w:p w14:paraId="0452BA90" w14:textId="74CBD823" w:rsidR="00C96CE1" w:rsidRDefault="00C96CE1" w:rsidP="00165F6F">
      <w:pPr>
        <w:pStyle w:val="ListParagraph"/>
        <w:jc w:val="both"/>
        <w:rPr>
          <w:rFonts w:ascii="Arial" w:hAnsi="Arial" w:cs="Arial"/>
          <w:b/>
          <w:bCs/>
        </w:rPr>
      </w:pPr>
    </w:p>
    <w:p w14:paraId="16DB88B4" w14:textId="1593F58F" w:rsidR="00C96CE1" w:rsidRDefault="00C96CE1" w:rsidP="00165F6F">
      <w:pPr>
        <w:pStyle w:val="ListParagraph"/>
        <w:jc w:val="both"/>
        <w:rPr>
          <w:rFonts w:ascii="Arial" w:hAnsi="Arial" w:cs="Arial"/>
        </w:rPr>
      </w:pPr>
      <w:r>
        <w:rPr>
          <w:rFonts w:ascii="Arial" w:hAnsi="Arial" w:cs="Arial"/>
        </w:rPr>
        <w:t xml:space="preserve">In this working paper from the International Monetary Fund there are interesting </w:t>
      </w:r>
      <w:r w:rsidR="00A864D9">
        <w:rPr>
          <w:rFonts w:ascii="Arial" w:hAnsi="Arial" w:cs="Arial"/>
        </w:rPr>
        <w:t>inputs</w:t>
      </w:r>
      <w:r>
        <w:rPr>
          <w:rFonts w:ascii="Arial" w:hAnsi="Arial" w:cs="Arial"/>
        </w:rPr>
        <w:t xml:space="preserve">. Above all, in Chapter V the authors </w:t>
      </w:r>
      <w:r w:rsidR="00A864D9">
        <w:rPr>
          <w:rFonts w:ascii="Arial" w:hAnsi="Arial" w:cs="Arial"/>
        </w:rPr>
        <w:t>discuss about the implications of the energy price surge for climate policy in Europe.</w:t>
      </w:r>
    </w:p>
    <w:p w14:paraId="5D38340A" w14:textId="0D13CE9E" w:rsidR="00C96CE1" w:rsidRDefault="00A864D9" w:rsidP="00165F6F">
      <w:pPr>
        <w:pStyle w:val="ListParagraph"/>
        <w:jc w:val="both"/>
        <w:rPr>
          <w:rFonts w:ascii="Arial" w:hAnsi="Arial" w:cs="Arial"/>
        </w:rPr>
      </w:pPr>
      <w:r w:rsidRPr="00A864D9">
        <w:rPr>
          <w:rFonts w:ascii="Arial" w:hAnsi="Arial" w:cs="Arial"/>
        </w:rPr>
        <w:t>It is crucial to determine whether the planned green transition and concerns about energy security can coexist. These concerns are high on the political agenda in Europe. In the EU Green Deal plan, the EU promised to cut greenhouse gas (GHG) emissions by 55 percent below 1990 levels by 2030. In particular, emissions from industry and power sources covered by the EU ETS would be cut by 61 percent by 2030. (relative to 2005 levels)</w:t>
      </w:r>
    </w:p>
    <w:p w14:paraId="4B2FAEE6" w14:textId="7F182B0B" w:rsidR="00C96CE1" w:rsidRDefault="00C96CE1" w:rsidP="00165F6F">
      <w:pPr>
        <w:pStyle w:val="ListParagraph"/>
        <w:jc w:val="both"/>
        <w:rPr>
          <w:rFonts w:ascii="Arial" w:hAnsi="Arial" w:cs="Arial"/>
        </w:rPr>
      </w:pPr>
      <w:r w:rsidRPr="00C96CE1">
        <w:rPr>
          <w:rFonts w:ascii="Arial" w:hAnsi="Arial" w:cs="Arial"/>
        </w:rPr>
        <w:t>For climate mitigation policy, the energy price surge presents both opportunities and risks. The rise in fossil fuel prices would promote incentives to conserve energy and to increase the use of renewables, with a positive effect on emissions reductions</w:t>
      </w:r>
      <w:r>
        <w:rPr>
          <w:rFonts w:ascii="Arial" w:hAnsi="Arial" w:cs="Arial"/>
        </w:rPr>
        <w:t xml:space="preserve">. </w:t>
      </w:r>
      <w:r w:rsidRPr="00C96CE1">
        <w:rPr>
          <w:rFonts w:ascii="Arial" w:hAnsi="Arial" w:cs="Arial"/>
        </w:rPr>
        <w:t xml:space="preserve">Policy responses to the surge in energy costs should aim to preserve the price signal while providing targeted support. For </w:t>
      </w:r>
      <w:r>
        <w:rPr>
          <w:rFonts w:ascii="Arial" w:hAnsi="Arial" w:cs="Arial"/>
        </w:rPr>
        <w:t xml:space="preserve">low-income </w:t>
      </w:r>
      <w:r w:rsidRPr="00C96CE1">
        <w:rPr>
          <w:rFonts w:ascii="Arial" w:hAnsi="Arial" w:cs="Arial"/>
        </w:rPr>
        <w:t xml:space="preserve">households, lump-sum cash transfers, vouchers, or fixed discounts on utility bills are appropriate means of providing income support without distorting </w:t>
      </w:r>
      <w:r w:rsidRPr="00C96CE1">
        <w:rPr>
          <w:rFonts w:ascii="Arial" w:hAnsi="Arial" w:cs="Arial"/>
        </w:rPr>
        <w:lastRenderedPageBreak/>
        <w:t>marginal energy prices, thus conserving the incentive to reduce energy consumption</w:t>
      </w:r>
      <w:r>
        <w:rPr>
          <w:rFonts w:ascii="Arial" w:hAnsi="Arial" w:cs="Arial"/>
        </w:rPr>
        <w:t xml:space="preserve">. </w:t>
      </w:r>
    </w:p>
    <w:p w14:paraId="36D0B55C" w14:textId="09C21535" w:rsidR="00C96CE1" w:rsidRDefault="00C96CE1" w:rsidP="00165F6F">
      <w:pPr>
        <w:pStyle w:val="ListParagraph"/>
        <w:jc w:val="both"/>
        <w:rPr>
          <w:rFonts w:ascii="Arial" w:hAnsi="Arial" w:cs="Arial"/>
        </w:rPr>
      </w:pPr>
      <w:r>
        <w:rPr>
          <w:rFonts w:ascii="Arial" w:hAnsi="Arial" w:cs="Arial"/>
        </w:rPr>
        <w:t xml:space="preserve">As </w:t>
      </w:r>
      <w:r w:rsidR="00A864D9">
        <w:rPr>
          <w:rFonts w:ascii="Arial" w:hAnsi="Arial" w:cs="Arial"/>
        </w:rPr>
        <w:t>studied</w:t>
      </w:r>
      <w:r>
        <w:rPr>
          <w:rFonts w:ascii="Arial" w:hAnsi="Arial" w:cs="Arial"/>
        </w:rPr>
        <w:t xml:space="preserve"> by </w:t>
      </w:r>
      <w:proofErr w:type="spellStart"/>
      <w:r>
        <w:rPr>
          <w:rFonts w:ascii="Arial" w:hAnsi="Arial" w:cs="Arial"/>
        </w:rPr>
        <w:t>Känzig</w:t>
      </w:r>
      <w:proofErr w:type="spellEnd"/>
      <w:r>
        <w:rPr>
          <w:rFonts w:ascii="Arial" w:hAnsi="Arial" w:cs="Arial"/>
        </w:rPr>
        <w:t xml:space="preserve"> (2021), who</w:t>
      </w:r>
      <w:r w:rsidRPr="00C96CE1">
        <w:rPr>
          <w:rFonts w:ascii="Arial" w:hAnsi="Arial" w:cs="Arial"/>
        </w:rPr>
        <w:t xml:space="preserve"> suggest that compensating low-income households that are more exposed to carbon pricing may help to increase the public support of climate change mitigation policies – consistent with recent evidence by Anderson, Marinescu, and Shor (2019).</w:t>
      </w:r>
    </w:p>
    <w:p w14:paraId="75B43ED5" w14:textId="1EDB7481" w:rsidR="00631951" w:rsidRDefault="00631951" w:rsidP="00165F6F">
      <w:pPr>
        <w:pStyle w:val="ListParagraph"/>
        <w:jc w:val="both"/>
        <w:rPr>
          <w:rFonts w:ascii="Arial" w:hAnsi="Arial" w:cs="Arial"/>
        </w:rPr>
      </w:pPr>
    </w:p>
    <w:p w14:paraId="116A59DD" w14:textId="77777777" w:rsidR="00E84775" w:rsidRPr="00E84775" w:rsidRDefault="00E84775" w:rsidP="00165F6F">
      <w:pPr>
        <w:pStyle w:val="ListParagraph"/>
        <w:numPr>
          <w:ilvl w:val="0"/>
          <w:numId w:val="3"/>
        </w:numPr>
        <w:jc w:val="both"/>
        <w:rPr>
          <w:rFonts w:ascii="Arial" w:hAnsi="Arial" w:cs="Arial"/>
          <w:b/>
          <w:bCs/>
        </w:rPr>
      </w:pPr>
      <w:r w:rsidRPr="00E84775">
        <w:rPr>
          <w:rFonts w:ascii="Arial" w:hAnsi="Arial" w:cs="Arial"/>
          <w:b/>
          <w:bCs/>
        </w:rPr>
        <w:t>Climate policies and monetary policies in the euro area, Warwick McKibbin, Maximilian Konradt, Beatrice Weder di Mauro</w:t>
      </w:r>
    </w:p>
    <w:p w14:paraId="01E0080D" w14:textId="77777777" w:rsidR="00820179" w:rsidRDefault="00820179" w:rsidP="00165F6F">
      <w:pPr>
        <w:pStyle w:val="ListParagraph"/>
        <w:jc w:val="both"/>
        <w:rPr>
          <w:rFonts w:ascii="Arial" w:hAnsi="Arial" w:cs="Arial"/>
        </w:rPr>
      </w:pPr>
    </w:p>
    <w:p w14:paraId="38063B84" w14:textId="6638EACB" w:rsidR="00E84775" w:rsidRDefault="00820179" w:rsidP="00165F6F">
      <w:pPr>
        <w:pStyle w:val="ListParagraph"/>
        <w:jc w:val="both"/>
        <w:rPr>
          <w:rFonts w:ascii="Arial" w:hAnsi="Arial" w:cs="Arial"/>
        </w:rPr>
      </w:pPr>
      <w:r w:rsidRPr="00820179">
        <w:rPr>
          <w:rFonts w:ascii="Arial" w:hAnsi="Arial" w:cs="Arial"/>
        </w:rPr>
        <w:t>The paper examines the interactions between climate policies and monetary policies in the euro area using a global macroeconomic model. It investigates the impact of carbon pricing policies on macroeconomic variables, including inflation, output, and interest rates, and analyzes the trade-offs and synergies between climate and monetary policies. The authors conclude that the introduction of carbon pricing in the euro area can have significant macroeconomic effects and suggest that policymakers should carefully consider the design of such policies to maximize their benefits and minimize potential negative impacts.</w:t>
      </w:r>
      <w:r>
        <w:rPr>
          <w:rFonts w:ascii="Arial" w:hAnsi="Arial" w:cs="Arial"/>
        </w:rPr>
        <w:t xml:space="preserve"> </w:t>
      </w:r>
      <w:r w:rsidR="0051534C">
        <w:rPr>
          <w:rFonts w:ascii="Arial" w:hAnsi="Arial" w:cs="Arial"/>
        </w:rPr>
        <w:t>Here below t</w:t>
      </w:r>
      <w:r>
        <w:rPr>
          <w:rFonts w:ascii="Arial" w:hAnsi="Arial" w:cs="Arial"/>
        </w:rPr>
        <w:t>he main findings in a nutshell</w:t>
      </w:r>
      <w:r w:rsidR="0051534C">
        <w:rPr>
          <w:rFonts w:ascii="Arial" w:hAnsi="Arial" w:cs="Arial"/>
        </w:rPr>
        <w:t>:</w:t>
      </w:r>
    </w:p>
    <w:p w14:paraId="30946C3A" w14:textId="77777777" w:rsidR="0051534C" w:rsidRDefault="0051534C" w:rsidP="00165F6F">
      <w:pPr>
        <w:pStyle w:val="ListParagraph"/>
        <w:jc w:val="both"/>
        <w:rPr>
          <w:rFonts w:ascii="Arial" w:hAnsi="Arial" w:cs="Arial"/>
        </w:rPr>
      </w:pPr>
    </w:p>
    <w:p w14:paraId="009C6C80" w14:textId="38387479" w:rsidR="0051534C" w:rsidRPr="0051534C" w:rsidRDefault="0051534C" w:rsidP="0051534C">
      <w:pPr>
        <w:pStyle w:val="ListParagraph"/>
        <w:numPr>
          <w:ilvl w:val="0"/>
          <w:numId w:val="9"/>
        </w:numPr>
        <w:jc w:val="both"/>
        <w:rPr>
          <w:rFonts w:ascii="Arial" w:eastAsiaTheme="minorHAnsi" w:hAnsi="Arial" w:cs="Arial"/>
          <w:lang w:eastAsia="en-US"/>
        </w:rPr>
      </w:pPr>
      <w:r w:rsidRPr="0051534C">
        <w:rPr>
          <w:rFonts w:ascii="Arial" w:eastAsiaTheme="minorHAnsi" w:hAnsi="Arial" w:cs="Arial"/>
          <w:lang w:eastAsia="en-US"/>
        </w:rPr>
        <w:t>Carbon pricing policies have a significant impact on macroeconomic variables, including inflation, output, and interest rates. The authors find that carbon pricing policies can lead to higher inflation in the short run, but this effect diminishes over time. They also find that carbon pricing policies can have a negative impact on output, but this effect is mitigated by the use of revenue-neutral recycling mechanisms, such as rebates or tax cuts.</w:t>
      </w:r>
    </w:p>
    <w:p w14:paraId="0BFB1DC1" w14:textId="77777777" w:rsidR="0051534C" w:rsidRPr="0051534C" w:rsidRDefault="0051534C" w:rsidP="0051534C">
      <w:pPr>
        <w:pStyle w:val="ListParagraph"/>
        <w:numPr>
          <w:ilvl w:val="0"/>
          <w:numId w:val="9"/>
        </w:numPr>
        <w:jc w:val="both"/>
        <w:rPr>
          <w:rFonts w:ascii="Arial" w:eastAsiaTheme="minorHAnsi" w:hAnsi="Arial" w:cs="Arial"/>
          <w:lang w:eastAsia="en-US"/>
        </w:rPr>
      </w:pPr>
      <w:r w:rsidRPr="0051534C">
        <w:rPr>
          <w:rFonts w:ascii="Arial" w:eastAsiaTheme="minorHAnsi" w:hAnsi="Arial" w:cs="Arial"/>
          <w:lang w:eastAsia="en-US"/>
        </w:rPr>
        <w:t>There are trade-offs and synergies between climate and monetary policies. The authors find that the introduction of carbon pricing policies can lead to higher interest rates in the short run, as central banks respond to the higher inflationary pressures. However, over the long run, carbon pricing policies can lead to lower interest rates, as they reduce the demand for fossil fuels and promote investment in clean energy.</w:t>
      </w:r>
    </w:p>
    <w:p w14:paraId="3BB131E2" w14:textId="77777777" w:rsidR="0051534C" w:rsidRPr="0051534C" w:rsidRDefault="0051534C" w:rsidP="0051534C">
      <w:pPr>
        <w:pStyle w:val="ListParagraph"/>
        <w:numPr>
          <w:ilvl w:val="0"/>
          <w:numId w:val="9"/>
        </w:numPr>
        <w:jc w:val="both"/>
        <w:rPr>
          <w:rFonts w:ascii="Arial" w:eastAsiaTheme="minorHAnsi" w:hAnsi="Arial" w:cs="Arial"/>
          <w:lang w:eastAsia="en-US"/>
        </w:rPr>
      </w:pPr>
      <w:r w:rsidRPr="0051534C">
        <w:rPr>
          <w:rFonts w:ascii="Arial" w:eastAsiaTheme="minorHAnsi" w:hAnsi="Arial" w:cs="Arial"/>
          <w:lang w:eastAsia="en-US"/>
        </w:rPr>
        <w:t>The design of carbon pricing policies is crucial for their effectiveness and their impact on the economy. The authors find that revenue-neutral recycling mechanisms, such as rebates or tax cuts, can mitigate the negative impact of carbon pricing policies on output and ensure that the policies are politically feasible. They also find that a gradual and predictable increase in carbon prices is important for promoting investment in clean energy and reducing uncertainty for businesses.</w:t>
      </w:r>
    </w:p>
    <w:p w14:paraId="66118E5E" w14:textId="77777777" w:rsidR="0051534C" w:rsidRPr="00820179" w:rsidRDefault="0051534C" w:rsidP="00165F6F">
      <w:pPr>
        <w:pStyle w:val="ListParagraph"/>
        <w:jc w:val="both"/>
        <w:rPr>
          <w:rFonts w:ascii="Arial" w:hAnsi="Arial" w:cs="Arial"/>
        </w:rPr>
      </w:pPr>
    </w:p>
    <w:p w14:paraId="64114DE8" w14:textId="69F486B1" w:rsidR="00631951" w:rsidRDefault="00631951" w:rsidP="00165F6F">
      <w:pPr>
        <w:pStyle w:val="ListParagraph"/>
        <w:jc w:val="both"/>
        <w:rPr>
          <w:rFonts w:ascii="Arial" w:hAnsi="Arial" w:cs="Arial"/>
        </w:rPr>
      </w:pPr>
    </w:p>
    <w:p w14:paraId="64E01D93" w14:textId="04DB721D" w:rsidR="00E84775" w:rsidRDefault="00E84775" w:rsidP="00165F6F">
      <w:pPr>
        <w:pStyle w:val="ListParagraph"/>
        <w:jc w:val="both"/>
        <w:rPr>
          <w:rFonts w:ascii="Arial" w:hAnsi="Arial" w:cs="Arial"/>
        </w:rPr>
      </w:pPr>
    </w:p>
    <w:p w14:paraId="71B5709D" w14:textId="58AE2C12" w:rsidR="00E84775" w:rsidRDefault="00E84775" w:rsidP="00165F6F">
      <w:pPr>
        <w:pStyle w:val="ListParagraph"/>
        <w:jc w:val="both"/>
        <w:rPr>
          <w:rFonts w:ascii="Arial" w:hAnsi="Arial" w:cs="Arial"/>
        </w:rPr>
      </w:pPr>
    </w:p>
    <w:p w14:paraId="2CDDA441" w14:textId="4DF312CD" w:rsidR="00E84775" w:rsidRDefault="00E84775" w:rsidP="00165F6F">
      <w:pPr>
        <w:pStyle w:val="ListParagraph"/>
        <w:jc w:val="both"/>
        <w:rPr>
          <w:rFonts w:ascii="Arial" w:hAnsi="Arial" w:cs="Arial"/>
        </w:rPr>
      </w:pPr>
    </w:p>
    <w:p w14:paraId="01251D5D" w14:textId="07E438ED" w:rsidR="00E84775" w:rsidRDefault="00E84775" w:rsidP="00165F6F">
      <w:pPr>
        <w:pStyle w:val="ListParagraph"/>
        <w:jc w:val="both"/>
        <w:rPr>
          <w:rFonts w:ascii="Arial" w:hAnsi="Arial" w:cs="Arial"/>
        </w:rPr>
      </w:pPr>
    </w:p>
    <w:p w14:paraId="5968A228" w14:textId="1E21B781" w:rsidR="00E84775" w:rsidRDefault="00E84775" w:rsidP="00165F6F">
      <w:pPr>
        <w:pStyle w:val="ListParagraph"/>
        <w:jc w:val="both"/>
        <w:rPr>
          <w:rFonts w:ascii="Arial" w:hAnsi="Arial" w:cs="Arial"/>
        </w:rPr>
      </w:pPr>
    </w:p>
    <w:p w14:paraId="0E899F4A" w14:textId="50B0A20A" w:rsidR="00E84775" w:rsidRDefault="00E84775" w:rsidP="00165F6F">
      <w:pPr>
        <w:pStyle w:val="ListParagraph"/>
        <w:jc w:val="both"/>
        <w:rPr>
          <w:rFonts w:ascii="Arial" w:hAnsi="Arial" w:cs="Arial"/>
        </w:rPr>
      </w:pPr>
    </w:p>
    <w:p w14:paraId="23453067" w14:textId="305E9FEF" w:rsidR="00E84775" w:rsidRDefault="00E84775" w:rsidP="00165F6F">
      <w:pPr>
        <w:pStyle w:val="ListParagraph"/>
        <w:jc w:val="both"/>
        <w:rPr>
          <w:rFonts w:ascii="Arial" w:hAnsi="Arial" w:cs="Arial"/>
        </w:rPr>
      </w:pPr>
    </w:p>
    <w:p w14:paraId="392A565C" w14:textId="283FECA7" w:rsidR="00E84775" w:rsidRDefault="00E84775" w:rsidP="00165F6F">
      <w:pPr>
        <w:pStyle w:val="ListParagraph"/>
        <w:jc w:val="both"/>
        <w:rPr>
          <w:rFonts w:ascii="Arial" w:hAnsi="Arial" w:cs="Arial"/>
        </w:rPr>
      </w:pPr>
    </w:p>
    <w:p w14:paraId="3766855B" w14:textId="77777777" w:rsidR="00E84775" w:rsidRDefault="00E84775" w:rsidP="00165F6F">
      <w:pPr>
        <w:pStyle w:val="ListParagraph"/>
        <w:jc w:val="both"/>
        <w:rPr>
          <w:rFonts w:ascii="Arial" w:hAnsi="Arial" w:cs="Arial"/>
        </w:rPr>
      </w:pPr>
    </w:p>
    <w:p w14:paraId="589A7275" w14:textId="0DDA21CA" w:rsidR="00631951" w:rsidRDefault="00631951" w:rsidP="00165F6F">
      <w:pPr>
        <w:pStyle w:val="ListParagraph"/>
        <w:jc w:val="both"/>
        <w:rPr>
          <w:rFonts w:ascii="Arial" w:hAnsi="Arial" w:cs="Arial"/>
        </w:rPr>
      </w:pPr>
    </w:p>
    <w:p w14:paraId="044EF7F6" w14:textId="648B46F8" w:rsidR="00BD18B5" w:rsidRDefault="00BD18B5" w:rsidP="00165F6F">
      <w:pPr>
        <w:pStyle w:val="ListParagraph"/>
        <w:jc w:val="both"/>
        <w:rPr>
          <w:rFonts w:ascii="Arial" w:hAnsi="Arial" w:cs="Arial"/>
        </w:rPr>
      </w:pPr>
    </w:p>
    <w:p w14:paraId="4E2E978C" w14:textId="6C78AE92" w:rsidR="00BD18B5" w:rsidRDefault="00BD18B5" w:rsidP="00165F6F">
      <w:pPr>
        <w:pStyle w:val="ListParagraph"/>
        <w:jc w:val="both"/>
        <w:rPr>
          <w:rFonts w:ascii="Arial" w:hAnsi="Arial" w:cs="Arial"/>
        </w:rPr>
      </w:pPr>
    </w:p>
    <w:p w14:paraId="3D91E6F8" w14:textId="7A411C76" w:rsidR="00BD18B5" w:rsidRPr="0033618D" w:rsidRDefault="0033618D" w:rsidP="00165F6F">
      <w:pPr>
        <w:pStyle w:val="ListParagraph"/>
        <w:jc w:val="both"/>
        <w:rPr>
          <w:rFonts w:ascii="Arial" w:hAnsi="Arial" w:cs="Arial"/>
          <w:b/>
          <w:bCs/>
        </w:rPr>
      </w:pPr>
      <w:r w:rsidRPr="0033618D">
        <w:rPr>
          <w:rFonts w:ascii="Arial" w:hAnsi="Arial" w:cs="Arial"/>
          <w:b/>
          <w:bCs/>
        </w:rPr>
        <w:t>Introduction</w:t>
      </w:r>
    </w:p>
    <w:p w14:paraId="3F7A7694" w14:textId="77777777" w:rsidR="0033618D" w:rsidRDefault="0033618D" w:rsidP="00165F6F">
      <w:pPr>
        <w:pStyle w:val="ListParagraph"/>
        <w:jc w:val="both"/>
        <w:rPr>
          <w:rFonts w:ascii="Arial" w:hAnsi="Arial" w:cs="Arial"/>
        </w:rPr>
      </w:pPr>
    </w:p>
    <w:p w14:paraId="7DC28894" w14:textId="5FA9F860" w:rsidR="00971EFC" w:rsidRDefault="00BD18B5" w:rsidP="00165F6F">
      <w:pPr>
        <w:pStyle w:val="ListParagraph"/>
        <w:jc w:val="both"/>
        <w:rPr>
          <w:rFonts w:ascii="Arial" w:hAnsi="Arial" w:cs="Arial"/>
        </w:rPr>
      </w:pPr>
      <w:r w:rsidRPr="00BD18B5">
        <w:rPr>
          <w:rFonts w:ascii="Arial" w:hAnsi="Arial" w:cs="Arial"/>
        </w:rPr>
        <w:t xml:space="preserve">The climate crisis has been one of the most pressing issues facing humanity in recent years, </w:t>
      </w:r>
      <w:r w:rsidR="009A12E0">
        <w:rPr>
          <w:rFonts w:ascii="Arial" w:hAnsi="Arial" w:cs="Arial"/>
        </w:rPr>
        <w:t xml:space="preserve">not only for the physical risk arising from chronic and acute </w:t>
      </w:r>
      <w:r w:rsidR="00123E26">
        <w:rPr>
          <w:rFonts w:ascii="Arial" w:hAnsi="Arial" w:cs="Arial"/>
        </w:rPr>
        <w:t>climate events, but also because</w:t>
      </w:r>
      <w:r w:rsidRPr="00BD18B5">
        <w:rPr>
          <w:rFonts w:ascii="Arial" w:hAnsi="Arial" w:cs="Arial"/>
        </w:rPr>
        <w:t xml:space="preserve"> it has significant implications for the global economy.</w:t>
      </w:r>
      <w:r w:rsidR="00F91CBC">
        <w:rPr>
          <w:rFonts w:ascii="Arial" w:hAnsi="Arial" w:cs="Arial"/>
        </w:rPr>
        <w:t xml:space="preserve"> </w:t>
      </w:r>
      <w:r w:rsidR="00F91CBC" w:rsidRPr="00F91CBC">
        <w:rPr>
          <w:rFonts w:ascii="Arial" w:hAnsi="Arial" w:cs="Arial"/>
        </w:rPr>
        <w:t>To avoid warming of the global average temperature exceeding 1.5 C, evidence gathered by the Intergovernmental Panel on Climate Change suggests that decreasing net carbon emissions to zero by mid-century is likely to be necessary (IPCC, 2018)</w:t>
      </w:r>
      <w:r w:rsidR="00F91CBC">
        <w:rPr>
          <w:rFonts w:ascii="Arial" w:hAnsi="Arial" w:cs="Arial"/>
        </w:rPr>
        <w:t>. Moreover,</w:t>
      </w:r>
      <w:r w:rsidR="00125FA1">
        <w:rPr>
          <w:rFonts w:ascii="Arial" w:hAnsi="Arial" w:cs="Arial"/>
        </w:rPr>
        <w:t xml:space="preserve"> </w:t>
      </w:r>
      <w:r w:rsidR="00F91CBC">
        <w:rPr>
          <w:rFonts w:ascii="Arial" w:hAnsi="Arial" w:cs="Arial"/>
        </w:rPr>
        <w:t>i</w:t>
      </w:r>
      <w:r w:rsidR="00125FA1">
        <w:rPr>
          <w:rFonts w:ascii="Arial" w:hAnsi="Arial" w:cs="Arial"/>
        </w:rPr>
        <w:t xml:space="preserve">n the long-run, financial institutions and society at large may face significant financial </w:t>
      </w:r>
      <w:r w:rsidR="00F91CBC">
        <w:rPr>
          <w:rFonts w:ascii="Arial" w:hAnsi="Arial" w:cs="Arial"/>
        </w:rPr>
        <w:t>losses</w:t>
      </w:r>
      <w:r w:rsidR="00125FA1">
        <w:rPr>
          <w:rFonts w:ascii="Arial" w:hAnsi="Arial" w:cs="Arial"/>
        </w:rPr>
        <w:t xml:space="preserve"> due to the effects of climate change, FINMA (2020). </w:t>
      </w:r>
      <w:r w:rsidRPr="00BD18B5">
        <w:rPr>
          <w:rFonts w:ascii="Arial" w:hAnsi="Arial" w:cs="Arial"/>
        </w:rPr>
        <w:t xml:space="preserve"> As such, the implementation of climate policies has become a priority for many countries worldwide</w:t>
      </w:r>
      <w:r w:rsidR="00D1409C">
        <w:rPr>
          <w:rFonts w:ascii="Arial" w:hAnsi="Arial" w:cs="Arial"/>
        </w:rPr>
        <w:t>, the EU’s fit for 55, The Inflation Reduction Act, China 13</w:t>
      </w:r>
      <w:r w:rsidR="00D1409C" w:rsidRPr="00D1409C">
        <w:rPr>
          <w:rFonts w:ascii="Arial" w:hAnsi="Arial" w:cs="Arial"/>
          <w:vertAlign w:val="superscript"/>
        </w:rPr>
        <w:t>th</w:t>
      </w:r>
      <w:r w:rsidR="00D1409C">
        <w:rPr>
          <w:rFonts w:ascii="Arial" w:hAnsi="Arial" w:cs="Arial"/>
        </w:rPr>
        <w:t xml:space="preserve"> Five-Year Plan, are examples </w:t>
      </w:r>
      <w:r w:rsidR="00F91CBC">
        <w:rPr>
          <w:rFonts w:ascii="Arial" w:hAnsi="Arial" w:cs="Arial"/>
        </w:rPr>
        <w:t xml:space="preserve">of such policies, </w:t>
      </w:r>
      <w:r w:rsidR="00D1409C">
        <w:rPr>
          <w:rFonts w:ascii="Arial" w:hAnsi="Arial" w:cs="Arial"/>
        </w:rPr>
        <w:t>from Europe, United States and China, respectively</w:t>
      </w:r>
      <w:r w:rsidR="00125FA1" w:rsidRPr="00125FA1">
        <w:rPr>
          <w:rFonts w:ascii="Arial" w:hAnsi="Arial" w:cs="Arial"/>
        </w:rPr>
        <w:t>.</w:t>
      </w:r>
      <w:r w:rsidR="00D1409C">
        <w:rPr>
          <w:rFonts w:ascii="Arial" w:hAnsi="Arial" w:cs="Arial"/>
        </w:rPr>
        <w:t xml:space="preserve"> Albeit</w:t>
      </w:r>
      <w:r w:rsidR="00E53BBF">
        <w:rPr>
          <w:rFonts w:ascii="Arial" w:hAnsi="Arial" w:cs="Arial"/>
        </w:rPr>
        <w:t xml:space="preserve"> the growing implementation of such low-carbon </w:t>
      </w:r>
      <w:r w:rsidR="006E7ED3">
        <w:rPr>
          <w:rFonts w:ascii="Arial" w:hAnsi="Arial" w:cs="Arial"/>
        </w:rPr>
        <w:t xml:space="preserve">emission </w:t>
      </w:r>
      <w:r w:rsidR="00E53BBF">
        <w:rPr>
          <w:rFonts w:ascii="Arial" w:hAnsi="Arial" w:cs="Arial"/>
        </w:rPr>
        <w:t>policies, constructed through carbon pricing schemes i.e. carbon tax and cap-and-trad</w:t>
      </w:r>
      <w:r w:rsidR="00FE481F">
        <w:rPr>
          <w:rFonts w:ascii="Arial" w:hAnsi="Arial" w:cs="Arial"/>
        </w:rPr>
        <w:t>e</w:t>
      </w:r>
      <w:r w:rsidR="00971EFC">
        <w:rPr>
          <w:rFonts w:ascii="Arial" w:hAnsi="Arial" w:cs="Arial"/>
        </w:rPr>
        <w:t xml:space="preserve"> systems</w:t>
      </w:r>
      <w:r w:rsidR="00E53BBF">
        <w:rPr>
          <w:rFonts w:ascii="Arial" w:hAnsi="Arial" w:cs="Arial"/>
        </w:rPr>
        <w:t>, the literature on their economic implications</w:t>
      </w:r>
      <w:r w:rsidR="009A12E0">
        <w:rPr>
          <w:rFonts w:ascii="Arial" w:hAnsi="Arial" w:cs="Arial"/>
        </w:rPr>
        <w:t xml:space="preserve"> is </w:t>
      </w:r>
      <w:r w:rsidR="00123E26">
        <w:rPr>
          <w:rFonts w:ascii="Arial" w:hAnsi="Arial" w:cs="Arial"/>
        </w:rPr>
        <w:t>not yet</w:t>
      </w:r>
      <w:r w:rsidR="009A12E0">
        <w:rPr>
          <w:rFonts w:ascii="Arial" w:hAnsi="Arial" w:cs="Arial"/>
        </w:rPr>
        <w:t xml:space="preserve"> abundant</w:t>
      </w:r>
      <w:r w:rsidR="00123E26">
        <w:rPr>
          <w:rFonts w:ascii="Arial" w:hAnsi="Arial" w:cs="Arial"/>
        </w:rPr>
        <w:t xml:space="preserve"> as it ought to be</w:t>
      </w:r>
      <w:r w:rsidR="006E7ED3">
        <w:rPr>
          <w:rFonts w:ascii="Arial" w:hAnsi="Arial" w:cs="Arial"/>
        </w:rPr>
        <w:t>.</w:t>
      </w:r>
    </w:p>
    <w:p w14:paraId="046A35CE" w14:textId="2A5244B6" w:rsidR="00971EFC" w:rsidRDefault="00971EFC" w:rsidP="00165F6F">
      <w:pPr>
        <w:pStyle w:val="ListParagraph"/>
        <w:jc w:val="both"/>
        <w:rPr>
          <w:rFonts w:ascii="Arial" w:hAnsi="Arial" w:cs="Arial"/>
        </w:rPr>
      </w:pPr>
      <w:r w:rsidRPr="00971EFC">
        <w:rPr>
          <w:rFonts w:ascii="Arial" w:hAnsi="Arial" w:cs="Arial"/>
        </w:rPr>
        <w:t>Cap-and-trade schemes begin by setting a limit on pollution, followed by the issuance of a volume of emission allowances that align with the cap, enabling companies to determine a market-clearing price by buying and selling allowances. Conversely, a carbon tax involves policymakers setting a price directly on CO2 emissions, allowing the market to determine the amount of pollution that is consistent with that price. Consequently, carbon taxes are anticipated to result in more consistent carbon prices, whereas cap-and-trade systems often exhibit significant price fluctuations (Goulder and Schein, 2013; Metcalf, 2021).</w:t>
      </w:r>
      <w:r w:rsidR="00535F76">
        <w:rPr>
          <w:rFonts w:ascii="Arial" w:hAnsi="Arial" w:cs="Arial"/>
        </w:rPr>
        <w:t xml:space="preserve"> On carbon taxes, f</w:t>
      </w:r>
      <w:r w:rsidR="00535F76" w:rsidRPr="00535F76">
        <w:rPr>
          <w:rFonts w:ascii="Arial" w:hAnsi="Arial" w:cs="Arial"/>
        </w:rPr>
        <w:t xml:space="preserve">or a considerable amount of time, economists have contended that implementing </w:t>
      </w:r>
      <w:proofErr w:type="spellStart"/>
      <w:r w:rsidR="00535F76" w:rsidRPr="00535F76">
        <w:rPr>
          <w:rFonts w:ascii="Arial" w:hAnsi="Arial" w:cs="Arial"/>
        </w:rPr>
        <w:t>Piguouvian</w:t>
      </w:r>
      <w:proofErr w:type="spellEnd"/>
      <w:r w:rsidR="00535F76" w:rsidRPr="00535F76">
        <w:rPr>
          <w:rFonts w:ascii="Arial" w:hAnsi="Arial" w:cs="Arial"/>
        </w:rPr>
        <w:t>-style carbon taxes is the most effective approach to combat climate change. Earlier research has revealed that carbon taxes are successful in reducing emissions, with examples including Murray and Rivers</w:t>
      </w:r>
      <w:r w:rsidR="00535F76">
        <w:rPr>
          <w:rFonts w:ascii="Arial" w:hAnsi="Arial" w:cs="Arial"/>
        </w:rPr>
        <w:t xml:space="preserve"> (</w:t>
      </w:r>
      <w:r w:rsidR="00535F76" w:rsidRPr="00535F76">
        <w:rPr>
          <w:rFonts w:ascii="Arial" w:hAnsi="Arial" w:cs="Arial"/>
        </w:rPr>
        <w:t>2015</w:t>
      </w:r>
      <w:r w:rsidR="00535F76">
        <w:rPr>
          <w:rFonts w:ascii="Arial" w:hAnsi="Arial" w:cs="Arial"/>
        </w:rPr>
        <w:t>)</w:t>
      </w:r>
      <w:r w:rsidR="00535F76" w:rsidRPr="00535F76">
        <w:rPr>
          <w:rFonts w:ascii="Arial" w:hAnsi="Arial" w:cs="Arial"/>
        </w:rPr>
        <w:t xml:space="preserve"> study on Canada, as well as Andersson </w:t>
      </w:r>
      <w:r w:rsidR="00535F76">
        <w:rPr>
          <w:rFonts w:ascii="Arial" w:hAnsi="Arial" w:cs="Arial"/>
        </w:rPr>
        <w:t>(</w:t>
      </w:r>
      <w:r w:rsidR="00535F76" w:rsidRPr="00535F76">
        <w:rPr>
          <w:rFonts w:ascii="Arial" w:hAnsi="Arial" w:cs="Arial"/>
        </w:rPr>
        <w:t>2019</w:t>
      </w:r>
      <w:r w:rsidR="00535F76">
        <w:rPr>
          <w:rFonts w:ascii="Arial" w:hAnsi="Arial" w:cs="Arial"/>
        </w:rPr>
        <w:t>)</w:t>
      </w:r>
      <w:r w:rsidR="00535F76" w:rsidRPr="00535F76">
        <w:rPr>
          <w:rFonts w:ascii="Arial" w:hAnsi="Arial" w:cs="Arial"/>
        </w:rPr>
        <w:t>, Martin, De Preux, and Wagner</w:t>
      </w:r>
      <w:r w:rsidR="00535F76">
        <w:rPr>
          <w:rFonts w:ascii="Arial" w:hAnsi="Arial" w:cs="Arial"/>
        </w:rPr>
        <w:t xml:space="preserve"> (</w:t>
      </w:r>
      <w:r w:rsidR="00535F76" w:rsidRPr="00535F76">
        <w:rPr>
          <w:rFonts w:ascii="Arial" w:hAnsi="Arial" w:cs="Arial"/>
        </w:rPr>
        <w:t>2014</w:t>
      </w:r>
      <w:r w:rsidR="00535F76">
        <w:rPr>
          <w:rFonts w:ascii="Arial" w:hAnsi="Arial" w:cs="Arial"/>
        </w:rPr>
        <w:t>)</w:t>
      </w:r>
      <w:r w:rsidR="00535F76" w:rsidRPr="00535F76">
        <w:rPr>
          <w:rFonts w:ascii="Arial" w:hAnsi="Arial" w:cs="Arial"/>
        </w:rPr>
        <w:t>, Lin and Li</w:t>
      </w:r>
      <w:r w:rsidR="00535F76">
        <w:rPr>
          <w:rFonts w:ascii="Arial" w:hAnsi="Arial" w:cs="Arial"/>
        </w:rPr>
        <w:t xml:space="preserve"> (</w:t>
      </w:r>
      <w:r w:rsidR="00535F76" w:rsidRPr="00535F76">
        <w:rPr>
          <w:rFonts w:ascii="Arial" w:hAnsi="Arial" w:cs="Arial"/>
        </w:rPr>
        <w:t>2011</w:t>
      </w:r>
      <w:r w:rsidR="00535F76">
        <w:rPr>
          <w:rFonts w:ascii="Arial" w:hAnsi="Arial" w:cs="Arial"/>
        </w:rPr>
        <w:t>)</w:t>
      </w:r>
      <w:r w:rsidR="00535F76" w:rsidRPr="00535F76">
        <w:rPr>
          <w:rFonts w:ascii="Arial" w:hAnsi="Arial" w:cs="Arial"/>
        </w:rPr>
        <w:t xml:space="preserve">, and Best, Burke, and </w:t>
      </w:r>
      <w:proofErr w:type="spellStart"/>
      <w:r w:rsidR="00535F76" w:rsidRPr="00535F76">
        <w:rPr>
          <w:rFonts w:ascii="Arial" w:hAnsi="Arial" w:cs="Arial"/>
        </w:rPr>
        <w:t>Jotzo</w:t>
      </w:r>
      <w:proofErr w:type="spellEnd"/>
      <w:r w:rsidR="00535F76">
        <w:rPr>
          <w:rFonts w:ascii="Arial" w:hAnsi="Arial" w:cs="Arial"/>
        </w:rPr>
        <w:t xml:space="preserve"> (</w:t>
      </w:r>
      <w:r w:rsidR="00535F76" w:rsidRPr="00535F76">
        <w:rPr>
          <w:rFonts w:ascii="Arial" w:hAnsi="Arial" w:cs="Arial"/>
        </w:rPr>
        <w:t>2020</w:t>
      </w:r>
      <w:r w:rsidR="00535F76">
        <w:rPr>
          <w:rFonts w:ascii="Arial" w:hAnsi="Arial" w:cs="Arial"/>
        </w:rPr>
        <w:t>)</w:t>
      </w:r>
      <w:r w:rsidR="00535F76" w:rsidRPr="00535F76">
        <w:rPr>
          <w:rFonts w:ascii="Arial" w:hAnsi="Arial" w:cs="Arial"/>
        </w:rPr>
        <w:t xml:space="preserve"> research on Europe. The work of </w:t>
      </w:r>
      <w:proofErr w:type="spellStart"/>
      <w:r w:rsidR="00535F76" w:rsidRPr="00535F76">
        <w:rPr>
          <w:rFonts w:ascii="Arial" w:hAnsi="Arial" w:cs="Arial"/>
        </w:rPr>
        <w:t>Rafaty</w:t>
      </w:r>
      <w:proofErr w:type="spellEnd"/>
      <w:r w:rsidR="00535F76" w:rsidRPr="00535F76">
        <w:rPr>
          <w:rFonts w:ascii="Arial" w:hAnsi="Arial" w:cs="Arial"/>
        </w:rPr>
        <w:t xml:space="preserve">, Dolphin, and </w:t>
      </w:r>
      <w:proofErr w:type="spellStart"/>
      <w:r w:rsidR="00535F76" w:rsidRPr="00535F76">
        <w:rPr>
          <w:rFonts w:ascii="Arial" w:hAnsi="Arial" w:cs="Arial"/>
        </w:rPr>
        <w:t>Pretis</w:t>
      </w:r>
      <w:proofErr w:type="spellEnd"/>
      <w:r w:rsidR="00535F76" w:rsidRPr="00535F76">
        <w:rPr>
          <w:rFonts w:ascii="Arial" w:hAnsi="Arial" w:cs="Arial"/>
        </w:rPr>
        <w:t xml:space="preserve"> (2020) </w:t>
      </w:r>
      <w:r w:rsidR="00535F76">
        <w:rPr>
          <w:rFonts w:ascii="Arial" w:hAnsi="Arial" w:cs="Arial"/>
        </w:rPr>
        <w:t>survey</w:t>
      </w:r>
      <w:r w:rsidR="00535F76" w:rsidRPr="00535F76">
        <w:rPr>
          <w:rFonts w:ascii="Arial" w:hAnsi="Arial" w:cs="Arial"/>
        </w:rPr>
        <w:t xml:space="preserve"> this literature.</w:t>
      </w:r>
    </w:p>
    <w:p w14:paraId="2B2FA092" w14:textId="77777777" w:rsidR="00DD7BE0" w:rsidRDefault="00DD7BE0" w:rsidP="00165F6F">
      <w:pPr>
        <w:pStyle w:val="ListParagraph"/>
        <w:jc w:val="both"/>
        <w:rPr>
          <w:rFonts w:ascii="Arial" w:hAnsi="Arial" w:cs="Arial"/>
        </w:rPr>
      </w:pPr>
    </w:p>
    <w:p w14:paraId="3122CB1E" w14:textId="790414C3" w:rsidR="0033618D" w:rsidRDefault="008F1FD9" w:rsidP="00165F6F">
      <w:pPr>
        <w:pStyle w:val="ListParagraph"/>
        <w:jc w:val="both"/>
        <w:rPr>
          <w:rFonts w:ascii="Arial" w:hAnsi="Arial" w:cs="Arial"/>
        </w:rPr>
      </w:pPr>
      <w:r>
        <w:rPr>
          <w:rFonts w:ascii="Arial" w:hAnsi="Arial" w:cs="Arial"/>
        </w:rPr>
        <w:t>I</w:t>
      </w:r>
      <w:r w:rsidRPr="00971EFC">
        <w:rPr>
          <w:rFonts w:ascii="Arial" w:hAnsi="Arial" w:cs="Arial"/>
        </w:rPr>
        <w:t>nflation</w:t>
      </w:r>
      <w:r>
        <w:rPr>
          <w:rFonts w:ascii="Arial" w:hAnsi="Arial" w:cs="Arial"/>
        </w:rPr>
        <w:t xml:space="preserve"> “is here to stay” as Ralph Hamers former CEO of UBS stated at WEF (2022) and confirmed by central banks’ tightening monetary policy</w:t>
      </w:r>
      <w:r w:rsidRPr="00971EFC">
        <w:rPr>
          <w:rFonts w:ascii="Arial" w:hAnsi="Arial" w:cs="Arial"/>
        </w:rPr>
        <w:t xml:space="preserve">, </w:t>
      </w:r>
      <w:r>
        <w:rPr>
          <w:rFonts w:ascii="Arial" w:hAnsi="Arial" w:cs="Arial"/>
        </w:rPr>
        <w:t>therefore</w:t>
      </w:r>
      <w:r w:rsidRPr="00971EFC">
        <w:rPr>
          <w:rFonts w:ascii="Arial" w:hAnsi="Arial" w:cs="Arial"/>
        </w:rPr>
        <w:t xml:space="preserve"> th</w:t>
      </w:r>
      <w:r>
        <w:rPr>
          <w:rFonts w:ascii="Arial" w:hAnsi="Arial" w:cs="Arial"/>
        </w:rPr>
        <w:t xml:space="preserve">is macroeconomic indicator </w:t>
      </w:r>
      <w:r w:rsidRPr="00971EFC">
        <w:rPr>
          <w:rFonts w:ascii="Arial" w:hAnsi="Arial" w:cs="Arial"/>
        </w:rPr>
        <w:t>is gaining momentum</w:t>
      </w:r>
      <w:r>
        <w:rPr>
          <w:rFonts w:ascii="Arial" w:hAnsi="Arial" w:cs="Arial"/>
        </w:rPr>
        <w:t xml:space="preserve"> now and, in the years, to come. Today more than ever substantial </w:t>
      </w:r>
      <w:r w:rsidRPr="00971EFC">
        <w:rPr>
          <w:rFonts w:ascii="Arial" w:hAnsi="Arial" w:cs="Arial"/>
        </w:rPr>
        <w:t xml:space="preserve">evidence is </w:t>
      </w:r>
      <w:r>
        <w:rPr>
          <w:rFonts w:ascii="Arial" w:hAnsi="Arial" w:cs="Arial"/>
        </w:rPr>
        <w:t>requested by market participants and taxpayers about the effects of climate policies i.e. carbon taxes and ETS</w:t>
      </w:r>
      <w:r w:rsidRPr="00971EFC">
        <w:rPr>
          <w:rFonts w:ascii="Arial" w:hAnsi="Arial" w:cs="Arial"/>
        </w:rPr>
        <w:t>.</w:t>
      </w:r>
    </w:p>
    <w:p w14:paraId="4AA6FB4C" w14:textId="77777777" w:rsidR="003A6441" w:rsidRDefault="003A6441" w:rsidP="00165F6F">
      <w:pPr>
        <w:pStyle w:val="ListParagraph"/>
        <w:jc w:val="both"/>
        <w:rPr>
          <w:rFonts w:ascii="Arial" w:hAnsi="Arial" w:cs="Arial"/>
        </w:rPr>
      </w:pPr>
    </w:p>
    <w:p w14:paraId="360B01F3" w14:textId="5F5697D3" w:rsidR="003A6441" w:rsidRDefault="003A6441" w:rsidP="00165F6F">
      <w:pPr>
        <w:pStyle w:val="ListParagraph"/>
        <w:jc w:val="both"/>
        <w:rPr>
          <w:rFonts w:ascii="Arial" w:hAnsi="Arial" w:cs="Arial"/>
        </w:rPr>
      </w:pPr>
      <w:r>
        <w:rPr>
          <w:rFonts w:ascii="Arial" w:hAnsi="Arial" w:cs="Arial"/>
        </w:rPr>
        <w:t xml:space="preserve">In the spirit of Moessner (2022), I contribute to this literature by expanding and tweaking his empirical methodology, whereby instead of New-Keynesian Phillips curve I opt for a panel-VAR technique </w:t>
      </w:r>
      <w:r w:rsidRPr="006F7E95">
        <w:rPr>
          <w:rFonts w:ascii="Arial" w:hAnsi="Arial" w:cs="Arial"/>
        </w:rPr>
        <w:t xml:space="preserve">Canova and Ciccarelli (2013) approach, a workhorse model in empirical macroeconomics (e.g., Sims 1980; Christiano et al. 2005; Beaudry and Portier 2006; </w:t>
      </w:r>
      <w:proofErr w:type="spellStart"/>
      <w:r w:rsidRPr="006F7E95">
        <w:rPr>
          <w:rFonts w:ascii="Arial" w:hAnsi="Arial" w:cs="Arial"/>
        </w:rPr>
        <w:t>Brunnermeier</w:t>
      </w:r>
      <w:proofErr w:type="spellEnd"/>
      <w:r w:rsidRPr="006F7E95">
        <w:rPr>
          <w:rFonts w:ascii="Arial" w:hAnsi="Arial" w:cs="Arial"/>
        </w:rPr>
        <w:t xml:space="preserve"> et al. 2021a)</w:t>
      </w:r>
      <w:r>
        <w:rPr>
          <w:rFonts w:ascii="Arial" w:hAnsi="Arial" w:cs="Arial"/>
        </w:rPr>
        <w:t xml:space="preserve">. </w:t>
      </w:r>
      <w:r w:rsidRPr="00827EA6">
        <w:rPr>
          <w:rFonts w:ascii="Arial" w:hAnsi="Arial" w:cs="Arial"/>
        </w:rPr>
        <w:t xml:space="preserve">Panel-VAR method has been used for similar purposes by Konradt and Weder </w:t>
      </w:r>
      <w:r w:rsidRPr="00827EA6">
        <w:rPr>
          <w:rFonts w:ascii="Arial" w:hAnsi="Arial" w:cs="Arial"/>
        </w:rPr>
        <w:lastRenderedPageBreak/>
        <w:t>di Mauro (2021)</w:t>
      </w:r>
      <w:r>
        <w:rPr>
          <w:rFonts w:ascii="Arial" w:hAnsi="Arial" w:cs="Arial"/>
        </w:rPr>
        <w:t xml:space="preserve">. </w:t>
      </w:r>
      <w:r w:rsidRPr="00827EA6">
        <w:rPr>
          <w:rFonts w:ascii="Arial" w:hAnsi="Arial" w:cs="Arial"/>
        </w:rPr>
        <w:t xml:space="preserve">This type of VAR method, which was pioneered by Sims (1980) and suggested by Auerbach and </w:t>
      </w:r>
      <w:proofErr w:type="spellStart"/>
      <w:r w:rsidRPr="00827EA6">
        <w:rPr>
          <w:rFonts w:ascii="Arial" w:hAnsi="Arial" w:cs="Arial"/>
        </w:rPr>
        <w:t>Gorodnichenko</w:t>
      </w:r>
      <w:proofErr w:type="spellEnd"/>
      <w:r w:rsidRPr="00827EA6">
        <w:rPr>
          <w:rFonts w:ascii="Arial" w:hAnsi="Arial" w:cs="Arial"/>
        </w:rPr>
        <w:t xml:space="preserve"> (2012) is a prominent time</w:t>
      </w:r>
      <w:r>
        <w:rPr>
          <w:rFonts w:ascii="Arial" w:hAnsi="Arial" w:cs="Arial"/>
        </w:rPr>
        <w:t xml:space="preserve"> </w:t>
      </w:r>
      <w:r w:rsidRPr="00827EA6">
        <w:rPr>
          <w:rFonts w:ascii="Arial" w:hAnsi="Arial" w:cs="Arial"/>
        </w:rPr>
        <w:t>series model utilized to comprehend and forecast economic impacts and rami</w:t>
      </w:r>
      <w:r>
        <w:rPr>
          <w:rFonts w:ascii="Arial" w:hAnsi="Arial" w:cs="Arial"/>
        </w:rPr>
        <w:t>fi</w:t>
      </w:r>
      <w:r w:rsidRPr="00827EA6">
        <w:rPr>
          <w:rFonts w:ascii="Arial" w:hAnsi="Arial" w:cs="Arial"/>
        </w:rPr>
        <w:t xml:space="preserve">cations from monetary and  </w:t>
      </w:r>
      <w:r>
        <w:rPr>
          <w:rFonts w:ascii="Arial" w:hAnsi="Arial" w:cs="Arial"/>
        </w:rPr>
        <w:t>fi</w:t>
      </w:r>
      <w:r w:rsidRPr="00827EA6">
        <w:rPr>
          <w:rFonts w:ascii="Arial" w:hAnsi="Arial" w:cs="Arial"/>
        </w:rPr>
        <w:t>scal policy shocks as well as other non</w:t>
      </w:r>
      <w:r>
        <w:rPr>
          <w:rFonts w:ascii="Arial" w:hAnsi="Arial" w:cs="Arial"/>
        </w:rPr>
        <w:t>-</w:t>
      </w:r>
      <w:r w:rsidRPr="00827EA6">
        <w:rPr>
          <w:rFonts w:ascii="Arial" w:hAnsi="Arial" w:cs="Arial"/>
        </w:rPr>
        <w:t>policy shocks like climate and technology shocks.</w:t>
      </w:r>
    </w:p>
    <w:p w14:paraId="38FF0A24" w14:textId="5CA91050" w:rsidR="0033618D" w:rsidRDefault="0033618D" w:rsidP="00165F6F">
      <w:pPr>
        <w:pStyle w:val="ListParagraph"/>
        <w:jc w:val="both"/>
        <w:rPr>
          <w:rFonts w:ascii="Arial" w:hAnsi="Arial" w:cs="Arial"/>
        </w:rPr>
      </w:pPr>
    </w:p>
    <w:p w14:paraId="5CD4F610" w14:textId="77777777" w:rsidR="00F649DC" w:rsidRDefault="00F649DC" w:rsidP="0033618D">
      <w:pPr>
        <w:pStyle w:val="ListParagraph"/>
        <w:jc w:val="both"/>
        <w:rPr>
          <w:rFonts w:ascii="Arial" w:hAnsi="Arial" w:cs="Arial"/>
          <w:b/>
          <w:bCs/>
        </w:rPr>
      </w:pPr>
    </w:p>
    <w:p w14:paraId="5C6963FB" w14:textId="77777777" w:rsidR="00F649DC" w:rsidRDefault="00F649DC" w:rsidP="0033618D">
      <w:pPr>
        <w:pStyle w:val="ListParagraph"/>
        <w:jc w:val="both"/>
        <w:rPr>
          <w:rFonts w:ascii="Arial" w:hAnsi="Arial" w:cs="Arial"/>
          <w:b/>
          <w:bCs/>
        </w:rPr>
      </w:pPr>
    </w:p>
    <w:p w14:paraId="375DC5C3" w14:textId="77777777" w:rsidR="00F649DC" w:rsidRDefault="00F649DC" w:rsidP="0033618D">
      <w:pPr>
        <w:pStyle w:val="ListParagraph"/>
        <w:jc w:val="both"/>
        <w:rPr>
          <w:rFonts w:ascii="Arial" w:hAnsi="Arial" w:cs="Arial"/>
          <w:b/>
          <w:bCs/>
        </w:rPr>
      </w:pPr>
    </w:p>
    <w:p w14:paraId="64603093" w14:textId="77777777" w:rsidR="00F649DC" w:rsidRDefault="00F649DC" w:rsidP="0033618D">
      <w:pPr>
        <w:pStyle w:val="ListParagraph"/>
        <w:jc w:val="both"/>
        <w:rPr>
          <w:rFonts w:ascii="Arial" w:hAnsi="Arial" w:cs="Arial"/>
          <w:b/>
          <w:bCs/>
        </w:rPr>
      </w:pPr>
    </w:p>
    <w:p w14:paraId="48203D8E" w14:textId="77777777" w:rsidR="00F649DC" w:rsidRDefault="00F649DC" w:rsidP="0033618D">
      <w:pPr>
        <w:pStyle w:val="ListParagraph"/>
        <w:jc w:val="both"/>
        <w:rPr>
          <w:rFonts w:ascii="Arial" w:hAnsi="Arial" w:cs="Arial"/>
          <w:b/>
          <w:bCs/>
        </w:rPr>
      </w:pPr>
    </w:p>
    <w:p w14:paraId="7A99740F" w14:textId="77777777" w:rsidR="00F649DC" w:rsidRDefault="00F649DC" w:rsidP="0033618D">
      <w:pPr>
        <w:pStyle w:val="ListParagraph"/>
        <w:jc w:val="both"/>
        <w:rPr>
          <w:rFonts w:ascii="Arial" w:hAnsi="Arial" w:cs="Arial"/>
          <w:b/>
          <w:bCs/>
        </w:rPr>
      </w:pPr>
    </w:p>
    <w:p w14:paraId="488C390F" w14:textId="77777777" w:rsidR="00F649DC" w:rsidRDefault="00F649DC" w:rsidP="0033618D">
      <w:pPr>
        <w:pStyle w:val="ListParagraph"/>
        <w:jc w:val="both"/>
        <w:rPr>
          <w:rFonts w:ascii="Arial" w:hAnsi="Arial" w:cs="Arial"/>
          <w:b/>
          <w:bCs/>
        </w:rPr>
      </w:pPr>
    </w:p>
    <w:p w14:paraId="2F190E55" w14:textId="77777777" w:rsidR="00F649DC" w:rsidRDefault="00F649DC" w:rsidP="0033618D">
      <w:pPr>
        <w:pStyle w:val="ListParagraph"/>
        <w:jc w:val="both"/>
        <w:rPr>
          <w:rFonts w:ascii="Arial" w:hAnsi="Arial" w:cs="Arial"/>
          <w:b/>
          <w:bCs/>
        </w:rPr>
      </w:pPr>
    </w:p>
    <w:p w14:paraId="2C43DA4F" w14:textId="77777777" w:rsidR="00F649DC" w:rsidRDefault="00F649DC" w:rsidP="0033618D">
      <w:pPr>
        <w:pStyle w:val="ListParagraph"/>
        <w:jc w:val="both"/>
        <w:rPr>
          <w:rFonts w:ascii="Arial" w:hAnsi="Arial" w:cs="Arial"/>
          <w:b/>
          <w:bCs/>
        </w:rPr>
      </w:pPr>
    </w:p>
    <w:p w14:paraId="1B8024AC" w14:textId="77777777" w:rsidR="00F649DC" w:rsidRDefault="00F649DC" w:rsidP="0033618D">
      <w:pPr>
        <w:pStyle w:val="ListParagraph"/>
        <w:jc w:val="both"/>
        <w:rPr>
          <w:rFonts w:ascii="Arial" w:hAnsi="Arial" w:cs="Arial"/>
          <w:b/>
          <w:bCs/>
        </w:rPr>
      </w:pPr>
    </w:p>
    <w:p w14:paraId="3C632743" w14:textId="77777777" w:rsidR="00F649DC" w:rsidRDefault="00F649DC" w:rsidP="0033618D">
      <w:pPr>
        <w:pStyle w:val="ListParagraph"/>
        <w:jc w:val="both"/>
        <w:rPr>
          <w:rFonts w:ascii="Arial" w:hAnsi="Arial" w:cs="Arial"/>
          <w:b/>
          <w:bCs/>
        </w:rPr>
      </w:pPr>
    </w:p>
    <w:p w14:paraId="10DB12A0" w14:textId="77777777" w:rsidR="00F649DC" w:rsidRDefault="00F649DC" w:rsidP="0033618D">
      <w:pPr>
        <w:pStyle w:val="ListParagraph"/>
        <w:jc w:val="both"/>
        <w:rPr>
          <w:rFonts w:ascii="Arial" w:hAnsi="Arial" w:cs="Arial"/>
          <w:b/>
          <w:bCs/>
        </w:rPr>
      </w:pPr>
    </w:p>
    <w:p w14:paraId="5CE3BC2E" w14:textId="42E61C5E" w:rsidR="0033618D" w:rsidRPr="0033618D" w:rsidRDefault="0033618D" w:rsidP="0033618D">
      <w:pPr>
        <w:pStyle w:val="ListParagraph"/>
        <w:jc w:val="both"/>
        <w:rPr>
          <w:rFonts w:ascii="Arial" w:hAnsi="Arial" w:cs="Arial"/>
          <w:b/>
          <w:bCs/>
        </w:rPr>
      </w:pPr>
      <w:r w:rsidRPr="00BD18B5">
        <w:rPr>
          <w:rFonts w:ascii="Arial" w:hAnsi="Arial" w:cs="Arial"/>
          <w:b/>
          <w:bCs/>
        </w:rPr>
        <w:t>Related literature</w:t>
      </w:r>
    </w:p>
    <w:p w14:paraId="75EE93CD" w14:textId="77777777" w:rsidR="0033618D" w:rsidRDefault="0033618D" w:rsidP="00165F6F">
      <w:pPr>
        <w:pStyle w:val="ListParagraph"/>
        <w:jc w:val="both"/>
        <w:rPr>
          <w:rFonts w:ascii="Arial" w:hAnsi="Arial" w:cs="Arial"/>
        </w:rPr>
      </w:pPr>
    </w:p>
    <w:p w14:paraId="221A1691" w14:textId="77777777" w:rsidR="00EE6C2F" w:rsidRDefault="00194D4D" w:rsidP="00971EFC">
      <w:pPr>
        <w:pStyle w:val="ListParagraph"/>
        <w:jc w:val="both"/>
        <w:rPr>
          <w:rFonts w:ascii="Arial" w:hAnsi="Arial" w:cs="Arial"/>
        </w:rPr>
      </w:pPr>
      <w:r>
        <w:rPr>
          <w:rFonts w:ascii="Arial" w:hAnsi="Arial" w:cs="Arial"/>
        </w:rPr>
        <w:t xml:space="preserve">  </w:t>
      </w:r>
      <w:r w:rsidR="005A33A8">
        <w:rPr>
          <w:rFonts w:ascii="Arial" w:hAnsi="Arial" w:cs="Arial"/>
        </w:rPr>
        <w:t>T</w:t>
      </w:r>
      <w:r w:rsidR="005A33A8" w:rsidRPr="005A33A8">
        <w:rPr>
          <w:rFonts w:ascii="Arial" w:hAnsi="Arial" w:cs="Arial"/>
        </w:rPr>
        <w:t xml:space="preserve">here is still little definitive research on the economic impacts of carbon pricing and climate policies aimed at shifting the society toward net-zero emissions status. </w:t>
      </w:r>
      <w:r w:rsidR="006E7ED3">
        <w:rPr>
          <w:rFonts w:ascii="Arial" w:hAnsi="Arial" w:cs="Arial"/>
        </w:rPr>
        <w:t xml:space="preserve">Most of the literature is centered on ex-ante (model-based) evaluations. On the other hand, </w:t>
      </w:r>
      <w:r w:rsidR="00FE481F">
        <w:rPr>
          <w:rFonts w:ascii="Arial" w:hAnsi="Arial" w:cs="Arial"/>
        </w:rPr>
        <w:t>less is know</w:t>
      </w:r>
      <w:r w:rsidR="002D567F">
        <w:rPr>
          <w:rFonts w:ascii="Arial" w:hAnsi="Arial" w:cs="Arial"/>
        </w:rPr>
        <w:t>n</w:t>
      </w:r>
      <w:r w:rsidR="00FE481F">
        <w:rPr>
          <w:rFonts w:ascii="Arial" w:hAnsi="Arial" w:cs="Arial"/>
        </w:rPr>
        <w:t xml:space="preserve"> on the ex-post (estimated) economic impact of carbon pricing, a</w:t>
      </w:r>
      <w:r w:rsidR="00E25A2C">
        <w:rPr>
          <w:rFonts w:ascii="Arial" w:hAnsi="Arial" w:cs="Arial"/>
        </w:rPr>
        <w:t xml:space="preserve">n increasing </w:t>
      </w:r>
      <w:r w:rsidR="00FE481F">
        <w:rPr>
          <w:rFonts w:ascii="Arial" w:hAnsi="Arial" w:cs="Arial"/>
        </w:rPr>
        <w:t xml:space="preserve">body of research has recently addressed the study of </w:t>
      </w:r>
      <w:r w:rsidR="003907AD">
        <w:rPr>
          <w:rFonts w:ascii="Arial" w:hAnsi="Arial" w:cs="Arial"/>
        </w:rPr>
        <w:t>its</w:t>
      </w:r>
      <w:r w:rsidR="00FE481F">
        <w:rPr>
          <w:rFonts w:ascii="Arial" w:hAnsi="Arial" w:cs="Arial"/>
        </w:rPr>
        <w:t xml:space="preserve"> effect</w:t>
      </w:r>
      <w:r w:rsidR="003907AD">
        <w:rPr>
          <w:rFonts w:ascii="Arial" w:hAnsi="Arial" w:cs="Arial"/>
        </w:rPr>
        <w:t xml:space="preserve"> </w:t>
      </w:r>
      <w:r w:rsidR="00FE481F">
        <w:rPr>
          <w:rFonts w:ascii="Arial" w:hAnsi="Arial" w:cs="Arial"/>
        </w:rPr>
        <w:t xml:space="preserve">on economic growth </w:t>
      </w:r>
      <w:r w:rsidR="00FE481F" w:rsidRPr="00FE481F">
        <w:rPr>
          <w:rFonts w:ascii="Arial" w:hAnsi="Arial" w:cs="Arial"/>
        </w:rPr>
        <w:t>(Metcalf and Stock, 2020), industrial and business performance, competitiveness and innovation</w:t>
      </w:r>
      <w:r w:rsidR="00FE481F">
        <w:rPr>
          <w:rFonts w:ascii="Arial" w:hAnsi="Arial" w:cs="Arial"/>
        </w:rPr>
        <w:t xml:space="preserve"> </w:t>
      </w:r>
      <w:r w:rsidR="00FE481F" w:rsidRPr="00FE481F">
        <w:rPr>
          <w:rFonts w:ascii="Arial" w:hAnsi="Arial" w:cs="Arial"/>
        </w:rPr>
        <w:t xml:space="preserve">(Shapiro and Metcalf, 2021; </w:t>
      </w:r>
      <w:proofErr w:type="spellStart"/>
      <w:r w:rsidR="00FE481F" w:rsidRPr="00FE481F">
        <w:rPr>
          <w:rFonts w:ascii="Arial" w:hAnsi="Arial" w:cs="Arial"/>
        </w:rPr>
        <w:t>Venmans</w:t>
      </w:r>
      <w:proofErr w:type="spellEnd"/>
      <w:r w:rsidR="00FE481F" w:rsidRPr="00FE481F">
        <w:rPr>
          <w:rFonts w:ascii="Arial" w:hAnsi="Arial" w:cs="Arial"/>
        </w:rPr>
        <w:t xml:space="preserve"> et al., 2020; Martin et al., 2014, 2016), employment</w:t>
      </w:r>
      <w:r w:rsidR="00FE481F">
        <w:rPr>
          <w:rFonts w:ascii="Arial" w:hAnsi="Arial" w:cs="Arial"/>
        </w:rPr>
        <w:t xml:space="preserve"> </w:t>
      </w:r>
      <w:r w:rsidR="00FE481F" w:rsidRPr="00FE481F">
        <w:rPr>
          <w:rFonts w:ascii="Arial" w:hAnsi="Arial" w:cs="Arial"/>
        </w:rPr>
        <w:t>(Martin et al., 2014; Yamazaki, 2017), international trade (Mundaca et al., 2021) and the</w:t>
      </w:r>
      <w:r w:rsidR="00FE481F">
        <w:rPr>
          <w:rFonts w:ascii="Arial" w:hAnsi="Arial" w:cs="Arial"/>
        </w:rPr>
        <w:t xml:space="preserve"> </w:t>
      </w:r>
      <w:r w:rsidR="00FE481F" w:rsidRPr="00FE481F">
        <w:rPr>
          <w:rFonts w:ascii="Arial" w:hAnsi="Arial" w:cs="Arial"/>
        </w:rPr>
        <w:t xml:space="preserve">inequality of income distribution (Elkins and Baker, 2001; </w:t>
      </w:r>
      <w:proofErr w:type="spellStart"/>
      <w:r w:rsidR="00FE481F" w:rsidRPr="00FE481F">
        <w:rPr>
          <w:rFonts w:ascii="Arial" w:hAnsi="Arial" w:cs="Arial"/>
        </w:rPr>
        <w:t>K</w:t>
      </w:r>
      <w:r w:rsidR="00FE481F">
        <w:rPr>
          <w:rFonts w:ascii="Arial" w:hAnsi="Arial" w:cs="Arial"/>
        </w:rPr>
        <w:t>ä</w:t>
      </w:r>
      <w:r w:rsidR="00FE481F" w:rsidRPr="00FE481F">
        <w:rPr>
          <w:rFonts w:ascii="Arial" w:hAnsi="Arial" w:cs="Arial"/>
        </w:rPr>
        <w:t>nzig</w:t>
      </w:r>
      <w:proofErr w:type="spellEnd"/>
      <w:r w:rsidR="00FE481F" w:rsidRPr="00FE481F">
        <w:rPr>
          <w:rFonts w:ascii="Arial" w:hAnsi="Arial" w:cs="Arial"/>
        </w:rPr>
        <w:t>, 2021).</w:t>
      </w:r>
    </w:p>
    <w:p w14:paraId="689AFF25" w14:textId="39BF73CA" w:rsidR="00E53BBF" w:rsidRPr="00971EFC" w:rsidRDefault="00FE481F" w:rsidP="00971EFC">
      <w:pPr>
        <w:pStyle w:val="ListParagraph"/>
        <w:jc w:val="both"/>
        <w:rPr>
          <w:rFonts w:ascii="Arial" w:hAnsi="Arial" w:cs="Arial"/>
        </w:rPr>
      </w:pPr>
      <w:r>
        <w:rPr>
          <w:rFonts w:ascii="Arial" w:hAnsi="Arial" w:cs="Arial"/>
        </w:rPr>
        <w:t xml:space="preserve"> </w:t>
      </w:r>
      <w:r w:rsidR="00EE6C2F">
        <w:rPr>
          <w:rFonts w:ascii="Arial" w:hAnsi="Arial" w:cs="Arial"/>
        </w:rPr>
        <w:t xml:space="preserve"> </w:t>
      </w:r>
      <w:r w:rsidR="00BC3FD3">
        <w:rPr>
          <w:rFonts w:ascii="Arial" w:hAnsi="Arial" w:cs="Arial"/>
        </w:rPr>
        <w:t>Existing studies describe carbon pricing</w:t>
      </w:r>
      <w:r w:rsidR="00446760">
        <w:rPr>
          <w:rFonts w:ascii="Arial" w:hAnsi="Arial" w:cs="Arial"/>
        </w:rPr>
        <w:t xml:space="preserve"> as a</w:t>
      </w:r>
      <w:r w:rsidR="00480B97">
        <w:rPr>
          <w:rFonts w:ascii="Arial" w:hAnsi="Arial" w:cs="Arial"/>
        </w:rPr>
        <w:t xml:space="preserve"> stark</w:t>
      </w:r>
      <w:r w:rsidR="00446760">
        <w:rPr>
          <w:rFonts w:ascii="Arial" w:hAnsi="Arial" w:cs="Arial"/>
        </w:rPr>
        <w:t xml:space="preserve"> enabler to achieve GHG reduction objective</w:t>
      </w:r>
      <w:r w:rsidR="00D43B38">
        <w:rPr>
          <w:rFonts w:ascii="Arial" w:hAnsi="Arial" w:cs="Arial"/>
        </w:rPr>
        <w:t xml:space="preserve">s </w:t>
      </w:r>
      <w:r w:rsidR="008B61C6">
        <w:rPr>
          <w:rFonts w:ascii="Arial" w:hAnsi="Arial" w:cs="Arial"/>
        </w:rPr>
        <w:t>in the short-run and long-run</w:t>
      </w:r>
      <w:r w:rsidR="002D567F">
        <w:rPr>
          <w:rFonts w:ascii="Arial" w:hAnsi="Arial" w:cs="Arial"/>
        </w:rPr>
        <w:t xml:space="preserve">, but simultaneously </w:t>
      </w:r>
      <w:r w:rsidR="00834086">
        <w:rPr>
          <w:rFonts w:ascii="Arial" w:hAnsi="Arial" w:cs="Arial"/>
        </w:rPr>
        <w:t xml:space="preserve">instant </w:t>
      </w:r>
      <w:r w:rsidR="002D567F">
        <w:rPr>
          <w:rFonts w:ascii="Arial" w:hAnsi="Arial" w:cs="Arial"/>
        </w:rPr>
        <w:t>upwards pressure on energy prices kicks in</w:t>
      </w:r>
      <w:r w:rsidR="002E7018">
        <w:rPr>
          <w:rFonts w:ascii="Arial" w:hAnsi="Arial" w:cs="Arial"/>
        </w:rPr>
        <w:t xml:space="preserve"> (</w:t>
      </w:r>
      <w:proofErr w:type="spellStart"/>
      <w:r w:rsidR="002E7018">
        <w:rPr>
          <w:rFonts w:ascii="Arial" w:hAnsi="Arial" w:cs="Arial"/>
        </w:rPr>
        <w:t>Känzig</w:t>
      </w:r>
      <w:proofErr w:type="spellEnd"/>
      <w:r w:rsidR="002E7018">
        <w:rPr>
          <w:rFonts w:ascii="Arial" w:hAnsi="Arial" w:cs="Arial"/>
        </w:rPr>
        <w:t>, 2021)</w:t>
      </w:r>
      <w:r w:rsidR="00944382">
        <w:rPr>
          <w:rFonts w:ascii="Arial" w:hAnsi="Arial" w:cs="Arial"/>
        </w:rPr>
        <w:t>.</w:t>
      </w:r>
      <w:r w:rsidR="00834086">
        <w:rPr>
          <w:rFonts w:ascii="Arial" w:hAnsi="Arial" w:cs="Arial"/>
        </w:rPr>
        <w:t xml:space="preserve"> </w:t>
      </w:r>
      <w:r w:rsidR="008B61C6">
        <w:rPr>
          <w:rFonts w:ascii="Arial" w:hAnsi="Arial" w:cs="Arial"/>
        </w:rPr>
        <w:t>The latter is a costly countereffect</w:t>
      </w:r>
      <w:r w:rsidR="002D4ADF">
        <w:rPr>
          <w:rFonts w:ascii="Arial" w:hAnsi="Arial" w:cs="Arial"/>
        </w:rPr>
        <w:t xml:space="preserve"> of carbon policy, </w:t>
      </w:r>
      <w:r w:rsidR="009A6F11">
        <w:rPr>
          <w:rFonts w:ascii="Arial" w:hAnsi="Arial" w:cs="Arial"/>
        </w:rPr>
        <w:t xml:space="preserve">that </w:t>
      </w:r>
      <w:r w:rsidR="008B61C6">
        <w:rPr>
          <w:rFonts w:ascii="Arial" w:hAnsi="Arial" w:cs="Arial"/>
        </w:rPr>
        <w:t xml:space="preserve">has pass-through </w:t>
      </w:r>
      <w:r w:rsidR="00990BB4">
        <w:rPr>
          <w:rFonts w:ascii="Arial" w:hAnsi="Arial" w:cs="Arial"/>
        </w:rPr>
        <w:t>property, whereby consumer and producer prices rise significantly and economic activity falls, which is mirrored in higher inflation, lower output and higher unemployment. However, as other studies infer</w:t>
      </w:r>
      <w:r w:rsidR="009338DF">
        <w:rPr>
          <w:rFonts w:ascii="Arial" w:hAnsi="Arial" w:cs="Arial"/>
        </w:rPr>
        <w:t>,</w:t>
      </w:r>
      <w:r w:rsidR="00990BB4">
        <w:rPr>
          <w:rFonts w:ascii="Arial" w:hAnsi="Arial" w:cs="Arial"/>
        </w:rPr>
        <w:t xml:space="preserve"> the fall in GHG emissions is more persistent than the</w:t>
      </w:r>
      <w:r w:rsidR="00F058EA">
        <w:rPr>
          <w:rFonts w:ascii="Arial" w:hAnsi="Arial" w:cs="Arial"/>
        </w:rPr>
        <w:t xml:space="preserve"> non-lasting</w:t>
      </w:r>
      <w:r w:rsidR="00990BB4">
        <w:rPr>
          <w:rFonts w:ascii="Arial" w:hAnsi="Arial" w:cs="Arial"/>
        </w:rPr>
        <w:t xml:space="preserve"> fall in </w:t>
      </w:r>
      <w:r w:rsidR="009D5BEE">
        <w:rPr>
          <w:rFonts w:ascii="Arial" w:hAnsi="Arial" w:cs="Arial"/>
        </w:rPr>
        <w:t xml:space="preserve">economic </w:t>
      </w:r>
      <w:r w:rsidR="00990BB4">
        <w:rPr>
          <w:rFonts w:ascii="Arial" w:hAnsi="Arial" w:cs="Arial"/>
        </w:rPr>
        <w:t>activity</w:t>
      </w:r>
      <w:r w:rsidR="009338DF">
        <w:rPr>
          <w:rFonts w:ascii="Arial" w:hAnsi="Arial" w:cs="Arial"/>
        </w:rPr>
        <w:t xml:space="preserve"> </w:t>
      </w:r>
      <w:r w:rsidR="00480B97">
        <w:rPr>
          <w:rFonts w:ascii="Arial" w:hAnsi="Arial" w:cs="Arial"/>
        </w:rPr>
        <w:t>(</w:t>
      </w:r>
      <w:proofErr w:type="spellStart"/>
      <w:r w:rsidR="009338DF" w:rsidRPr="00104B23">
        <w:rPr>
          <w:rFonts w:ascii="Arial" w:hAnsi="Arial" w:cs="Arial"/>
        </w:rPr>
        <w:t>Kohlscheen</w:t>
      </w:r>
      <w:proofErr w:type="spellEnd"/>
      <w:r w:rsidR="009338DF" w:rsidRPr="00104B23">
        <w:rPr>
          <w:rFonts w:ascii="Arial" w:hAnsi="Arial" w:cs="Arial"/>
        </w:rPr>
        <w:t xml:space="preserve"> et al.</w:t>
      </w:r>
      <w:r w:rsidR="00480B97">
        <w:rPr>
          <w:rFonts w:ascii="Arial" w:hAnsi="Arial" w:cs="Arial"/>
        </w:rPr>
        <w:t xml:space="preserve">, </w:t>
      </w:r>
      <w:r w:rsidR="009338DF" w:rsidRPr="00104B23">
        <w:rPr>
          <w:rFonts w:ascii="Arial" w:hAnsi="Arial" w:cs="Arial"/>
        </w:rPr>
        <w:t>2021</w:t>
      </w:r>
      <w:r w:rsidR="0086610C">
        <w:rPr>
          <w:rFonts w:ascii="Arial" w:hAnsi="Arial" w:cs="Arial"/>
        </w:rPr>
        <w:t xml:space="preserve">; </w:t>
      </w:r>
      <w:r w:rsidR="009D5BEE" w:rsidRPr="00557CBD">
        <w:rPr>
          <w:rFonts w:ascii="Arial" w:hAnsi="Arial" w:cs="Arial"/>
        </w:rPr>
        <w:t>Konradt and Weder di Mauro</w:t>
      </w:r>
      <w:r w:rsidR="002776A5">
        <w:rPr>
          <w:rFonts w:ascii="Arial" w:hAnsi="Arial" w:cs="Arial"/>
        </w:rPr>
        <w:t xml:space="preserve">, </w:t>
      </w:r>
      <w:r w:rsidR="009D5BEE">
        <w:rPr>
          <w:rFonts w:ascii="Arial" w:hAnsi="Arial" w:cs="Arial"/>
        </w:rPr>
        <w:t>2021</w:t>
      </w:r>
      <w:r w:rsidR="0086610C">
        <w:rPr>
          <w:rFonts w:ascii="Arial" w:hAnsi="Arial" w:cs="Arial"/>
        </w:rPr>
        <w:t xml:space="preserve">; </w:t>
      </w:r>
      <w:r w:rsidR="009D5BEE" w:rsidRPr="00557CBD">
        <w:rPr>
          <w:rFonts w:ascii="Arial" w:hAnsi="Arial" w:cs="Arial"/>
        </w:rPr>
        <w:t xml:space="preserve">McKibbin </w:t>
      </w:r>
      <w:r w:rsidR="009D5BEE">
        <w:rPr>
          <w:rFonts w:ascii="Arial" w:hAnsi="Arial" w:cs="Arial"/>
        </w:rPr>
        <w:t>et al.</w:t>
      </w:r>
      <w:r w:rsidR="002776A5">
        <w:rPr>
          <w:rFonts w:ascii="Arial" w:hAnsi="Arial" w:cs="Arial"/>
        </w:rPr>
        <w:t>,</w:t>
      </w:r>
      <w:r w:rsidR="009D5BEE">
        <w:rPr>
          <w:rFonts w:ascii="Arial" w:hAnsi="Arial" w:cs="Arial"/>
        </w:rPr>
        <w:t>2021)</w:t>
      </w:r>
      <w:r w:rsidR="009D5BEE" w:rsidRPr="00104B23">
        <w:rPr>
          <w:rFonts w:ascii="Arial" w:hAnsi="Arial" w:cs="Arial"/>
        </w:rPr>
        <w:t>.</w:t>
      </w:r>
      <w:r w:rsidR="009D5BEE">
        <w:rPr>
          <w:rFonts w:ascii="Arial" w:hAnsi="Arial" w:cs="Arial"/>
        </w:rPr>
        <w:t xml:space="preserve"> </w:t>
      </w:r>
      <w:r w:rsidR="002D4ADF">
        <w:rPr>
          <w:rFonts w:ascii="Arial" w:hAnsi="Arial" w:cs="Arial"/>
        </w:rPr>
        <w:t xml:space="preserve">In </w:t>
      </w:r>
      <w:r w:rsidR="00ED5FA2">
        <w:rPr>
          <w:rFonts w:ascii="Arial" w:hAnsi="Arial" w:cs="Arial"/>
        </w:rPr>
        <w:t>line with this</w:t>
      </w:r>
      <w:r w:rsidR="002D4ADF">
        <w:rPr>
          <w:rFonts w:ascii="Arial" w:hAnsi="Arial" w:cs="Arial"/>
        </w:rPr>
        <w:t>,</w:t>
      </w:r>
      <w:r w:rsidR="009A6F11">
        <w:rPr>
          <w:rFonts w:ascii="Arial" w:hAnsi="Arial" w:cs="Arial"/>
        </w:rPr>
        <w:t xml:space="preserve"> if no mitigating actions are taken towards GHG emissions</w:t>
      </w:r>
      <w:r w:rsidR="009338DF">
        <w:rPr>
          <w:rFonts w:ascii="Arial" w:hAnsi="Arial" w:cs="Arial"/>
        </w:rPr>
        <w:t>’</w:t>
      </w:r>
      <w:r w:rsidR="00ED5FA2">
        <w:rPr>
          <w:rFonts w:ascii="Arial" w:hAnsi="Arial" w:cs="Arial"/>
        </w:rPr>
        <w:t xml:space="preserve"> reductions</w:t>
      </w:r>
      <w:r w:rsidR="009A6F11">
        <w:rPr>
          <w:rFonts w:ascii="Arial" w:hAnsi="Arial" w:cs="Arial"/>
        </w:rPr>
        <w:t xml:space="preserve">, </w:t>
      </w:r>
      <w:r w:rsidR="00ED5FA2">
        <w:rPr>
          <w:rFonts w:ascii="Arial" w:hAnsi="Arial" w:cs="Arial"/>
        </w:rPr>
        <w:t xml:space="preserve">then the </w:t>
      </w:r>
      <w:r w:rsidR="009A6F11">
        <w:rPr>
          <w:rFonts w:ascii="Arial" w:hAnsi="Arial" w:cs="Arial"/>
        </w:rPr>
        <w:t xml:space="preserve">expected global GDP will shrink by 18% by 2050 </w:t>
      </w:r>
      <w:r w:rsidR="009A6F11" w:rsidRPr="009A6F11">
        <w:rPr>
          <w:rFonts w:ascii="Arial" w:hAnsi="Arial" w:cs="Arial"/>
        </w:rPr>
        <w:t>reveals Swiss Re Institute's stress-test analysi</w:t>
      </w:r>
      <w:r w:rsidR="009A6F11">
        <w:rPr>
          <w:rFonts w:ascii="Arial" w:hAnsi="Arial" w:cs="Arial"/>
        </w:rPr>
        <w:t>s (2021).</w:t>
      </w:r>
      <w:r w:rsidR="002D567F">
        <w:rPr>
          <w:rFonts w:ascii="Arial" w:hAnsi="Arial" w:cs="Arial"/>
        </w:rPr>
        <w:t xml:space="preserve"> </w:t>
      </w:r>
      <w:r w:rsidR="00E25A2C" w:rsidRPr="00971EFC">
        <w:rPr>
          <w:rFonts w:ascii="Arial" w:hAnsi="Arial" w:cs="Arial"/>
        </w:rPr>
        <w:t>I add to this body of literature by offering updated inflation impact estimates based on the EU ETS the biggest carbon market in the world</w:t>
      </w:r>
      <w:r w:rsidR="009B4AC0">
        <w:rPr>
          <w:rFonts w:ascii="Arial" w:hAnsi="Arial" w:cs="Arial"/>
        </w:rPr>
        <w:t xml:space="preserve">, </w:t>
      </w:r>
      <w:r w:rsidR="00535F76">
        <w:rPr>
          <w:rFonts w:ascii="Arial" w:hAnsi="Arial" w:cs="Arial"/>
        </w:rPr>
        <w:t>EU carbon tax</w:t>
      </w:r>
      <w:r w:rsidR="009338DF">
        <w:rPr>
          <w:rFonts w:ascii="Arial" w:hAnsi="Arial" w:cs="Arial"/>
        </w:rPr>
        <w:t>,</w:t>
      </w:r>
      <w:r w:rsidR="009B4AC0">
        <w:rPr>
          <w:rFonts w:ascii="Arial" w:hAnsi="Arial" w:cs="Arial"/>
        </w:rPr>
        <w:t xml:space="preserve"> and </w:t>
      </w:r>
      <w:r w:rsidR="003B2E02">
        <w:rPr>
          <w:rFonts w:ascii="Arial" w:hAnsi="Arial" w:cs="Arial"/>
        </w:rPr>
        <w:t>the California C</w:t>
      </w:r>
      <w:r w:rsidR="009B4AC0">
        <w:rPr>
          <w:rFonts w:ascii="Arial" w:hAnsi="Arial" w:cs="Arial"/>
        </w:rPr>
        <w:t>ap-and-</w:t>
      </w:r>
      <w:r w:rsidR="003B2E02">
        <w:rPr>
          <w:rFonts w:ascii="Arial" w:hAnsi="Arial" w:cs="Arial"/>
        </w:rPr>
        <w:t>T</w:t>
      </w:r>
      <w:r w:rsidR="009B4AC0">
        <w:rPr>
          <w:rFonts w:ascii="Arial" w:hAnsi="Arial" w:cs="Arial"/>
        </w:rPr>
        <w:t>rade</w:t>
      </w:r>
      <w:r w:rsidR="003B2E02">
        <w:rPr>
          <w:rFonts w:ascii="Arial" w:hAnsi="Arial" w:cs="Arial"/>
        </w:rPr>
        <w:t xml:space="preserve"> Program </w:t>
      </w:r>
      <w:r w:rsidR="009338DF">
        <w:rPr>
          <w:rFonts w:ascii="Arial" w:hAnsi="Arial" w:cs="Arial"/>
        </w:rPr>
        <w:t xml:space="preserve">similarly to </w:t>
      </w:r>
      <w:r w:rsidR="006353F8">
        <w:rPr>
          <w:rFonts w:ascii="Arial" w:hAnsi="Arial" w:cs="Arial"/>
        </w:rPr>
        <w:t>(</w:t>
      </w:r>
      <w:r w:rsidR="009338DF">
        <w:rPr>
          <w:rFonts w:ascii="Arial" w:hAnsi="Arial" w:cs="Arial"/>
        </w:rPr>
        <w:t>Moessner</w:t>
      </w:r>
      <w:r w:rsidR="006353F8">
        <w:rPr>
          <w:rFonts w:ascii="Arial" w:hAnsi="Arial" w:cs="Arial"/>
        </w:rPr>
        <w:t xml:space="preserve">, </w:t>
      </w:r>
      <w:r w:rsidR="009338DF">
        <w:rPr>
          <w:rFonts w:ascii="Arial" w:hAnsi="Arial" w:cs="Arial"/>
        </w:rPr>
        <w:t>2022</w:t>
      </w:r>
      <w:r w:rsidR="0086610C">
        <w:rPr>
          <w:rFonts w:ascii="Arial" w:hAnsi="Arial" w:cs="Arial"/>
        </w:rPr>
        <w:t xml:space="preserve">; </w:t>
      </w:r>
      <w:proofErr w:type="spellStart"/>
      <w:r w:rsidR="009338DF" w:rsidRPr="00104B23">
        <w:rPr>
          <w:rFonts w:ascii="Arial" w:hAnsi="Arial" w:cs="Arial"/>
        </w:rPr>
        <w:t>Kohlscheen</w:t>
      </w:r>
      <w:proofErr w:type="spellEnd"/>
      <w:r w:rsidR="009338DF" w:rsidRPr="00104B23">
        <w:rPr>
          <w:rFonts w:ascii="Arial" w:hAnsi="Arial" w:cs="Arial"/>
        </w:rPr>
        <w:t xml:space="preserve"> et al.</w:t>
      </w:r>
      <w:r w:rsidR="006353F8">
        <w:rPr>
          <w:rFonts w:ascii="Arial" w:hAnsi="Arial" w:cs="Arial"/>
        </w:rPr>
        <w:t xml:space="preserve">, </w:t>
      </w:r>
      <w:r w:rsidR="009338DF" w:rsidRPr="00104B23">
        <w:rPr>
          <w:rFonts w:ascii="Arial" w:hAnsi="Arial" w:cs="Arial"/>
        </w:rPr>
        <w:t>2021</w:t>
      </w:r>
      <w:r w:rsidR="00FB6F61">
        <w:rPr>
          <w:rFonts w:ascii="Arial" w:hAnsi="Arial" w:cs="Arial"/>
        </w:rPr>
        <w:t xml:space="preserve">). </w:t>
      </w:r>
      <w:r w:rsidR="00FB6FB5">
        <w:rPr>
          <w:rFonts w:ascii="Arial" w:hAnsi="Arial" w:cs="Arial"/>
        </w:rPr>
        <w:t xml:space="preserve">Today more than ever substantial </w:t>
      </w:r>
      <w:r w:rsidR="00557CBD" w:rsidRPr="00971EFC">
        <w:rPr>
          <w:rFonts w:ascii="Arial" w:hAnsi="Arial" w:cs="Arial"/>
        </w:rPr>
        <w:t xml:space="preserve">evidence is </w:t>
      </w:r>
      <w:r w:rsidR="00FB6FB5">
        <w:rPr>
          <w:rFonts w:ascii="Arial" w:hAnsi="Arial" w:cs="Arial"/>
        </w:rPr>
        <w:t xml:space="preserve">requested by market participants and </w:t>
      </w:r>
      <w:r w:rsidR="003B1767">
        <w:rPr>
          <w:rFonts w:ascii="Arial" w:hAnsi="Arial" w:cs="Arial"/>
        </w:rPr>
        <w:t>taxpayers</w:t>
      </w:r>
      <w:r w:rsidR="00A35FCE">
        <w:rPr>
          <w:rFonts w:ascii="Arial" w:hAnsi="Arial" w:cs="Arial"/>
        </w:rPr>
        <w:t xml:space="preserve"> about the effects of climate policies i.e. carbon taxes and ETS</w:t>
      </w:r>
      <w:r w:rsidR="00557CBD" w:rsidRPr="00971EFC">
        <w:rPr>
          <w:rFonts w:ascii="Arial" w:hAnsi="Arial" w:cs="Arial"/>
        </w:rPr>
        <w:t xml:space="preserve">. </w:t>
      </w:r>
    </w:p>
    <w:p w14:paraId="7EEFCA59" w14:textId="1DB9EE35" w:rsidR="00E53BBF" w:rsidRDefault="00194D4D" w:rsidP="00165F6F">
      <w:pPr>
        <w:pStyle w:val="ListParagraph"/>
        <w:jc w:val="both"/>
        <w:rPr>
          <w:rFonts w:ascii="Arial" w:hAnsi="Arial" w:cs="Arial"/>
        </w:rPr>
      </w:pPr>
      <w:r>
        <w:rPr>
          <w:rFonts w:ascii="Arial" w:hAnsi="Arial" w:cs="Arial"/>
        </w:rPr>
        <w:t xml:space="preserve">  </w:t>
      </w:r>
      <w:r w:rsidR="00557CBD" w:rsidRPr="00557CBD">
        <w:rPr>
          <w:rFonts w:ascii="Arial" w:hAnsi="Arial" w:cs="Arial"/>
        </w:rPr>
        <w:t xml:space="preserve">McKibbin </w:t>
      </w:r>
      <w:r w:rsidR="00165F6F">
        <w:rPr>
          <w:rFonts w:ascii="Arial" w:hAnsi="Arial" w:cs="Arial"/>
        </w:rPr>
        <w:t xml:space="preserve">et al. (2014) </w:t>
      </w:r>
      <w:r w:rsidR="00557CBD" w:rsidRPr="00557CBD">
        <w:rPr>
          <w:rFonts w:ascii="Arial" w:hAnsi="Arial" w:cs="Arial"/>
        </w:rPr>
        <w:t xml:space="preserve">conducted a study on the potential impact of carbon tax implementation in the United States. They found that it would likely have positive but temporary effects on inflation, based on their model-based </w:t>
      </w:r>
      <w:r w:rsidR="00557CBD" w:rsidRPr="00557CBD">
        <w:rPr>
          <w:rFonts w:ascii="Arial" w:hAnsi="Arial" w:cs="Arial"/>
        </w:rPr>
        <w:lastRenderedPageBreak/>
        <w:t xml:space="preserve">evaluations. A recent study by Konradt and Weder di Mauro </w:t>
      </w:r>
      <w:r w:rsidR="00165F6F">
        <w:rPr>
          <w:rFonts w:ascii="Arial" w:hAnsi="Arial" w:cs="Arial"/>
        </w:rPr>
        <w:t>(2021) l</w:t>
      </w:r>
      <w:r w:rsidR="00557CBD" w:rsidRPr="00557CBD">
        <w:rPr>
          <w:rFonts w:ascii="Arial" w:hAnsi="Arial" w:cs="Arial"/>
        </w:rPr>
        <w:t>ooked at the actual impacts of carbon taxes in Europe and Canada on inflation, and found that they were not inflationary, and may have even been deflationary. They suggest that any inflationary pressures observed were likely limited to the headline component, and did not affect core inflation, which can be explained by the fact that carbon taxes mainly affect the prices of energy and not the prices of other goods and services.</w:t>
      </w:r>
      <w:r w:rsidR="00722E72">
        <w:rPr>
          <w:rFonts w:ascii="Arial" w:hAnsi="Arial" w:cs="Arial"/>
        </w:rPr>
        <w:t xml:space="preserve"> </w:t>
      </w:r>
      <w:r w:rsidR="00557CBD" w:rsidRPr="00557CBD">
        <w:rPr>
          <w:rFonts w:ascii="Arial" w:hAnsi="Arial" w:cs="Arial"/>
        </w:rPr>
        <w:t xml:space="preserve"> In a more recent study focused on the euro area, McKibbin </w:t>
      </w:r>
      <w:r w:rsidR="00557CBD">
        <w:rPr>
          <w:rFonts w:ascii="Arial" w:hAnsi="Arial" w:cs="Arial"/>
        </w:rPr>
        <w:t xml:space="preserve">et </w:t>
      </w:r>
      <w:r w:rsidR="00165F6F">
        <w:rPr>
          <w:rFonts w:ascii="Arial" w:hAnsi="Arial" w:cs="Arial"/>
        </w:rPr>
        <w:t xml:space="preserve">al. (2021) </w:t>
      </w:r>
      <w:r w:rsidR="00557CBD" w:rsidRPr="00557CBD">
        <w:rPr>
          <w:rFonts w:ascii="Arial" w:hAnsi="Arial" w:cs="Arial"/>
        </w:rPr>
        <w:t>found that carbon taxes do have a positive impact on inflation, especially in the first few years after implementation, but the effect fades over the medium to long-term.</w:t>
      </w:r>
      <w:r w:rsidR="00165F6F">
        <w:rPr>
          <w:rFonts w:ascii="Arial" w:hAnsi="Arial" w:cs="Arial"/>
        </w:rPr>
        <w:t xml:space="preserve"> </w:t>
      </w:r>
    </w:p>
    <w:p w14:paraId="17E1102E" w14:textId="332E0A83" w:rsidR="00165F6F" w:rsidRDefault="00194D4D" w:rsidP="00165F6F">
      <w:pPr>
        <w:pStyle w:val="ListParagraph"/>
        <w:jc w:val="both"/>
        <w:rPr>
          <w:rFonts w:ascii="Arial" w:hAnsi="Arial" w:cs="Arial"/>
        </w:rPr>
      </w:pPr>
      <w:r>
        <w:rPr>
          <w:rFonts w:ascii="Arial" w:hAnsi="Arial" w:cs="Arial"/>
        </w:rPr>
        <w:t xml:space="preserve">  </w:t>
      </w:r>
      <w:r w:rsidR="00165F6F" w:rsidRPr="00165F6F">
        <w:rPr>
          <w:rFonts w:ascii="Arial" w:hAnsi="Arial" w:cs="Arial"/>
        </w:rPr>
        <w:t xml:space="preserve">Additionally, carbon taxes are found to have a negative impact on core inflation, further supporting the idea that they affect inflation through changes in relative prices rather than overall price levels. </w:t>
      </w:r>
      <w:proofErr w:type="spellStart"/>
      <w:r w:rsidR="00165F6F" w:rsidRPr="00165F6F">
        <w:rPr>
          <w:rFonts w:ascii="Arial" w:hAnsi="Arial" w:cs="Arial"/>
        </w:rPr>
        <w:t>K</w:t>
      </w:r>
      <w:r w:rsidR="00F058EA">
        <w:rPr>
          <w:rFonts w:ascii="Arial" w:hAnsi="Arial" w:cs="Arial"/>
        </w:rPr>
        <w:t>ä</w:t>
      </w:r>
      <w:r w:rsidR="00165F6F" w:rsidRPr="00165F6F">
        <w:rPr>
          <w:rFonts w:ascii="Arial" w:hAnsi="Arial" w:cs="Arial"/>
        </w:rPr>
        <w:t>nzig</w:t>
      </w:r>
      <w:proofErr w:type="spellEnd"/>
      <w:r w:rsidR="00165F6F" w:rsidRPr="00165F6F">
        <w:rPr>
          <w:rFonts w:ascii="Arial" w:hAnsi="Arial" w:cs="Arial"/>
        </w:rPr>
        <w:t xml:space="preserve"> (2021) used high-frequency data and institutional features of the European carbon market to study the impact of carbon pricing on energy and consumer prices. The results showed that carbon policy shocks accounted for around one third of the variations in energy prices within the EU ETS. In another study by Moessner (2022) </w:t>
      </w:r>
      <w:r>
        <w:rPr>
          <w:rFonts w:ascii="Arial" w:hAnsi="Arial" w:cs="Arial"/>
        </w:rPr>
        <w:t>which</w:t>
      </w:r>
      <w:r w:rsidR="00165F6F" w:rsidRPr="00165F6F">
        <w:rPr>
          <w:rFonts w:ascii="Arial" w:hAnsi="Arial" w:cs="Arial"/>
        </w:rPr>
        <w:t xml:space="preserve"> analyzed the effects of carbon pricing on OECD countries, both carbon taxes and ETS prices were considered. The findings revealed that an increase in ETS prices had an inflationary effect, but only on energy CPI inflation, and this effect faded away within two years. Interestingly, an increase in carbon taxes led to a rise in food CPI inflation only, and did not have any significant effects on other components.</w:t>
      </w:r>
    </w:p>
    <w:p w14:paraId="43DE5D1A" w14:textId="7CD54B62" w:rsidR="00E53BBF" w:rsidRDefault="006F7E95" w:rsidP="00165F6F">
      <w:pPr>
        <w:pStyle w:val="ListParagraph"/>
        <w:jc w:val="both"/>
        <w:rPr>
          <w:rFonts w:ascii="Arial" w:hAnsi="Arial" w:cs="Arial"/>
        </w:rPr>
      </w:pPr>
      <w:r>
        <w:rPr>
          <w:rFonts w:ascii="Arial" w:hAnsi="Arial" w:cs="Arial"/>
        </w:rPr>
        <w:t>However, t</w:t>
      </w:r>
      <w:r w:rsidR="00535F76" w:rsidRPr="00535F76">
        <w:rPr>
          <w:rFonts w:ascii="Arial" w:hAnsi="Arial" w:cs="Arial"/>
        </w:rPr>
        <w:t xml:space="preserve">he impact of carbon pricing on inflation remains uncertain and is a matter of </w:t>
      </w:r>
      <w:r w:rsidR="00194D4D">
        <w:rPr>
          <w:rFonts w:ascii="Arial" w:hAnsi="Arial" w:cs="Arial"/>
        </w:rPr>
        <w:t xml:space="preserve">additional </w:t>
      </w:r>
      <w:r w:rsidR="00535F76" w:rsidRPr="00535F76">
        <w:rPr>
          <w:rFonts w:ascii="Arial" w:hAnsi="Arial" w:cs="Arial"/>
        </w:rPr>
        <w:t xml:space="preserve">empirical investigation, despite </w:t>
      </w:r>
      <w:r w:rsidR="00194D4D">
        <w:rPr>
          <w:rFonts w:ascii="Arial" w:hAnsi="Arial" w:cs="Arial"/>
        </w:rPr>
        <w:t>a growing number of recent</w:t>
      </w:r>
      <w:r w:rsidR="00535F76" w:rsidRPr="00535F76">
        <w:rPr>
          <w:rFonts w:ascii="Arial" w:hAnsi="Arial" w:cs="Arial"/>
        </w:rPr>
        <w:t xml:space="preserve"> studies conducted on the subject. Existing research on the effects of climate change and climate policies on macroeconomic variables has primarily centered on their impact on </w:t>
      </w:r>
      <w:r>
        <w:rPr>
          <w:rFonts w:ascii="Arial" w:hAnsi="Arial" w:cs="Arial"/>
        </w:rPr>
        <w:t>output and unemployment Metcalf and Stock (2020a) and Metcalf and Stock (2020b)</w:t>
      </w:r>
    </w:p>
    <w:p w14:paraId="6CC320AC" w14:textId="61E9A557" w:rsidR="00194D4D" w:rsidRPr="003A6441" w:rsidRDefault="00194D4D" w:rsidP="003A6441">
      <w:pPr>
        <w:pStyle w:val="ListParagraph"/>
        <w:jc w:val="both"/>
        <w:rPr>
          <w:rFonts w:ascii="Arial" w:hAnsi="Arial" w:cs="Arial"/>
        </w:rPr>
      </w:pPr>
      <w:r>
        <w:rPr>
          <w:rFonts w:ascii="Arial" w:hAnsi="Arial" w:cs="Arial"/>
        </w:rPr>
        <w:t xml:space="preserve">  </w:t>
      </w:r>
      <w:r w:rsidR="00827EA6" w:rsidRPr="003A6441">
        <w:rPr>
          <w:rFonts w:ascii="Arial" w:hAnsi="Arial" w:cs="Arial"/>
        </w:rPr>
        <w:t>In a nutshell, this thesis makes a contribution to the existing literature by conducting an ex-post empirical analysis of the impact of both carbon taxes and prices of EU ETS on consumer price inflation, as well as its subcomponents of food, energy, and core</w:t>
      </w:r>
      <w:r w:rsidR="00CC0533" w:rsidRPr="003A6441">
        <w:rPr>
          <w:rFonts w:ascii="Arial" w:hAnsi="Arial" w:cs="Arial"/>
        </w:rPr>
        <w:t xml:space="preserve"> inflation</w:t>
      </w:r>
      <w:r w:rsidR="00827EA6" w:rsidRPr="003A6441">
        <w:rPr>
          <w:rFonts w:ascii="Arial" w:hAnsi="Arial" w:cs="Arial"/>
        </w:rPr>
        <w:t xml:space="preserve">, using a broad sample of </w:t>
      </w:r>
      <w:r w:rsidRPr="003A6441">
        <w:rPr>
          <w:rFonts w:ascii="Arial" w:hAnsi="Arial" w:cs="Arial"/>
        </w:rPr>
        <w:t xml:space="preserve">EU </w:t>
      </w:r>
      <w:r w:rsidR="00827EA6" w:rsidRPr="003A6441">
        <w:rPr>
          <w:rFonts w:ascii="Arial" w:hAnsi="Arial" w:cs="Arial"/>
        </w:rPr>
        <w:t>OECD countries. The approach differs from that of Konradt and Weder di Mauro (2021) and McKibbin et al. (2021), who only focus on carbon taxes, as I also include carbon EU</w:t>
      </w:r>
      <w:r w:rsidR="00CC0533" w:rsidRPr="003A6441">
        <w:rPr>
          <w:rFonts w:ascii="Arial" w:hAnsi="Arial" w:cs="Arial"/>
        </w:rPr>
        <w:t xml:space="preserve"> </w:t>
      </w:r>
      <w:r w:rsidR="00827EA6" w:rsidRPr="003A6441">
        <w:rPr>
          <w:rFonts w:ascii="Arial" w:hAnsi="Arial" w:cs="Arial"/>
        </w:rPr>
        <w:t xml:space="preserve">ETS </w:t>
      </w:r>
      <w:r w:rsidR="00CC0533" w:rsidRPr="003A6441">
        <w:rPr>
          <w:rFonts w:ascii="Arial" w:hAnsi="Arial" w:cs="Arial"/>
        </w:rPr>
        <w:t>system</w:t>
      </w:r>
      <w:r w:rsidR="00827EA6" w:rsidRPr="003A6441">
        <w:rPr>
          <w:rFonts w:ascii="Arial" w:hAnsi="Arial" w:cs="Arial"/>
        </w:rPr>
        <w:t xml:space="preserve">. Additionally, unlike </w:t>
      </w:r>
      <w:proofErr w:type="spellStart"/>
      <w:r w:rsidR="00827EA6" w:rsidRPr="003A6441">
        <w:rPr>
          <w:rFonts w:ascii="Arial" w:hAnsi="Arial" w:cs="Arial"/>
        </w:rPr>
        <w:t>Känzig</w:t>
      </w:r>
      <w:proofErr w:type="spellEnd"/>
      <w:r w:rsidR="00827EA6" w:rsidRPr="003A6441">
        <w:rPr>
          <w:rFonts w:ascii="Arial" w:hAnsi="Arial" w:cs="Arial"/>
        </w:rPr>
        <w:t xml:space="preserve"> (2021), who only examines surprises in ETS prices, I also consider carbon taxes.</w:t>
      </w:r>
      <w:r w:rsidR="00092690" w:rsidRPr="003A6441">
        <w:rPr>
          <w:rFonts w:ascii="Arial" w:hAnsi="Arial" w:cs="Arial"/>
        </w:rPr>
        <w:t xml:space="preserve"> With respect to the</w:t>
      </w:r>
      <w:r w:rsidR="00827EA6" w:rsidRPr="003A6441">
        <w:rPr>
          <w:rFonts w:ascii="Arial" w:hAnsi="Arial" w:cs="Arial"/>
        </w:rPr>
        <w:t xml:space="preserve"> empirical specifications for</w:t>
      </w:r>
      <w:r w:rsidR="00D2521D">
        <w:rPr>
          <w:rFonts w:ascii="Arial" w:hAnsi="Arial" w:cs="Arial"/>
        </w:rPr>
        <w:t xml:space="preserve"> </w:t>
      </w:r>
      <w:r w:rsidR="00827EA6" w:rsidRPr="003A6441">
        <w:rPr>
          <w:rFonts w:ascii="Arial" w:hAnsi="Arial" w:cs="Arial"/>
        </w:rPr>
        <w:t>inflation</w:t>
      </w:r>
      <w:r w:rsidR="008C4226">
        <w:rPr>
          <w:rFonts w:ascii="Arial" w:hAnsi="Arial" w:cs="Arial"/>
        </w:rPr>
        <w:t xml:space="preserve">, </w:t>
      </w:r>
      <w:r w:rsidR="00827EA6" w:rsidRPr="003A6441">
        <w:rPr>
          <w:rFonts w:ascii="Arial" w:hAnsi="Arial" w:cs="Arial"/>
        </w:rPr>
        <w:t>which incorporate carbon taxes, lagged inflation</w:t>
      </w:r>
      <w:r w:rsidR="00764081">
        <w:rPr>
          <w:rFonts w:ascii="Arial" w:hAnsi="Arial" w:cs="Arial"/>
        </w:rPr>
        <w:t>,</w:t>
      </w:r>
      <w:r w:rsidR="00FA3B71">
        <w:rPr>
          <w:rFonts w:ascii="Arial" w:hAnsi="Arial" w:cs="Arial"/>
        </w:rPr>
        <w:t xml:space="preserve"> </w:t>
      </w:r>
      <w:r w:rsidR="00827EA6" w:rsidRPr="003A6441">
        <w:rPr>
          <w:rFonts w:ascii="Arial" w:hAnsi="Arial" w:cs="Arial"/>
        </w:rPr>
        <w:t>fixed effects</w:t>
      </w:r>
      <w:r w:rsidR="00092690" w:rsidRPr="003A6441">
        <w:rPr>
          <w:rFonts w:ascii="Arial" w:hAnsi="Arial" w:cs="Arial"/>
        </w:rPr>
        <w:t xml:space="preserve">, </w:t>
      </w:r>
      <w:r w:rsidR="00827EA6" w:rsidRPr="003A6441">
        <w:rPr>
          <w:rFonts w:ascii="Arial" w:hAnsi="Arial" w:cs="Arial"/>
        </w:rPr>
        <w:t>I add</w:t>
      </w:r>
      <w:r w:rsidR="00820179" w:rsidRPr="003A6441">
        <w:rPr>
          <w:rFonts w:ascii="Arial" w:hAnsi="Arial" w:cs="Arial"/>
        </w:rPr>
        <w:t>ed</w:t>
      </w:r>
      <w:r w:rsidR="00827EA6" w:rsidRPr="003A6441">
        <w:rPr>
          <w:rFonts w:ascii="Arial" w:hAnsi="Arial" w:cs="Arial"/>
        </w:rPr>
        <w:t xml:space="preserve"> </w:t>
      </w:r>
      <w:r w:rsidR="00F91A19" w:rsidRPr="003A6441">
        <w:rPr>
          <w:rFonts w:ascii="Arial" w:hAnsi="Arial" w:cs="Arial"/>
        </w:rPr>
        <w:t xml:space="preserve">the </w:t>
      </w:r>
      <w:r w:rsidR="00827EA6" w:rsidRPr="003A6441">
        <w:rPr>
          <w:rFonts w:ascii="Arial" w:hAnsi="Arial" w:cs="Arial"/>
        </w:rPr>
        <w:t>EU ETS</w:t>
      </w:r>
      <w:r w:rsidR="00F91A19" w:rsidRPr="003A6441">
        <w:rPr>
          <w:rFonts w:ascii="Arial" w:hAnsi="Arial" w:cs="Arial"/>
        </w:rPr>
        <w:t>, Switzerland ETS</w:t>
      </w:r>
      <w:r w:rsidR="00017042">
        <w:rPr>
          <w:rFonts w:ascii="Arial" w:hAnsi="Arial" w:cs="Arial"/>
        </w:rPr>
        <w:t xml:space="preserve">, </w:t>
      </w:r>
      <w:r w:rsidR="00E67E6F" w:rsidRPr="003A6441">
        <w:rPr>
          <w:rFonts w:ascii="Arial" w:hAnsi="Arial" w:cs="Arial"/>
        </w:rPr>
        <w:t>the Ca</w:t>
      </w:r>
      <w:r w:rsidR="00AC71C6" w:rsidRPr="003A6441">
        <w:rPr>
          <w:rFonts w:ascii="Arial" w:hAnsi="Arial" w:cs="Arial"/>
        </w:rPr>
        <w:t>lifornia Cap-and-</w:t>
      </w:r>
      <w:r w:rsidR="00E67E6F" w:rsidRPr="003A6441">
        <w:rPr>
          <w:rFonts w:ascii="Arial" w:hAnsi="Arial" w:cs="Arial"/>
        </w:rPr>
        <w:t>T</w:t>
      </w:r>
      <w:r w:rsidR="00AC71C6" w:rsidRPr="003A6441">
        <w:rPr>
          <w:rFonts w:ascii="Arial" w:hAnsi="Arial" w:cs="Arial"/>
        </w:rPr>
        <w:t>rade program</w:t>
      </w:r>
      <w:r w:rsidR="00017042" w:rsidRPr="003A6441">
        <w:rPr>
          <w:rFonts w:ascii="Arial" w:hAnsi="Arial" w:cs="Arial"/>
        </w:rPr>
        <w:t xml:space="preserve">, </w:t>
      </w:r>
      <w:r w:rsidR="00017042">
        <w:rPr>
          <w:rFonts w:ascii="Arial" w:hAnsi="Arial" w:cs="Arial"/>
        </w:rPr>
        <w:t>brent oil price</w:t>
      </w:r>
      <w:r w:rsidR="008C73CD">
        <w:rPr>
          <w:rFonts w:ascii="Arial" w:hAnsi="Arial" w:cs="Arial"/>
        </w:rPr>
        <w:t xml:space="preserve">, inflation </w:t>
      </w:r>
      <w:proofErr w:type="spellStart"/>
      <w:r w:rsidR="008C73CD">
        <w:rPr>
          <w:rFonts w:ascii="Arial" w:hAnsi="Arial" w:cs="Arial"/>
        </w:rPr>
        <w:t>expecations</w:t>
      </w:r>
      <w:proofErr w:type="spellEnd"/>
      <w:r w:rsidR="00017042">
        <w:rPr>
          <w:rFonts w:ascii="Arial" w:hAnsi="Arial" w:cs="Arial"/>
        </w:rPr>
        <w:t xml:space="preserve"> and policy interest rates </w:t>
      </w:r>
      <w:r w:rsidR="00E442B1">
        <w:rPr>
          <w:rFonts w:ascii="Arial" w:hAnsi="Arial" w:cs="Arial"/>
        </w:rPr>
        <w:t>(</w:t>
      </w:r>
      <w:r w:rsidR="00E442B1" w:rsidRPr="003A6441">
        <w:rPr>
          <w:rFonts w:ascii="Arial" w:hAnsi="Arial" w:cs="Arial"/>
        </w:rPr>
        <w:t>Konradt and Weder di Mauro</w:t>
      </w:r>
      <w:r w:rsidR="00E442B1">
        <w:rPr>
          <w:rFonts w:ascii="Arial" w:hAnsi="Arial" w:cs="Arial"/>
        </w:rPr>
        <w:t xml:space="preserve">, </w:t>
      </w:r>
      <w:r w:rsidR="00E442B1" w:rsidRPr="003A6441">
        <w:rPr>
          <w:rFonts w:ascii="Arial" w:hAnsi="Arial" w:cs="Arial"/>
        </w:rPr>
        <w:t>2021</w:t>
      </w:r>
      <w:r w:rsidR="00866388">
        <w:rPr>
          <w:rFonts w:ascii="Arial" w:hAnsi="Arial" w:cs="Arial"/>
        </w:rPr>
        <w:t xml:space="preserve">; </w:t>
      </w:r>
      <w:r w:rsidR="00E442B1" w:rsidRPr="003A6441">
        <w:rPr>
          <w:rFonts w:ascii="Arial" w:hAnsi="Arial" w:cs="Arial"/>
        </w:rPr>
        <w:t>McKibbin et al.</w:t>
      </w:r>
      <w:r w:rsidR="00E442B1">
        <w:rPr>
          <w:rFonts w:ascii="Arial" w:hAnsi="Arial" w:cs="Arial"/>
        </w:rPr>
        <w:t xml:space="preserve">, </w:t>
      </w:r>
      <w:r w:rsidR="00E442B1" w:rsidRPr="003A6441">
        <w:rPr>
          <w:rFonts w:ascii="Arial" w:hAnsi="Arial" w:cs="Arial"/>
        </w:rPr>
        <w:t>2021)</w:t>
      </w:r>
      <w:r w:rsidR="00827EA6" w:rsidRPr="003A6441">
        <w:rPr>
          <w:rFonts w:ascii="Arial" w:hAnsi="Arial" w:cs="Arial"/>
        </w:rPr>
        <w:t xml:space="preserve">. Furthermore, in terms of coverage the analysis encompasses a range of countries limited to </w:t>
      </w:r>
      <w:r w:rsidR="00161AB0" w:rsidRPr="003A6441">
        <w:rPr>
          <w:rFonts w:ascii="Arial" w:hAnsi="Arial" w:cs="Arial"/>
        </w:rPr>
        <w:t xml:space="preserve">major </w:t>
      </w:r>
      <w:r w:rsidRPr="003A6441">
        <w:rPr>
          <w:rFonts w:ascii="Arial" w:hAnsi="Arial" w:cs="Arial"/>
        </w:rPr>
        <w:t xml:space="preserve">EU </w:t>
      </w:r>
      <w:r w:rsidR="00161AB0" w:rsidRPr="003A6441">
        <w:rPr>
          <w:rFonts w:ascii="Arial" w:hAnsi="Arial" w:cs="Arial"/>
        </w:rPr>
        <w:t xml:space="preserve">OECD </w:t>
      </w:r>
      <w:r w:rsidR="00827EA6" w:rsidRPr="003A6441">
        <w:rPr>
          <w:rFonts w:ascii="Arial" w:hAnsi="Arial" w:cs="Arial"/>
        </w:rPr>
        <w:t xml:space="preserve">countries </w:t>
      </w:r>
      <w:r w:rsidR="00161AB0" w:rsidRPr="003A6441">
        <w:rPr>
          <w:rFonts w:ascii="Arial" w:hAnsi="Arial" w:cs="Arial"/>
        </w:rPr>
        <w:t xml:space="preserve">differently from </w:t>
      </w:r>
      <w:r w:rsidR="00827EA6" w:rsidRPr="003A6441">
        <w:rPr>
          <w:rFonts w:ascii="Arial" w:hAnsi="Arial" w:cs="Arial"/>
        </w:rPr>
        <w:t>Konradt and Weder di Mauro (2021)</w:t>
      </w:r>
      <w:r w:rsidR="00161AB0" w:rsidRPr="003A6441">
        <w:rPr>
          <w:rFonts w:ascii="Arial" w:hAnsi="Arial" w:cs="Arial"/>
        </w:rPr>
        <w:t xml:space="preserve"> that only considers Europe and Canada</w:t>
      </w:r>
      <w:r w:rsidR="00827EA6" w:rsidRPr="003A6441">
        <w:rPr>
          <w:rFonts w:ascii="Arial" w:hAnsi="Arial" w:cs="Arial"/>
        </w:rPr>
        <w:t>.</w:t>
      </w:r>
      <w:r w:rsidR="00891B86" w:rsidRPr="003A6441">
        <w:rPr>
          <w:rFonts w:ascii="Arial" w:hAnsi="Arial" w:cs="Arial"/>
        </w:rPr>
        <w:t xml:space="preserve"> However, </w:t>
      </w:r>
      <w:r w:rsidR="00092690" w:rsidRPr="003A6441">
        <w:rPr>
          <w:rFonts w:ascii="Arial" w:hAnsi="Arial" w:cs="Arial"/>
        </w:rPr>
        <w:t>this</w:t>
      </w:r>
      <w:r w:rsidR="00891B86" w:rsidRPr="003A6441">
        <w:rPr>
          <w:rFonts w:ascii="Arial" w:hAnsi="Arial" w:cs="Arial"/>
        </w:rPr>
        <w:t xml:space="preserve"> is trivial since Euro area inflation has been very strongly correlated with inflation in the countries of the </w:t>
      </w:r>
      <w:proofErr w:type="spellStart"/>
      <w:r w:rsidR="00891B86" w:rsidRPr="003A6441">
        <w:rPr>
          <w:rFonts w:ascii="Arial" w:hAnsi="Arial" w:cs="Arial"/>
        </w:rPr>
        <w:t>Organisation</w:t>
      </w:r>
      <w:proofErr w:type="spellEnd"/>
      <w:r w:rsidR="00891B86" w:rsidRPr="003A6441">
        <w:rPr>
          <w:rFonts w:ascii="Arial" w:hAnsi="Arial" w:cs="Arial"/>
        </w:rPr>
        <w:t xml:space="preserve"> for Economic Co-operation and Development (OECD) with two exceptions: from 1999 to 2002,</w:t>
      </w:r>
      <w:r w:rsidR="00092690" w:rsidRPr="003A6441">
        <w:rPr>
          <w:rFonts w:ascii="Arial" w:hAnsi="Arial" w:cs="Arial"/>
        </w:rPr>
        <w:t xml:space="preserve"> </w:t>
      </w:r>
      <w:r w:rsidR="00891B86" w:rsidRPr="003A6441">
        <w:rPr>
          <w:rFonts w:ascii="Arial" w:hAnsi="Arial" w:cs="Arial"/>
        </w:rPr>
        <w:t>when there was a period of low inflation following the introduction of the euro; and, to a lesser extent, between 2014 and 2015, ECB Bulletin (2017)</w:t>
      </w:r>
    </w:p>
    <w:p w14:paraId="32867807" w14:textId="6BCA81FD" w:rsidR="00820179" w:rsidRDefault="00194D4D" w:rsidP="00827EA6">
      <w:pPr>
        <w:pStyle w:val="ListParagraph"/>
        <w:jc w:val="both"/>
        <w:rPr>
          <w:rFonts w:ascii="Arial" w:hAnsi="Arial" w:cs="Arial"/>
        </w:rPr>
      </w:pPr>
      <w:r>
        <w:rPr>
          <w:rFonts w:ascii="Arial" w:hAnsi="Arial" w:cs="Arial"/>
        </w:rPr>
        <w:lastRenderedPageBreak/>
        <w:t xml:space="preserve">  </w:t>
      </w:r>
      <w:r w:rsidR="00820179">
        <w:rPr>
          <w:rFonts w:ascii="Arial" w:hAnsi="Arial" w:cs="Arial"/>
        </w:rPr>
        <w:t xml:space="preserve">The </w:t>
      </w:r>
      <w:r w:rsidR="00132983">
        <w:rPr>
          <w:rFonts w:ascii="Arial" w:hAnsi="Arial" w:cs="Arial"/>
        </w:rPr>
        <w:t>rationale</w:t>
      </w:r>
      <w:r w:rsidR="00820179">
        <w:rPr>
          <w:rFonts w:ascii="Arial" w:hAnsi="Arial" w:cs="Arial"/>
        </w:rPr>
        <w:t xml:space="preserve"> behind </w:t>
      </w:r>
      <w:r w:rsidR="00132983">
        <w:rPr>
          <w:rFonts w:ascii="Arial" w:hAnsi="Arial" w:cs="Arial"/>
        </w:rPr>
        <w:t>selecting</w:t>
      </w:r>
      <w:r w:rsidR="00820179">
        <w:rPr>
          <w:rFonts w:ascii="Arial" w:hAnsi="Arial" w:cs="Arial"/>
        </w:rPr>
        <w:t xml:space="preserve"> both carbon pricing schemes for the </w:t>
      </w:r>
      <w:r w:rsidR="00751E89">
        <w:rPr>
          <w:rFonts w:ascii="Arial" w:hAnsi="Arial" w:cs="Arial"/>
        </w:rPr>
        <w:t>research</w:t>
      </w:r>
      <w:r w:rsidR="00820179">
        <w:rPr>
          <w:rFonts w:ascii="Arial" w:hAnsi="Arial" w:cs="Arial"/>
        </w:rPr>
        <w:t xml:space="preserve"> is to show which of the two has the greatest </w:t>
      </w:r>
      <w:r w:rsidR="00132983">
        <w:rPr>
          <w:rFonts w:ascii="Arial" w:hAnsi="Arial" w:cs="Arial"/>
        </w:rPr>
        <w:t>impact</w:t>
      </w:r>
      <w:r w:rsidR="00820179">
        <w:rPr>
          <w:rFonts w:ascii="Arial" w:hAnsi="Arial" w:cs="Arial"/>
        </w:rPr>
        <w:t xml:space="preserve"> on inflation and its subcomponents, and therefore pointing out to policymakers the best approach to follow in order to align with the central bank’s utmost objective of price stability</w:t>
      </w:r>
      <w:r w:rsidR="00751E89">
        <w:rPr>
          <w:rFonts w:ascii="Arial" w:hAnsi="Arial" w:cs="Arial"/>
        </w:rPr>
        <w:t xml:space="preserve"> </w:t>
      </w:r>
      <w:r w:rsidR="00751E89" w:rsidRPr="00751E89">
        <w:rPr>
          <w:rFonts w:ascii="Arial" w:hAnsi="Arial" w:cs="Arial"/>
        </w:rPr>
        <w:t>Alex Cukierman</w:t>
      </w:r>
      <w:r w:rsidR="00751E89">
        <w:rPr>
          <w:rFonts w:ascii="Arial" w:hAnsi="Arial" w:cs="Arial"/>
        </w:rPr>
        <w:t xml:space="preserve"> (1994)</w:t>
      </w:r>
      <w:r w:rsidR="00F91A19">
        <w:rPr>
          <w:rFonts w:ascii="Arial" w:hAnsi="Arial" w:cs="Arial"/>
        </w:rPr>
        <w:t xml:space="preserve">, </w:t>
      </w:r>
      <w:r w:rsidR="00751E89">
        <w:rPr>
          <w:rFonts w:ascii="Arial" w:hAnsi="Arial" w:cs="Arial"/>
        </w:rPr>
        <w:t>allowing this thesis to bridge a</w:t>
      </w:r>
      <w:r w:rsidR="00F91A19">
        <w:rPr>
          <w:rFonts w:ascii="Arial" w:hAnsi="Arial" w:cs="Arial"/>
        </w:rPr>
        <w:t xml:space="preserve"> significant </w:t>
      </w:r>
      <w:r w:rsidR="00751E89">
        <w:rPr>
          <w:rFonts w:ascii="Arial" w:hAnsi="Arial" w:cs="Arial"/>
        </w:rPr>
        <w:t>gap from the relevant literature</w:t>
      </w:r>
    </w:p>
    <w:p w14:paraId="11BFE9F2" w14:textId="0C8DAFEC" w:rsidR="00EA6750" w:rsidRDefault="00194D4D" w:rsidP="00EA6750">
      <w:pPr>
        <w:pStyle w:val="ListParagraph"/>
        <w:jc w:val="both"/>
        <w:rPr>
          <w:rFonts w:ascii="Arial" w:hAnsi="Arial" w:cs="Arial"/>
        </w:rPr>
      </w:pPr>
      <w:r>
        <w:rPr>
          <w:rFonts w:ascii="Arial" w:hAnsi="Arial" w:cs="Arial"/>
        </w:rPr>
        <w:t xml:space="preserve">  Concerning the control variables, the literature has </w:t>
      </w:r>
      <w:r w:rsidR="00DA7250">
        <w:rPr>
          <w:rFonts w:ascii="Arial" w:hAnsi="Arial" w:cs="Arial"/>
        </w:rPr>
        <w:t>localized multiple domestic and global factors as affecting inflation</w:t>
      </w:r>
      <w:r w:rsidR="00F91A19">
        <w:rPr>
          <w:rFonts w:ascii="Arial" w:hAnsi="Arial" w:cs="Arial"/>
        </w:rPr>
        <w:t xml:space="preserve"> </w:t>
      </w:r>
      <w:r w:rsidR="00F91A19" w:rsidRPr="00F91A19">
        <w:rPr>
          <w:rFonts w:ascii="Arial" w:hAnsi="Arial" w:cs="Arial"/>
        </w:rPr>
        <w:t>Borio</w:t>
      </w:r>
      <w:r w:rsidR="00F91A19">
        <w:rPr>
          <w:rFonts w:ascii="Arial" w:hAnsi="Arial" w:cs="Arial"/>
        </w:rPr>
        <w:t xml:space="preserve"> and</w:t>
      </w:r>
      <w:r w:rsidR="00F649DC">
        <w:rPr>
          <w:rFonts w:ascii="Arial" w:hAnsi="Arial" w:cs="Arial"/>
        </w:rPr>
        <w:t xml:space="preserve"> Filardo </w:t>
      </w:r>
      <w:r w:rsidR="00F91A19" w:rsidRPr="00F91A19">
        <w:rPr>
          <w:rFonts w:ascii="Arial" w:hAnsi="Arial" w:cs="Arial"/>
        </w:rPr>
        <w:t>(2007)</w:t>
      </w:r>
      <w:r w:rsidR="00DA7250">
        <w:rPr>
          <w:rFonts w:ascii="Arial" w:hAnsi="Arial" w:cs="Arial"/>
        </w:rPr>
        <w:t>. First, in relation to the domestic factors, the wages</w:t>
      </w:r>
      <w:r w:rsidR="00B1751F">
        <w:rPr>
          <w:rFonts w:ascii="Arial" w:hAnsi="Arial" w:cs="Arial"/>
        </w:rPr>
        <w:t>, inflation expectations and producer prices among others. For instance, the pass-through occur</w:t>
      </w:r>
      <w:r w:rsidR="00DB28A8">
        <w:rPr>
          <w:rFonts w:ascii="Arial" w:hAnsi="Arial" w:cs="Arial"/>
        </w:rPr>
        <w:t>r</w:t>
      </w:r>
      <w:r w:rsidR="00B1751F">
        <w:rPr>
          <w:rFonts w:ascii="Arial" w:hAnsi="Arial" w:cs="Arial"/>
        </w:rPr>
        <w:t xml:space="preserve">ing when </w:t>
      </w:r>
      <w:r w:rsidR="00B1751F" w:rsidRPr="00B1751F">
        <w:rPr>
          <w:rFonts w:ascii="Arial" w:hAnsi="Arial" w:cs="Arial"/>
        </w:rPr>
        <w:t>wages increase more strongly than productivity, they</w:t>
      </w:r>
      <w:r w:rsidR="00B1751F">
        <w:rPr>
          <w:rFonts w:ascii="Arial" w:hAnsi="Arial" w:cs="Arial"/>
        </w:rPr>
        <w:t xml:space="preserve"> </w:t>
      </w:r>
      <w:r w:rsidR="00B1751F" w:rsidRPr="00B1751F">
        <w:rPr>
          <w:rFonts w:ascii="Arial" w:hAnsi="Arial" w:cs="Arial"/>
        </w:rPr>
        <w:t xml:space="preserve">push up unit </w:t>
      </w:r>
      <w:proofErr w:type="spellStart"/>
      <w:r w:rsidR="00B1751F" w:rsidRPr="00B1751F">
        <w:rPr>
          <w:rFonts w:ascii="Arial" w:hAnsi="Arial" w:cs="Arial"/>
        </w:rPr>
        <w:t>labour</w:t>
      </w:r>
      <w:proofErr w:type="spellEnd"/>
      <w:r w:rsidR="00B1751F" w:rsidRPr="00B1751F">
        <w:rPr>
          <w:rFonts w:ascii="Arial" w:hAnsi="Arial" w:cs="Arial"/>
        </w:rPr>
        <w:t xml:space="preserve"> costs and thereby increase cost pressures for firms, which may</w:t>
      </w:r>
      <w:r w:rsidR="00B1751F">
        <w:rPr>
          <w:rFonts w:ascii="Arial" w:hAnsi="Arial" w:cs="Arial"/>
        </w:rPr>
        <w:t xml:space="preserve"> t</w:t>
      </w:r>
      <w:r w:rsidR="00B1751F" w:rsidRPr="00B1751F">
        <w:rPr>
          <w:rFonts w:ascii="Arial" w:hAnsi="Arial" w:cs="Arial"/>
        </w:rPr>
        <w:t>hen feed through to producer prices and, ultimately, consumer prices, ECB Economic Bulletin (2017).</w:t>
      </w:r>
      <w:r w:rsidR="00891B86">
        <w:rPr>
          <w:rFonts w:ascii="Arial" w:hAnsi="Arial" w:cs="Arial"/>
        </w:rPr>
        <w:t xml:space="preserve"> Second, with respect to global factors, the n</w:t>
      </w:r>
      <w:r w:rsidR="00891B86" w:rsidRPr="00891B86">
        <w:rPr>
          <w:rFonts w:ascii="Arial" w:hAnsi="Arial" w:cs="Arial"/>
        </w:rPr>
        <w:t xml:space="preserve">ominal effective exchange rate indices (broad indices, annual averages) </w:t>
      </w:r>
      <w:r w:rsidR="00633625">
        <w:rPr>
          <w:rFonts w:ascii="Arial" w:hAnsi="Arial" w:cs="Arial"/>
        </w:rPr>
        <w:t>has been selected</w:t>
      </w:r>
      <w:r w:rsidR="00891B86" w:rsidRPr="00891B86">
        <w:rPr>
          <w:rFonts w:ascii="Arial" w:hAnsi="Arial" w:cs="Arial"/>
        </w:rPr>
        <w:t>, with an increase indicating an appreciation of the domestic currency</w:t>
      </w:r>
      <w:r w:rsidR="00891B86">
        <w:rPr>
          <w:rFonts w:ascii="Arial" w:hAnsi="Arial" w:cs="Arial"/>
        </w:rPr>
        <w:t xml:space="preserve">. </w:t>
      </w:r>
      <w:r w:rsidR="00633625">
        <w:rPr>
          <w:rFonts w:ascii="Arial" w:hAnsi="Arial" w:cs="Arial"/>
        </w:rPr>
        <w:t xml:space="preserve">In addition to this, global driver of inflation is commodity price, therefore I opt for </w:t>
      </w:r>
      <w:r w:rsidR="00633625" w:rsidRPr="00633625">
        <w:rPr>
          <w:rFonts w:ascii="Arial" w:hAnsi="Arial" w:cs="Arial"/>
        </w:rPr>
        <w:t>Brent oil prices (annual averages, US dollar per barrel)</w:t>
      </w:r>
      <w:r w:rsidR="00633625">
        <w:rPr>
          <w:rFonts w:ascii="Arial" w:hAnsi="Arial" w:cs="Arial"/>
        </w:rPr>
        <w:t xml:space="preserve"> as a proxy. </w:t>
      </w:r>
      <w:r w:rsidR="00F91A19">
        <w:rPr>
          <w:rFonts w:ascii="Arial" w:hAnsi="Arial" w:cs="Arial"/>
        </w:rPr>
        <w:t>Conclusively</w:t>
      </w:r>
      <w:r w:rsidR="00633625" w:rsidRPr="00633625">
        <w:rPr>
          <w:rFonts w:ascii="Arial" w:hAnsi="Arial" w:cs="Arial"/>
        </w:rPr>
        <w:t xml:space="preserve">, a subset of the literature has established that global factors, and in particular international commodity prices, increasingly explain inflation dynamics rather than domestic circumstances. </w:t>
      </w:r>
      <w:r w:rsidR="00633625">
        <w:rPr>
          <w:rFonts w:ascii="Arial" w:hAnsi="Arial" w:cs="Arial"/>
        </w:rPr>
        <w:t>(</w:t>
      </w:r>
      <w:r w:rsidR="00633625" w:rsidRPr="00633625">
        <w:rPr>
          <w:rFonts w:ascii="Arial" w:hAnsi="Arial" w:cs="Arial"/>
        </w:rPr>
        <w:t>Fer</w:t>
      </w:r>
      <w:r w:rsidR="00633625">
        <w:rPr>
          <w:rFonts w:ascii="Arial" w:hAnsi="Arial" w:cs="Arial"/>
        </w:rPr>
        <w:t>na</w:t>
      </w:r>
      <w:r w:rsidR="00633625" w:rsidRPr="00633625">
        <w:rPr>
          <w:rFonts w:ascii="Arial" w:hAnsi="Arial" w:cs="Arial"/>
        </w:rPr>
        <w:t>ndez et al., 2017; Parker, 2018; Kamber and</w:t>
      </w:r>
      <w:r w:rsidR="00633625">
        <w:rPr>
          <w:rFonts w:ascii="Arial" w:hAnsi="Arial" w:cs="Arial"/>
        </w:rPr>
        <w:t xml:space="preserve"> </w:t>
      </w:r>
      <w:r w:rsidR="00633625" w:rsidRPr="00633625">
        <w:rPr>
          <w:rFonts w:ascii="Arial" w:hAnsi="Arial" w:cs="Arial"/>
        </w:rPr>
        <w:t>Wong, 2020).</w:t>
      </w:r>
    </w:p>
    <w:p w14:paraId="4345D003" w14:textId="62D983D4" w:rsidR="00E53BBF" w:rsidRPr="00281711" w:rsidRDefault="00281711" w:rsidP="00EA6750">
      <w:pPr>
        <w:pStyle w:val="ListParagraph"/>
        <w:jc w:val="both"/>
        <w:rPr>
          <w:rFonts w:ascii="Arial" w:hAnsi="Arial" w:cs="Arial"/>
          <w:b/>
          <w:bCs/>
        </w:rPr>
      </w:pPr>
      <w:r w:rsidRPr="00281711">
        <w:rPr>
          <w:rFonts w:ascii="Arial" w:hAnsi="Arial" w:cs="Arial"/>
          <w:b/>
          <w:bCs/>
        </w:rPr>
        <w:t xml:space="preserve">Theoretical Background </w:t>
      </w:r>
    </w:p>
    <w:p w14:paraId="131FC89E" w14:textId="54AF20A8" w:rsidR="00412F30" w:rsidRDefault="005D7DB4" w:rsidP="003B1767">
      <w:pPr>
        <w:pStyle w:val="ListParagraph"/>
        <w:jc w:val="both"/>
        <w:rPr>
          <w:rFonts w:ascii="Arial" w:hAnsi="Arial" w:cs="Arial"/>
        </w:rPr>
      </w:pPr>
      <w:r>
        <w:rPr>
          <w:rFonts w:ascii="Arial" w:hAnsi="Arial" w:cs="Arial"/>
        </w:rPr>
        <w:t xml:space="preserve">This sub-subsection is dedicated to further </w:t>
      </w:r>
      <w:r w:rsidR="008447A0">
        <w:rPr>
          <w:rFonts w:ascii="Arial" w:hAnsi="Arial" w:cs="Arial"/>
        </w:rPr>
        <w:t>examine</w:t>
      </w:r>
      <w:r>
        <w:rPr>
          <w:rFonts w:ascii="Arial" w:hAnsi="Arial" w:cs="Arial"/>
        </w:rPr>
        <w:t xml:space="preserve"> the current climate policies implemented across major emitting countries</w:t>
      </w:r>
      <w:r w:rsidR="008447A0">
        <w:rPr>
          <w:rFonts w:ascii="Arial" w:hAnsi="Arial" w:cs="Arial"/>
        </w:rPr>
        <w:t xml:space="preserve"> e.g. China, the EU, India</w:t>
      </w:r>
      <w:r w:rsidR="003D018E">
        <w:rPr>
          <w:rFonts w:ascii="Arial" w:hAnsi="Arial" w:cs="Arial"/>
        </w:rPr>
        <w:t>, Russia and</w:t>
      </w:r>
      <w:r w:rsidR="008447A0">
        <w:rPr>
          <w:rFonts w:ascii="Arial" w:hAnsi="Arial" w:cs="Arial"/>
        </w:rPr>
        <w:t xml:space="preserve"> the U.S.</w:t>
      </w:r>
      <w:r>
        <w:rPr>
          <w:rFonts w:ascii="Arial" w:hAnsi="Arial" w:cs="Arial"/>
        </w:rPr>
        <w:t xml:space="preserve">, </w:t>
      </w:r>
      <w:r w:rsidR="005A4048">
        <w:rPr>
          <w:rFonts w:ascii="Arial" w:hAnsi="Arial" w:cs="Arial"/>
        </w:rPr>
        <w:t>(</w:t>
      </w:r>
      <w:r w:rsidR="00CA1A4A">
        <w:rPr>
          <w:rFonts w:ascii="Arial" w:hAnsi="Arial" w:cs="Arial"/>
        </w:rPr>
        <w:t>Statista</w:t>
      </w:r>
      <w:r w:rsidR="005A4048">
        <w:rPr>
          <w:rFonts w:ascii="Arial" w:hAnsi="Arial" w:cs="Arial"/>
        </w:rPr>
        <w:t xml:space="preserve">, 2021) </w:t>
      </w:r>
      <w:r>
        <w:rPr>
          <w:rFonts w:ascii="Arial" w:hAnsi="Arial" w:cs="Arial"/>
        </w:rPr>
        <w:t xml:space="preserve">in order to give a </w:t>
      </w:r>
      <w:r w:rsidR="008447A0">
        <w:rPr>
          <w:rFonts w:ascii="Arial" w:hAnsi="Arial" w:cs="Arial"/>
        </w:rPr>
        <w:t>clear</w:t>
      </w:r>
      <w:r>
        <w:rPr>
          <w:rFonts w:ascii="Arial" w:hAnsi="Arial" w:cs="Arial"/>
        </w:rPr>
        <w:t xml:space="preserve"> </w:t>
      </w:r>
      <w:r w:rsidR="003D018E">
        <w:rPr>
          <w:rFonts w:ascii="Arial" w:hAnsi="Arial" w:cs="Arial"/>
        </w:rPr>
        <w:t>picture</w:t>
      </w:r>
      <w:r>
        <w:rPr>
          <w:rFonts w:ascii="Arial" w:hAnsi="Arial" w:cs="Arial"/>
        </w:rPr>
        <w:t xml:space="preserve"> and broad context of the research questio</w:t>
      </w:r>
      <w:r w:rsidR="003B1767">
        <w:rPr>
          <w:rFonts w:ascii="Arial" w:hAnsi="Arial" w:cs="Arial"/>
        </w:rPr>
        <w:t>n</w:t>
      </w:r>
      <w:r>
        <w:rPr>
          <w:rFonts w:ascii="Arial" w:hAnsi="Arial" w:cs="Arial"/>
        </w:rPr>
        <w:t>.</w:t>
      </w:r>
      <w:r w:rsidR="003B1767">
        <w:rPr>
          <w:rFonts w:ascii="Arial" w:hAnsi="Arial" w:cs="Arial"/>
        </w:rPr>
        <w:t xml:space="preserve"> </w:t>
      </w:r>
      <w:r w:rsidR="003B1767" w:rsidRPr="003B1767">
        <w:rPr>
          <w:rFonts w:ascii="Arial" w:hAnsi="Arial" w:cs="Arial"/>
        </w:rPr>
        <w:t>Such</w:t>
      </w:r>
      <w:r w:rsidR="003B1767">
        <w:rPr>
          <w:rFonts w:ascii="Arial" w:hAnsi="Arial" w:cs="Arial"/>
        </w:rPr>
        <w:t xml:space="preserve"> </w:t>
      </w:r>
      <w:r w:rsidR="003B1767" w:rsidRPr="003B1767">
        <w:rPr>
          <w:rFonts w:ascii="Arial" w:hAnsi="Arial" w:cs="Arial"/>
        </w:rPr>
        <w:t>policies include carbon taxes and emissions trading systems (ETS), but also broader changes in</w:t>
      </w:r>
      <w:r w:rsidR="003B1767">
        <w:rPr>
          <w:rFonts w:ascii="Arial" w:hAnsi="Arial" w:cs="Arial"/>
        </w:rPr>
        <w:t xml:space="preserve"> </w:t>
      </w:r>
      <w:r w:rsidR="003B1767" w:rsidRPr="003B1767">
        <w:rPr>
          <w:rFonts w:ascii="Arial" w:hAnsi="Arial" w:cs="Arial"/>
        </w:rPr>
        <w:t>regulation (Stern, 2007, 2008).</w:t>
      </w:r>
      <w:r w:rsidR="000334E7">
        <w:rPr>
          <w:rFonts w:ascii="Arial" w:hAnsi="Arial" w:cs="Arial"/>
        </w:rPr>
        <w:t xml:space="preserve"> The first carbon tax was introduced in Finland in 1990. In turn, emissions trading has been considered a possible tool for mitigating GHG emissions since the early 1990s and formed a key part of the Kyoto Protocol agreement (Philibert and </w:t>
      </w:r>
      <w:proofErr w:type="spellStart"/>
      <w:r w:rsidR="000334E7">
        <w:rPr>
          <w:rFonts w:ascii="Arial" w:hAnsi="Arial" w:cs="Arial"/>
        </w:rPr>
        <w:t>Reinaud</w:t>
      </w:r>
      <w:proofErr w:type="spellEnd"/>
      <w:r w:rsidR="000334E7">
        <w:rPr>
          <w:rFonts w:ascii="Arial" w:hAnsi="Arial" w:cs="Arial"/>
        </w:rPr>
        <w:t>, 2004).</w:t>
      </w:r>
      <w:r w:rsidR="00412F30">
        <w:rPr>
          <w:rFonts w:ascii="Arial" w:hAnsi="Arial" w:cs="Arial"/>
        </w:rPr>
        <w:t xml:space="preserve"> The database incorporates information on carbon taxes and ETS implemented at the national and supranational levels since 1990 from the World Bank (World Bank, 2021). </w:t>
      </w:r>
    </w:p>
    <w:p w14:paraId="7C5CE037" w14:textId="6920F7AF" w:rsidR="00BD18B5" w:rsidRDefault="005A4048" w:rsidP="003B1767">
      <w:pPr>
        <w:pStyle w:val="ListParagraph"/>
        <w:jc w:val="both"/>
        <w:rPr>
          <w:rFonts w:ascii="Arial" w:hAnsi="Arial" w:cs="Arial"/>
        </w:rPr>
      </w:pPr>
      <w:r>
        <w:rPr>
          <w:rFonts w:ascii="Arial" w:hAnsi="Arial" w:cs="Arial"/>
        </w:rPr>
        <w:t xml:space="preserve"> </w:t>
      </w:r>
      <w:r w:rsidR="00412F30">
        <w:rPr>
          <w:rFonts w:ascii="Arial" w:hAnsi="Arial" w:cs="Arial"/>
        </w:rPr>
        <w:t xml:space="preserve"> </w:t>
      </w:r>
      <w:r w:rsidR="00412F30" w:rsidRPr="00412F30">
        <w:rPr>
          <w:rFonts w:ascii="Arial" w:hAnsi="Arial" w:cs="Arial"/>
        </w:rPr>
        <w:t xml:space="preserve">Governments establish the cost of carbon emissions in carbon tax situations, leaving it up to private entities to decide on emission reductions. There are two primary kinds of Emissions Trading Schemes (ETS): cap-and-trade and baseline-and-credit. In the case of cap-and-trade ETS, a cap is set on emissions by governments, and </w:t>
      </w:r>
      <w:r>
        <w:rPr>
          <w:rFonts w:ascii="Arial" w:hAnsi="Arial" w:cs="Arial"/>
        </w:rPr>
        <w:t>allowances</w:t>
      </w:r>
      <w:r w:rsidR="00412F30" w:rsidRPr="00412F30">
        <w:rPr>
          <w:rFonts w:ascii="Arial" w:hAnsi="Arial" w:cs="Arial"/>
        </w:rPr>
        <w:t xml:space="preserve"> up to this threshold are either sold or allocated based on specific criteria. These licenses are subsequently exchanged, with carbon prices being determined by the market's supply and demand. In contrast, for baseline-and-credit ETS, emission baselines are established for regulated emitters. Emitters whose emissions go beyond their designated baseline must forfeit credits to compensate for these emissions, while those whose emissions fall beneath their baseline are awarded credits for these reductions, which they can sell to other emitters (World Bank, 2021).</w:t>
      </w:r>
      <w:r w:rsidR="00412F30">
        <w:rPr>
          <w:rFonts w:ascii="Arial" w:hAnsi="Arial" w:cs="Arial"/>
        </w:rPr>
        <w:t xml:space="preserve"> </w:t>
      </w:r>
    </w:p>
    <w:p w14:paraId="4FEB8732" w14:textId="047862FE" w:rsidR="00876689" w:rsidRPr="00876689" w:rsidRDefault="005A4048" w:rsidP="00876689">
      <w:pPr>
        <w:pStyle w:val="ListParagraph"/>
        <w:jc w:val="both"/>
        <w:rPr>
          <w:rFonts w:ascii="Arial" w:hAnsi="Arial" w:cs="Arial"/>
        </w:rPr>
      </w:pPr>
      <w:r>
        <w:rPr>
          <w:rFonts w:ascii="Arial" w:hAnsi="Arial" w:cs="Arial"/>
        </w:rPr>
        <w:lastRenderedPageBreak/>
        <w:t xml:space="preserve">  As next</w:t>
      </w:r>
      <w:r w:rsidR="00CA1A4A">
        <w:rPr>
          <w:rFonts w:ascii="Arial" w:hAnsi="Arial" w:cs="Arial"/>
        </w:rPr>
        <w:t xml:space="preserve"> </w:t>
      </w:r>
      <w:r>
        <w:rPr>
          <w:rFonts w:ascii="Arial" w:hAnsi="Arial" w:cs="Arial"/>
        </w:rPr>
        <w:t xml:space="preserve">the main </w:t>
      </w:r>
      <w:r w:rsidR="00CA1A4A">
        <w:rPr>
          <w:rFonts w:ascii="Arial" w:hAnsi="Arial" w:cs="Arial"/>
        </w:rPr>
        <w:t xml:space="preserve">climate </w:t>
      </w:r>
      <w:r>
        <w:rPr>
          <w:rFonts w:ascii="Arial" w:hAnsi="Arial" w:cs="Arial"/>
        </w:rPr>
        <w:t>policy actions taken by major polluters</w:t>
      </w:r>
      <w:r w:rsidR="00CA1A4A">
        <w:rPr>
          <w:rFonts w:ascii="Arial" w:hAnsi="Arial" w:cs="Arial"/>
        </w:rPr>
        <w:t xml:space="preserve"> </w:t>
      </w:r>
      <w:r>
        <w:rPr>
          <w:rFonts w:ascii="Arial" w:hAnsi="Arial" w:cs="Arial"/>
        </w:rPr>
        <w:t xml:space="preserve">in alphabetical order. </w:t>
      </w:r>
      <w:r w:rsidR="00CA1A4A">
        <w:rPr>
          <w:rFonts w:ascii="Arial" w:hAnsi="Arial" w:cs="Arial"/>
        </w:rPr>
        <w:t>The</w:t>
      </w:r>
      <w:r>
        <w:rPr>
          <w:rFonts w:ascii="Arial" w:hAnsi="Arial" w:cs="Arial"/>
        </w:rPr>
        <w:t xml:space="preserve"> 13</w:t>
      </w:r>
      <w:r w:rsidRPr="005A4048">
        <w:rPr>
          <w:rFonts w:ascii="Arial" w:hAnsi="Arial" w:cs="Arial"/>
          <w:vertAlign w:val="superscript"/>
        </w:rPr>
        <w:t>th</w:t>
      </w:r>
      <w:r>
        <w:rPr>
          <w:rFonts w:ascii="Arial" w:hAnsi="Arial" w:cs="Arial"/>
        </w:rPr>
        <w:t xml:space="preserve"> Five-Year Plan</w:t>
      </w:r>
      <w:r w:rsidR="00006E78">
        <w:rPr>
          <w:rStyle w:val="FootnoteReference"/>
          <w:rFonts w:ascii="Arial" w:hAnsi="Arial" w:cs="Arial"/>
        </w:rPr>
        <w:footnoteReference w:id="2"/>
      </w:r>
      <w:r>
        <w:rPr>
          <w:rFonts w:ascii="Arial" w:hAnsi="Arial" w:cs="Arial"/>
        </w:rPr>
        <w:t xml:space="preserve"> </w:t>
      </w:r>
      <w:r w:rsidR="00CA1A4A">
        <w:rPr>
          <w:rFonts w:ascii="Arial" w:hAnsi="Arial" w:cs="Arial"/>
        </w:rPr>
        <w:t xml:space="preserve">lays down the strategy and pathway for China’s development for 2016-2020 and includes concrete environmental and efficiency targets. </w:t>
      </w:r>
      <w:r w:rsidR="001E1A7A">
        <w:rPr>
          <w:rFonts w:ascii="Arial" w:hAnsi="Arial" w:cs="Arial"/>
        </w:rPr>
        <w:t xml:space="preserve">This plan </w:t>
      </w:r>
      <w:r w:rsidR="001E1A7A" w:rsidRPr="001E1A7A">
        <w:rPr>
          <w:rFonts w:ascii="Arial" w:hAnsi="Arial" w:cs="Arial"/>
        </w:rPr>
        <w:t xml:space="preserve">has established targets for reducing carbon emissions, energy consumption, and water usage, while also aiming to enhance the efficiency of industries and eliminate obsolete or surplus production facilities. </w:t>
      </w:r>
      <w:r w:rsidR="001E1A7A">
        <w:rPr>
          <w:rFonts w:ascii="Arial" w:hAnsi="Arial" w:cs="Arial"/>
        </w:rPr>
        <w:t xml:space="preserve">It </w:t>
      </w:r>
      <w:r w:rsidR="001E1A7A" w:rsidRPr="001E1A7A">
        <w:rPr>
          <w:rFonts w:ascii="Arial" w:hAnsi="Arial" w:cs="Arial"/>
        </w:rPr>
        <w:t xml:space="preserve">also seeks to increase the usage of renewable energy and develop eco-friendly infrastructure. </w:t>
      </w:r>
      <w:r w:rsidR="00F31571">
        <w:rPr>
          <w:rFonts w:ascii="Arial" w:hAnsi="Arial" w:cs="Arial"/>
        </w:rPr>
        <w:t>2021 signs the beginning of China’s 14</w:t>
      </w:r>
      <w:r w:rsidR="00F31571" w:rsidRPr="00F31571">
        <w:rPr>
          <w:rFonts w:ascii="Arial" w:hAnsi="Arial" w:cs="Arial"/>
          <w:vertAlign w:val="superscript"/>
        </w:rPr>
        <w:t>th</w:t>
      </w:r>
      <w:r w:rsidR="00F31571">
        <w:rPr>
          <w:rFonts w:ascii="Arial" w:hAnsi="Arial" w:cs="Arial"/>
        </w:rPr>
        <w:t xml:space="preserve"> Five-Year Plan</w:t>
      </w:r>
      <w:r w:rsidR="000E2CD8">
        <w:rPr>
          <w:rFonts w:ascii="Arial" w:hAnsi="Arial" w:cs="Arial"/>
        </w:rPr>
        <w:t>, buil</w:t>
      </w:r>
      <w:r w:rsidR="00E571EE">
        <w:rPr>
          <w:rFonts w:ascii="Arial" w:hAnsi="Arial" w:cs="Arial"/>
        </w:rPr>
        <w:t>t</w:t>
      </w:r>
      <w:r w:rsidR="000E2CD8">
        <w:rPr>
          <w:rFonts w:ascii="Arial" w:hAnsi="Arial" w:cs="Arial"/>
        </w:rPr>
        <w:t xml:space="preserve"> on the achievements of the 13</w:t>
      </w:r>
      <w:r w:rsidR="000E2CD8" w:rsidRPr="000E2CD8">
        <w:rPr>
          <w:rFonts w:ascii="Arial" w:hAnsi="Arial" w:cs="Arial"/>
          <w:vertAlign w:val="superscript"/>
        </w:rPr>
        <w:t>th</w:t>
      </w:r>
      <w:r w:rsidR="000E2CD8">
        <w:rPr>
          <w:rFonts w:ascii="Arial" w:hAnsi="Arial" w:cs="Arial"/>
        </w:rPr>
        <w:t xml:space="preserve"> FYP </w:t>
      </w:r>
      <w:r w:rsidR="000C6849">
        <w:rPr>
          <w:rFonts w:ascii="Arial" w:hAnsi="Arial" w:cs="Arial"/>
        </w:rPr>
        <w:t xml:space="preserve">it aims to decrease the </w:t>
      </w:r>
      <w:r w:rsidR="008E0330">
        <w:rPr>
          <w:rFonts w:ascii="Arial" w:hAnsi="Arial" w:cs="Arial"/>
        </w:rPr>
        <w:t>carbon intensity of the economy</w:t>
      </w:r>
      <w:r w:rsidR="00EB44D7">
        <w:rPr>
          <w:rFonts w:ascii="Arial" w:hAnsi="Arial" w:cs="Arial"/>
        </w:rPr>
        <w:t>,</w:t>
      </w:r>
      <w:r w:rsidR="00EF2538">
        <w:rPr>
          <w:rFonts w:ascii="Arial" w:hAnsi="Arial" w:cs="Arial"/>
        </w:rPr>
        <w:t xml:space="preserve"> enhance high-quality</w:t>
      </w:r>
      <w:r w:rsidR="008F2BB1">
        <w:rPr>
          <w:rFonts w:ascii="Arial" w:hAnsi="Arial" w:cs="Arial"/>
        </w:rPr>
        <w:t xml:space="preserve"> green development</w:t>
      </w:r>
      <w:r w:rsidR="00092169">
        <w:rPr>
          <w:rFonts w:ascii="Arial" w:hAnsi="Arial" w:cs="Arial"/>
        </w:rPr>
        <w:t xml:space="preserve"> </w:t>
      </w:r>
      <w:r w:rsidR="008F2BB1">
        <w:rPr>
          <w:rFonts w:ascii="Arial" w:hAnsi="Arial" w:cs="Arial"/>
        </w:rPr>
        <w:t>and</w:t>
      </w:r>
      <w:r w:rsidR="00EB44D7">
        <w:rPr>
          <w:rFonts w:ascii="Arial" w:hAnsi="Arial" w:cs="Arial"/>
        </w:rPr>
        <w:t xml:space="preserve"> </w:t>
      </w:r>
      <w:r w:rsidR="008E0330">
        <w:rPr>
          <w:rFonts w:ascii="Arial" w:hAnsi="Arial" w:cs="Arial"/>
        </w:rPr>
        <w:t>peak CO2 emissions</w:t>
      </w:r>
      <w:r w:rsidR="007114C1">
        <w:rPr>
          <w:rFonts w:ascii="Arial" w:hAnsi="Arial" w:cs="Arial"/>
        </w:rPr>
        <w:t xml:space="preserve"> before 2030</w:t>
      </w:r>
      <w:r w:rsidR="008F2BB1">
        <w:rPr>
          <w:rFonts w:ascii="Arial" w:hAnsi="Arial" w:cs="Arial"/>
        </w:rPr>
        <w:t xml:space="preserve"> </w:t>
      </w:r>
      <w:r w:rsidR="00D90986">
        <w:rPr>
          <w:rFonts w:ascii="Arial" w:hAnsi="Arial" w:cs="Arial"/>
        </w:rPr>
        <w:t>(</w:t>
      </w:r>
      <w:r w:rsidR="004F4927">
        <w:rPr>
          <w:rFonts w:ascii="Arial" w:hAnsi="Arial" w:cs="Arial"/>
        </w:rPr>
        <w:t>Asian</w:t>
      </w:r>
      <w:r w:rsidR="00404EA2">
        <w:rPr>
          <w:rFonts w:ascii="Arial" w:hAnsi="Arial" w:cs="Arial"/>
        </w:rPr>
        <w:t xml:space="preserve"> development bank, 2021)</w:t>
      </w:r>
      <w:r w:rsidR="007114C1">
        <w:rPr>
          <w:rFonts w:ascii="Arial" w:hAnsi="Arial" w:cs="Arial"/>
        </w:rPr>
        <w:t xml:space="preserve">. </w:t>
      </w:r>
      <w:r w:rsidR="001E1A7A" w:rsidRPr="001E1A7A">
        <w:rPr>
          <w:rFonts w:ascii="Arial" w:hAnsi="Arial" w:cs="Arial"/>
        </w:rPr>
        <w:t>The previous 11th Five Year Plan had experimented with energy intensity targets in certain pilot projects, while the 12th Five Year Plan had focused on promoting sustainable and socially inclusive economic growth.</w:t>
      </w:r>
      <w:r w:rsidR="001E1A7A">
        <w:rPr>
          <w:rFonts w:ascii="Arial" w:hAnsi="Arial" w:cs="Arial"/>
        </w:rPr>
        <w:t xml:space="preserve"> </w:t>
      </w:r>
      <w:r w:rsidR="00876689">
        <w:rPr>
          <w:rFonts w:ascii="Arial" w:hAnsi="Arial" w:cs="Arial"/>
        </w:rPr>
        <w:t>As of April 2022, China national ETS price rate is 9.20$ per tCO2e, covering 4.50 GtCO2e i.e. 8.79% of global GHG emissions (</w:t>
      </w:r>
      <w:r w:rsidR="00876689" w:rsidRPr="00876689">
        <w:rPr>
          <w:rFonts w:ascii="Arial" w:hAnsi="Arial" w:cs="Arial"/>
        </w:rPr>
        <w:t>carbon</w:t>
      </w:r>
      <w:r w:rsidR="00876689">
        <w:rPr>
          <w:rFonts w:ascii="Arial" w:hAnsi="Arial" w:cs="Arial"/>
        </w:rPr>
        <w:t xml:space="preserve"> </w:t>
      </w:r>
      <w:r w:rsidR="00876689" w:rsidRPr="00876689">
        <w:rPr>
          <w:rFonts w:ascii="Arial" w:hAnsi="Arial" w:cs="Arial"/>
        </w:rPr>
        <w:t>pricin</w:t>
      </w:r>
      <w:r w:rsidR="00876689">
        <w:rPr>
          <w:rFonts w:ascii="Arial" w:hAnsi="Arial" w:cs="Arial"/>
        </w:rPr>
        <w:t xml:space="preserve">g </w:t>
      </w:r>
      <w:r w:rsidR="00876689" w:rsidRPr="00876689">
        <w:rPr>
          <w:rFonts w:ascii="Arial" w:hAnsi="Arial" w:cs="Arial"/>
        </w:rPr>
        <w:t>dashboard</w:t>
      </w:r>
      <w:r w:rsidR="00876689">
        <w:rPr>
          <w:rFonts w:ascii="Arial" w:hAnsi="Arial" w:cs="Arial"/>
        </w:rPr>
        <w:t xml:space="preserve">, </w:t>
      </w:r>
      <w:proofErr w:type="spellStart"/>
      <w:r w:rsidR="002302D9">
        <w:rPr>
          <w:rFonts w:ascii="Arial" w:hAnsi="Arial" w:cs="Arial"/>
        </w:rPr>
        <w:t>W</w:t>
      </w:r>
      <w:r w:rsidR="00876689" w:rsidRPr="00876689">
        <w:rPr>
          <w:rFonts w:ascii="Arial" w:hAnsi="Arial" w:cs="Arial"/>
        </w:rPr>
        <w:t>orld</w:t>
      </w:r>
      <w:r w:rsidR="002302D9">
        <w:rPr>
          <w:rFonts w:ascii="Arial" w:hAnsi="Arial" w:cs="Arial"/>
        </w:rPr>
        <w:t>b</w:t>
      </w:r>
      <w:r w:rsidR="00876689" w:rsidRPr="00876689">
        <w:rPr>
          <w:rFonts w:ascii="Arial" w:hAnsi="Arial" w:cs="Arial"/>
        </w:rPr>
        <w:t>ank</w:t>
      </w:r>
      <w:proofErr w:type="spellEnd"/>
      <w:r w:rsidR="00876689">
        <w:rPr>
          <w:rFonts w:ascii="Arial" w:hAnsi="Arial" w:cs="Arial"/>
        </w:rPr>
        <w:t>).</w:t>
      </w:r>
    </w:p>
    <w:p w14:paraId="73B95CF8" w14:textId="28810FFD" w:rsidR="00017A9D" w:rsidRDefault="00876689" w:rsidP="00017A9D">
      <w:pPr>
        <w:pStyle w:val="ListParagraph"/>
        <w:jc w:val="both"/>
        <w:rPr>
          <w:rFonts w:ascii="Arial" w:hAnsi="Arial" w:cs="Arial"/>
        </w:rPr>
      </w:pPr>
      <w:r>
        <w:rPr>
          <w:rFonts w:ascii="Arial" w:hAnsi="Arial" w:cs="Arial"/>
        </w:rPr>
        <w:t xml:space="preserve">  </w:t>
      </w:r>
      <w:r w:rsidR="00130953">
        <w:rPr>
          <w:rFonts w:ascii="Arial" w:hAnsi="Arial" w:cs="Arial"/>
        </w:rPr>
        <w:t>In Europe, the Fit for 5</w:t>
      </w:r>
      <w:r w:rsidR="002302D9">
        <w:rPr>
          <w:rFonts w:ascii="Arial" w:hAnsi="Arial" w:cs="Arial"/>
        </w:rPr>
        <w:t>5</w:t>
      </w:r>
      <w:r w:rsidR="00130953">
        <w:rPr>
          <w:rFonts w:ascii="Arial" w:hAnsi="Arial" w:cs="Arial"/>
        </w:rPr>
        <w:t xml:space="preserve">, part of the large scale </w:t>
      </w:r>
      <w:r w:rsidR="002302D9">
        <w:rPr>
          <w:rFonts w:ascii="Arial" w:hAnsi="Arial" w:cs="Arial"/>
        </w:rPr>
        <w:t>E</w:t>
      </w:r>
      <w:r w:rsidR="00130953">
        <w:rPr>
          <w:rFonts w:ascii="Arial" w:hAnsi="Arial" w:cs="Arial"/>
        </w:rPr>
        <w:t>uropean</w:t>
      </w:r>
      <w:r w:rsidR="002302D9">
        <w:rPr>
          <w:rFonts w:ascii="Arial" w:hAnsi="Arial" w:cs="Arial"/>
        </w:rPr>
        <w:t xml:space="preserve"> G</w:t>
      </w:r>
      <w:r w:rsidR="00130953">
        <w:rPr>
          <w:rFonts w:ascii="Arial" w:hAnsi="Arial" w:cs="Arial"/>
        </w:rPr>
        <w:t xml:space="preserve">reen </w:t>
      </w:r>
      <w:r w:rsidR="002302D9">
        <w:rPr>
          <w:rFonts w:ascii="Arial" w:hAnsi="Arial" w:cs="Arial"/>
        </w:rPr>
        <w:t>D</w:t>
      </w:r>
      <w:r w:rsidR="00130953">
        <w:rPr>
          <w:rFonts w:ascii="Arial" w:hAnsi="Arial" w:cs="Arial"/>
        </w:rPr>
        <w:t xml:space="preserve">eal, is the </w:t>
      </w:r>
      <w:r w:rsidR="002302D9">
        <w:rPr>
          <w:rFonts w:ascii="Arial" w:hAnsi="Arial" w:cs="Arial"/>
        </w:rPr>
        <w:t xml:space="preserve">major package of actions taken towards GHG emissions reduction. </w:t>
      </w:r>
      <w:r w:rsidR="002302D9" w:rsidRPr="00D844F7">
        <w:rPr>
          <w:rFonts w:ascii="Arial" w:hAnsi="Arial" w:cs="Arial"/>
        </w:rPr>
        <w:t xml:space="preserve">The European Green Deal is a comprehensive plan by the European Union to transition to a low-carbon economy and reduce </w:t>
      </w:r>
      <w:r w:rsidR="002302D9">
        <w:rPr>
          <w:rFonts w:ascii="Arial" w:hAnsi="Arial" w:cs="Arial"/>
        </w:rPr>
        <w:t xml:space="preserve">GHG </w:t>
      </w:r>
      <w:r w:rsidR="002302D9" w:rsidRPr="00D844F7">
        <w:rPr>
          <w:rFonts w:ascii="Arial" w:hAnsi="Arial" w:cs="Arial"/>
        </w:rPr>
        <w:t>emissions. It focuses on three key principles: ensuring a secure and affordable energy supply, developing an integrated and digitalized energy market, and prioritizing energy efficiency and renewable sources. The plan aims to build interconnected energy systems, promote innovative technologies and infrastructure, boost energy efficiency, decarbonize the gas sector, empower consumers, promote global energy standards, and develop offshore wind energy. The goal is to reduce net greenhouse gas emissions by at least 55% by 2030 compared to 1990 levels.</w:t>
      </w:r>
      <w:r w:rsidR="002302D9">
        <w:rPr>
          <w:rFonts w:ascii="Arial" w:hAnsi="Arial" w:cs="Arial"/>
        </w:rPr>
        <w:t xml:space="preserve"> </w:t>
      </w:r>
      <w:r w:rsidR="002302D9" w:rsidRPr="002302D9">
        <w:rPr>
          <w:rFonts w:ascii="Arial" w:hAnsi="Arial" w:cs="Arial"/>
        </w:rPr>
        <w:t xml:space="preserve">The EU Fit for 55 is a package of legislative proposals presented by the European Commission in July 2021. The main objective of the package is to align EU climate, energy, land use, transport, and taxation policies with the target of reducing net </w:t>
      </w:r>
      <w:r w:rsidR="00017A9D">
        <w:rPr>
          <w:rFonts w:ascii="Arial" w:hAnsi="Arial" w:cs="Arial"/>
        </w:rPr>
        <w:t>GHG</w:t>
      </w:r>
      <w:r w:rsidR="002302D9" w:rsidRPr="002302D9">
        <w:rPr>
          <w:rFonts w:ascii="Arial" w:hAnsi="Arial" w:cs="Arial"/>
        </w:rPr>
        <w:t xml:space="preserve"> emissions by at least 55% by 2030 compared to 1990 levels, as set out in the European Green Deal</w:t>
      </w:r>
      <w:r w:rsidR="004335E8">
        <w:rPr>
          <w:rFonts w:ascii="Arial" w:hAnsi="Arial" w:cs="Arial"/>
        </w:rPr>
        <w:t xml:space="preserve"> </w:t>
      </w:r>
      <w:r w:rsidR="002302D9" w:rsidRPr="00017A9D">
        <w:rPr>
          <w:rFonts w:ascii="Arial" w:hAnsi="Arial" w:cs="Arial"/>
        </w:rPr>
        <w:t>he package includes a range of proposals to achieve this goal, including optimizing and expanding the EU Emissions Trading System (ETS), introducing new legislation on renewable energy and energy efficiency, increasing the use of sustainable biofuels, promoting the uptake of low-emission vehicles, and establishing a Carbon Border Adjustment Mechanism (CBAM) to prevent carbon leakage.</w:t>
      </w:r>
      <w:r w:rsidR="00017A9D">
        <w:rPr>
          <w:rFonts w:ascii="Arial" w:hAnsi="Arial" w:cs="Arial"/>
        </w:rPr>
        <w:t xml:space="preserve"> </w:t>
      </w:r>
      <w:r w:rsidR="002302D9" w:rsidRPr="00017A9D">
        <w:rPr>
          <w:rFonts w:ascii="Arial" w:hAnsi="Arial" w:cs="Arial"/>
        </w:rPr>
        <w:t>The package also includes proposals to revise the EU Energy Taxation Directive, which aims to align taxation of energy products with EU climate objectives, and to revise the EU's Energy Performance of Buildings Directive to make buildings more energy-efficient and decarbonized.</w:t>
      </w:r>
      <w:r w:rsidR="00017A9D">
        <w:rPr>
          <w:rFonts w:ascii="Arial" w:hAnsi="Arial" w:cs="Arial"/>
        </w:rPr>
        <w:t xml:space="preserve"> </w:t>
      </w:r>
      <w:r w:rsidR="002302D9" w:rsidRPr="00017A9D">
        <w:rPr>
          <w:rFonts w:ascii="Arial" w:hAnsi="Arial" w:cs="Arial"/>
        </w:rPr>
        <w:t>The Fit for 55 package is a major step towards achieving the EU's ambitious climate goals, and it will require significant effort from EU member states, businesses, and citizens to implement the proposed measures and transition to a low-carbon economy.</w:t>
      </w:r>
      <w:r w:rsidR="00DC5BA8">
        <w:rPr>
          <w:rFonts w:ascii="Arial" w:hAnsi="Arial" w:cs="Arial"/>
        </w:rPr>
        <w:t xml:space="preserve"> </w:t>
      </w:r>
      <w:r w:rsidR="00017A9D">
        <w:rPr>
          <w:rFonts w:ascii="Arial" w:hAnsi="Arial" w:cs="Arial"/>
        </w:rPr>
        <w:t xml:space="preserve">As of April </w:t>
      </w:r>
      <w:r w:rsidR="00017A9D">
        <w:rPr>
          <w:rFonts w:ascii="Arial" w:hAnsi="Arial" w:cs="Arial"/>
        </w:rPr>
        <w:lastRenderedPageBreak/>
        <w:t>2022, EU ETS price rate is 86.53$ per tCO2e, covering 1.63 GtCO2e i.e. 3.18% of global GHG emissions (</w:t>
      </w:r>
      <w:r w:rsidR="00017A9D" w:rsidRPr="00876689">
        <w:rPr>
          <w:rFonts w:ascii="Arial" w:hAnsi="Arial" w:cs="Arial"/>
        </w:rPr>
        <w:t>carbon</w:t>
      </w:r>
      <w:r w:rsidR="00017A9D">
        <w:rPr>
          <w:rFonts w:ascii="Arial" w:hAnsi="Arial" w:cs="Arial"/>
        </w:rPr>
        <w:t xml:space="preserve"> </w:t>
      </w:r>
      <w:r w:rsidR="00017A9D" w:rsidRPr="00876689">
        <w:rPr>
          <w:rFonts w:ascii="Arial" w:hAnsi="Arial" w:cs="Arial"/>
        </w:rPr>
        <w:t>pricin</w:t>
      </w:r>
      <w:r w:rsidR="00017A9D">
        <w:rPr>
          <w:rFonts w:ascii="Arial" w:hAnsi="Arial" w:cs="Arial"/>
        </w:rPr>
        <w:t xml:space="preserve">g </w:t>
      </w:r>
      <w:r w:rsidR="00017A9D" w:rsidRPr="00876689">
        <w:rPr>
          <w:rFonts w:ascii="Arial" w:hAnsi="Arial" w:cs="Arial"/>
        </w:rPr>
        <w:t>dashboard</w:t>
      </w:r>
      <w:r w:rsidR="00017A9D">
        <w:rPr>
          <w:rFonts w:ascii="Arial" w:hAnsi="Arial" w:cs="Arial"/>
        </w:rPr>
        <w:t xml:space="preserve">, </w:t>
      </w:r>
      <w:proofErr w:type="spellStart"/>
      <w:r w:rsidR="00017A9D">
        <w:rPr>
          <w:rFonts w:ascii="Arial" w:hAnsi="Arial" w:cs="Arial"/>
        </w:rPr>
        <w:t>W</w:t>
      </w:r>
      <w:r w:rsidR="00017A9D" w:rsidRPr="00876689">
        <w:rPr>
          <w:rFonts w:ascii="Arial" w:hAnsi="Arial" w:cs="Arial"/>
        </w:rPr>
        <w:t>orld</w:t>
      </w:r>
      <w:r w:rsidR="00017A9D">
        <w:rPr>
          <w:rFonts w:ascii="Arial" w:hAnsi="Arial" w:cs="Arial"/>
        </w:rPr>
        <w:t>b</w:t>
      </w:r>
      <w:r w:rsidR="00017A9D" w:rsidRPr="00876689">
        <w:rPr>
          <w:rFonts w:ascii="Arial" w:hAnsi="Arial" w:cs="Arial"/>
        </w:rPr>
        <w:t>ank</w:t>
      </w:r>
      <w:proofErr w:type="spellEnd"/>
      <w:r w:rsidR="00017A9D">
        <w:rPr>
          <w:rFonts w:ascii="Arial" w:hAnsi="Arial" w:cs="Arial"/>
        </w:rPr>
        <w:t>).</w:t>
      </w:r>
    </w:p>
    <w:p w14:paraId="4B42ED74" w14:textId="4D40617C" w:rsidR="00876689" w:rsidRDefault="00017A9D" w:rsidP="00017A9D">
      <w:pPr>
        <w:pStyle w:val="ListParagraph"/>
        <w:jc w:val="both"/>
        <w:rPr>
          <w:rFonts w:ascii="Arial" w:hAnsi="Arial" w:cs="Arial"/>
        </w:rPr>
      </w:pPr>
      <w:r>
        <w:rPr>
          <w:rFonts w:ascii="Arial" w:hAnsi="Arial" w:cs="Arial"/>
        </w:rPr>
        <w:t xml:space="preserve">  </w:t>
      </w:r>
      <w:r w:rsidR="008445C3">
        <w:rPr>
          <w:rFonts w:ascii="Arial" w:hAnsi="Arial" w:cs="Arial"/>
        </w:rPr>
        <w:t>Although India is the world’s third-largest emitter of CO2, it does not levy an explicit carbon price nor has any ETS already implemented. However,</w:t>
      </w:r>
      <w:r w:rsidR="004A16C8">
        <w:rPr>
          <w:rFonts w:ascii="Arial" w:hAnsi="Arial" w:cs="Arial"/>
        </w:rPr>
        <w:t xml:space="preserve"> since 2018,</w:t>
      </w:r>
      <w:r w:rsidR="008445C3">
        <w:rPr>
          <w:rFonts w:ascii="Arial" w:hAnsi="Arial" w:cs="Arial"/>
        </w:rPr>
        <w:t xml:space="preserve"> 54.7% of GHG emissions </w:t>
      </w:r>
      <w:r w:rsidR="004A16C8">
        <w:rPr>
          <w:rFonts w:ascii="Arial" w:hAnsi="Arial" w:cs="Arial"/>
        </w:rPr>
        <w:t>are subject to a positive Net Effective Carbon Rate (ECR) unchanged until 2021.</w:t>
      </w:r>
    </w:p>
    <w:p w14:paraId="3353408C" w14:textId="27B06546" w:rsidR="004A16C8" w:rsidRDefault="004A16C8" w:rsidP="004A16C8">
      <w:pPr>
        <w:pStyle w:val="ListParagraph"/>
        <w:jc w:val="both"/>
        <w:rPr>
          <w:rFonts w:ascii="Arial" w:hAnsi="Arial" w:cs="Arial"/>
        </w:rPr>
      </w:pPr>
      <w:r>
        <w:rPr>
          <w:rFonts w:ascii="Arial" w:hAnsi="Arial" w:cs="Arial"/>
        </w:rPr>
        <w:t xml:space="preserve">  The Russian Federation does not levy an explicit carbon price nor has any ETS already implemented. However, f</w:t>
      </w:r>
      <w:r w:rsidRPr="004A16C8">
        <w:rPr>
          <w:rFonts w:ascii="Arial" w:hAnsi="Arial" w:cs="Arial"/>
        </w:rPr>
        <w:t>uel excise taxes, an implicit</w:t>
      </w:r>
      <w:r>
        <w:rPr>
          <w:rFonts w:ascii="Arial" w:hAnsi="Arial" w:cs="Arial"/>
        </w:rPr>
        <w:t xml:space="preserve"> </w:t>
      </w:r>
      <w:r w:rsidRPr="004A16C8">
        <w:rPr>
          <w:rFonts w:ascii="Arial" w:hAnsi="Arial" w:cs="Arial"/>
        </w:rPr>
        <w:t>form of carbon pricing, cover 13.7% of</w:t>
      </w:r>
      <w:r>
        <w:rPr>
          <w:rFonts w:ascii="Arial" w:hAnsi="Arial" w:cs="Arial"/>
        </w:rPr>
        <w:t xml:space="preserve"> CO2</w:t>
      </w:r>
      <w:r w:rsidRPr="004A16C8">
        <w:rPr>
          <w:rFonts w:ascii="Arial" w:hAnsi="Arial" w:cs="Arial"/>
        </w:rPr>
        <w:t xml:space="preserve"> emissions in 2021, unchanged since 2018.</w:t>
      </w:r>
    </w:p>
    <w:p w14:paraId="7C68D413" w14:textId="77777777" w:rsidR="00A67A5D" w:rsidRDefault="004A16C8" w:rsidP="00DC5BA8">
      <w:pPr>
        <w:pStyle w:val="ListParagraph"/>
        <w:jc w:val="both"/>
        <w:rPr>
          <w:rFonts w:ascii="Arial" w:hAnsi="Arial" w:cs="Arial"/>
        </w:rPr>
      </w:pPr>
      <w:r>
        <w:rPr>
          <w:rFonts w:ascii="Arial" w:hAnsi="Arial" w:cs="Arial"/>
        </w:rPr>
        <w:t xml:space="preserve">  </w:t>
      </w:r>
      <w:r w:rsidR="004029AB">
        <w:rPr>
          <w:rFonts w:ascii="Arial" w:hAnsi="Arial" w:cs="Arial"/>
        </w:rPr>
        <w:t xml:space="preserve">In the United States there is </w:t>
      </w:r>
      <w:r w:rsidR="00B00389">
        <w:rPr>
          <w:rFonts w:ascii="Arial" w:hAnsi="Arial" w:cs="Arial"/>
        </w:rPr>
        <w:t xml:space="preserve">not yet a national ETS or carbon tax into place, however some states are taking actions towards </w:t>
      </w:r>
      <w:r w:rsidR="00973213">
        <w:rPr>
          <w:rFonts w:ascii="Arial" w:hAnsi="Arial" w:cs="Arial"/>
        </w:rPr>
        <w:t>climate neutrality</w:t>
      </w:r>
      <w:r w:rsidR="00B00389">
        <w:rPr>
          <w:rFonts w:ascii="Arial" w:hAnsi="Arial" w:cs="Arial"/>
        </w:rPr>
        <w:t>, being the state of California the leader in this regard.</w:t>
      </w:r>
      <w:r w:rsidR="00973213">
        <w:rPr>
          <w:rFonts w:ascii="Arial" w:hAnsi="Arial" w:cs="Arial"/>
        </w:rPr>
        <w:t xml:space="preserve"> Namely, the California Cap-and-Trade Program began operation in 2012 and it covers about 75% of the state’s GHG emissions. </w:t>
      </w:r>
      <w:r w:rsidR="00DC5BA8">
        <w:rPr>
          <w:rFonts w:ascii="Arial" w:hAnsi="Arial" w:cs="Arial"/>
        </w:rPr>
        <w:t xml:space="preserve">As of April 2022, </w:t>
      </w:r>
      <w:proofErr w:type="spellStart"/>
      <w:r w:rsidR="00DC5BA8">
        <w:rPr>
          <w:rFonts w:ascii="Arial" w:hAnsi="Arial" w:cs="Arial"/>
        </w:rPr>
        <w:t>CaT</w:t>
      </w:r>
      <w:proofErr w:type="spellEnd"/>
      <w:r w:rsidR="00DC5BA8">
        <w:rPr>
          <w:rFonts w:ascii="Arial" w:hAnsi="Arial" w:cs="Arial"/>
        </w:rPr>
        <w:t xml:space="preserve"> price rate is 30.82$ per tCO2e, covering 0.31 GtCO2e i.e. 0.6% of global GHG emissions (</w:t>
      </w:r>
      <w:r w:rsidR="00DC5BA8" w:rsidRPr="00876689">
        <w:rPr>
          <w:rFonts w:ascii="Arial" w:hAnsi="Arial" w:cs="Arial"/>
        </w:rPr>
        <w:t>carbon</w:t>
      </w:r>
      <w:r w:rsidR="00DC5BA8">
        <w:rPr>
          <w:rFonts w:ascii="Arial" w:hAnsi="Arial" w:cs="Arial"/>
        </w:rPr>
        <w:t xml:space="preserve"> </w:t>
      </w:r>
      <w:r w:rsidR="00DC5BA8" w:rsidRPr="00876689">
        <w:rPr>
          <w:rFonts w:ascii="Arial" w:hAnsi="Arial" w:cs="Arial"/>
        </w:rPr>
        <w:t>pricin</w:t>
      </w:r>
      <w:r w:rsidR="00DC5BA8">
        <w:rPr>
          <w:rFonts w:ascii="Arial" w:hAnsi="Arial" w:cs="Arial"/>
        </w:rPr>
        <w:t xml:space="preserve">g </w:t>
      </w:r>
      <w:r w:rsidR="00DC5BA8" w:rsidRPr="00876689">
        <w:rPr>
          <w:rFonts w:ascii="Arial" w:hAnsi="Arial" w:cs="Arial"/>
        </w:rPr>
        <w:t>dashboard</w:t>
      </w:r>
      <w:r w:rsidR="00DC5BA8">
        <w:rPr>
          <w:rFonts w:ascii="Arial" w:hAnsi="Arial" w:cs="Arial"/>
        </w:rPr>
        <w:t xml:space="preserve">, </w:t>
      </w:r>
      <w:proofErr w:type="spellStart"/>
      <w:r w:rsidR="00DC5BA8">
        <w:rPr>
          <w:rFonts w:ascii="Arial" w:hAnsi="Arial" w:cs="Arial"/>
        </w:rPr>
        <w:t>W</w:t>
      </w:r>
      <w:r w:rsidR="00DC5BA8" w:rsidRPr="00876689">
        <w:rPr>
          <w:rFonts w:ascii="Arial" w:hAnsi="Arial" w:cs="Arial"/>
        </w:rPr>
        <w:t>orld</w:t>
      </w:r>
      <w:r w:rsidR="00DC5BA8">
        <w:rPr>
          <w:rFonts w:ascii="Arial" w:hAnsi="Arial" w:cs="Arial"/>
        </w:rPr>
        <w:t>b</w:t>
      </w:r>
      <w:r w:rsidR="00DC5BA8" w:rsidRPr="00876689">
        <w:rPr>
          <w:rFonts w:ascii="Arial" w:hAnsi="Arial" w:cs="Arial"/>
        </w:rPr>
        <w:t>ank</w:t>
      </w:r>
      <w:proofErr w:type="spellEnd"/>
      <w:r w:rsidR="00DC5BA8">
        <w:rPr>
          <w:rFonts w:ascii="Arial" w:hAnsi="Arial" w:cs="Arial"/>
        </w:rPr>
        <w:t>).</w:t>
      </w:r>
      <w:r w:rsidR="007F4F56">
        <w:rPr>
          <w:rFonts w:ascii="Arial" w:hAnsi="Arial" w:cs="Arial"/>
        </w:rPr>
        <w:t xml:space="preserve"> </w:t>
      </w:r>
    </w:p>
    <w:p w14:paraId="0710B62A" w14:textId="77777777" w:rsidR="00AD49DA" w:rsidRDefault="00A67A5D" w:rsidP="00DC5BA8">
      <w:pPr>
        <w:pStyle w:val="ListParagraph"/>
        <w:jc w:val="both"/>
        <w:rPr>
          <w:rFonts w:ascii="Arial" w:hAnsi="Arial" w:cs="Arial"/>
        </w:rPr>
      </w:pPr>
      <w:r>
        <w:rPr>
          <w:rFonts w:ascii="Arial" w:hAnsi="Arial" w:cs="Arial"/>
        </w:rPr>
        <w:t xml:space="preserve">  </w:t>
      </w:r>
      <w:r w:rsidR="007F4F56">
        <w:rPr>
          <w:rFonts w:ascii="Arial" w:hAnsi="Arial" w:cs="Arial"/>
        </w:rPr>
        <w:t xml:space="preserve">On the </w:t>
      </w:r>
      <w:r w:rsidR="000D72F8">
        <w:rPr>
          <w:rFonts w:ascii="Arial" w:hAnsi="Arial" w:cs="Arial"/>
        </w:rPr>
        <w:t>eastern</w:t>
      </w:r>
      <w:r w:rsidR="007F4F56">
        <w:rPr>
          <w:rFonts w:ascii="Arial" w:hAnsi="Arial" w:cs="Arial"/>
        </w:rPr>
        <w:t xml:space="preserve"> co</w:t>
      </w:r>
      <w:r w:rsidR="00DA68E1">
        <w:rPr>
          <w:rFonts w:ascii="Arial" w:hAnsi="Arial" w:cs="Arial"/>
        </w:rPr>
        <w:t>a</w:t>
      </w:r>
      <w:r w:rsidR="007F4F56">
        <w:rPr>
          <w:rFonts w:ascii="Arial" w:hAnsi="Arial" w:cs="Arial"/>
        </w:rPr>
        <w:t xml:space="preserve">st of </w:t>
      </w:r>
      <w:r w:rsidR="00C92B64">
        <w:rPr>
          <w:rFonts w:ascii="Arial" w:hAnsi="Arial" w:cs="Arial"/>
        </w:rPr>
        <w:t xml:space="preserve">US, </w:t>
      </w:r>
      <w:r w:rsidR="001E032A">
        <w:rPr>
          <w:rFonts w:ascii="Arial" w:hAnsi="Arial" w:cs="Arial"/>
        </w:rPr>
        <w:t xml:space="preserve">in 2009 </w:t>
      </w:r>
      <w:r w:rsidR="00721E49">
        <w:rPr>
          <w:rFonts w:ascii="Arial" w:hAnsi="Arial" w:cs="Arial"/>
        </w:rPr>
        <w:t>twelve</w:t>
      </w:r>
      <w:r w:rsidR="000D72F8">
        <w:rPr>
          <w:rFonts w:ascii="Arial" w:hAnsi="Arial" w:cs="Arial"/>
        </w:rPr>
        <w:t xml:space="preserve"> </w:t>
      </w:r>
      <w:r w:rsidR="00C92B64">
        <w:rPr>
          <w:rFonts w:ascii="Arial" w:hAnsi="Arial" w:cs="Arial"/>
        </w:rPr>
        <w:t xml:space="preserve">states </w:t>
      </w:r>
      <w:r w:rsidR="004445F5">
        <w:rPr>
          <w:rFonts w:ascii="Arial" w:hAnsi="Arial" w:cs="Arial"/>
        </w:rPr>
        <w:t xml:space="preserve">i.e. New York,  </w:t>
      </w:r>
      <w:r w:rsidR="00F04221">
        <w:rPr>
          <w:rFonts w:ascii="Arial" w:hAnsi="Arial" w:cs="Arial"/>
        </w:rPr>
        <w:t>Virginia</w:t>
      </w:r>
      <w:r w:rsidR="00B41FB8">
        <w:rPr>
          <w:rFonts w:ascii="Arial" w:hAnsi="Arial" w:cs="Arial"/>
        </w:rPr>
        <w:t>, Vermont</w:t>
      </w:r>
      <w:r w:rsidR="000837ED">
        <w:rPr>
          <w:rFonts w:ascii="Arial" w:hAnsi="Arial" w:cs="Arial"/>
        </w:rPr>
        <w:t xml:space="preserve"> </w:t>
      </w:r>
      <w:r w:rsidR="005C12C4">
        <w:rPr>
          <w:rFonts w:ascii="Arial" w:hAnsi="Arial" w:cs="Arial"/>
        </w:rPr>
        <w:t xml:space="preserve">among others, </w:t>
      </w:r>
      <w:r w:rsidR="001D6BA1">
        <w:rPr>
          <w:rFonts w:ascii="Arial" w:hAnsi="Arial" w:cs="Arial"/>
        </w:rPr>
        <w:t>init</w:t>
      </w:r>
      <w:r w:rsidR="001E032A">
        <w:rPr>
          <w:rFonts w:ascii="Arial" w:hAnsi="Arial" w:cs="Arial"/>
        </w:rPr>
        <w:t xml:space="preserve">iated </w:t>
      </w:r>
      <w:r w:rsidR="001D6BA1">
        <w:rPr>
          <w:rFonts w:ascii="Arial" w:hAnsi="Arial" w:cs="Arial"/>
        </w:rPr>
        <w:t>The Regional Greenhouse Gas Initiative (RGGI)</w:t>
      </w:r>
      <w:r w:rsidR="00D679FB">
        <w:rPr>
          <w:rFonts w:ascii="Arial" w:hAnsi="Arial" w:cs="Arial"/>
        </w:rPr>
        <w:t xml:space="preserve">. </w:t>
      </w:r>
      <w:r w:rsidR="00FF491F">
        <w:rPr>
          <w:rFonts w:ascii="Arial" w:hAnsi="Arial" w:cs="Arial"/>
        </w:rPr>
        <w:t>The latter is a</w:t>
      </w:r>
      <w:r w:rsidR="00D679FB">
        <w:rPr>
          <w:rFonts w:ascii="Arial" w:hAnsi="Arial" w:cs="Arial"/>
        </w:rPr>
        <w:t xml:space="preserve"> </w:t>
      </w:r>
      <w:r w:rsidR="003F2ACA">
        <w:rPr>
          <w:rFonts w:ascii="Arial" w:hAnsi="Arial" w:cs="Arial"/>
        </w:rPr>
        <w:t xml:space="preserve">cooperative effort to cap and reduce </w:t>
      </w:r>
      <w:r w:rsidR="00082983">
        <w:rPr>
          <w:rFonts w:ascii="Arial" w:hAnsi="Arial" w:cs="Arial"/>
        </w:rPr>
        <w:t xml:space="preserve">CO2 emissions from the power sector. </w:t>
      </w:r>
      <w:r w:rsidR="0092172F">
        <w:rPr>
          <w:rFonts w:ascii="Arial" w:hAnsi="Arial" w:cs="Arial"/>
        </w:rPr>
        <w:t xml:space="preserve">Under </w:t>
      </w:r>
      <w:r w:rsidR="00E63CC4">
        <w:rPr>
          <w:rFonts w:ascii="Arial" w:hAnsi="Arial" w:cs="Arial"/>
        </w:rPr>
        <w:t xml:space="preserve">the RGGI program, power plants with a capacity of 25 megawatts </w:t>
      </w:r>
      <w:r w:rsidR="0056497B">
        <w:rPr>
          <w:rFonts w:ascii="Arial" w:hAnsi="Arial" w:cs="Arial"/>
        </w:rPr>
        <w:t xml:space="preserve">or more are required to purchase allowances for each tCO2 they </w:t>
      </w:r>
      <w:r w:rsidR="002B0086">
        <w:rPr>
          <w:rFonts w:ascii="Arial" w:hAnsi="Arial" w:cs="Arial"/>
        </w:rPr>
        <w:t xml:space="preserve">emit. As of April 2022, </w:t>
      </w:r>
      <w:r w:rsidR="006813B2">
        <w:rPr>
          <w:rFonts w:ascii="Arial" w:hAnsi="Arial" w:cs="Arial"/>
        </w:rPr>
        <w:t>RGGI price rate is 13.89</w:t>
      </w:r>
      <w:r w:rsidR="00650F01">
        <w:rPr>
          <w:rFonts w:ascii="Arial" w:hAnsi="Arial" w:cs="Arial"/>
        </w:rPr>
        <w:t>$ per tCO2e</w:t>
      </w:r>
      <w:r w:rsidR="00A54111">
        <w:rPr>
          <w:rFonts w:ascii="Arial" w:hAnsi="Arial" w:cs="Arial"/>
        </w:rPr>
        <w:t xml:space="preserve">, covering </w:t>
      </w:r>
      <w:r w:rsidR="00A54111" w:rsidRPr="00A54111">
        <w:rPr>
          <w:rFonts w:ascii="Arial" w:hAnsi="Arial" w:cs="Arial"/>
        </w:rPr>
        <w:t>0.07 GtCO2e</w:t>
      </w:r>
      <w:r w:rsidR="00A54111">
        <w:rPr>
          <w:rFonts w:ascii="Arial" w:hAnsi="Arial" w:cs="Arial"/>
        </w:rPr>
        <w:t xml:space="preserve"> i.e.</w:t>
      </w:r>
      <w:r w:rsidR="00A54111" w:rsidRPr="00A54111">
        <w:rPr>
          <w:rFonts w:ascii="Arial" w:hAnsi="Arial" w:cs="Arial"/>
        </w:rPr>
        <w:t xml:space="preserve"> 0.13% of global GHG emissions</w:t>
      </w:r>
      <w:r w:rsidR="00A54111">
        <w:rPr>
          <w:rFonts w:ascii="Arial" w:hAnsi="Arial" w:cs="Arial"/>
        </w:rPr>
        <w:t xml:space="preserve"> (carbon pricing dashboard, W</w:t>
      </w:r>
    </w:p>
    <w:p w14:paraId="2A11AEE4" w14:textId="69734AFD" w:rsidR="00DC5BA8" w:rsidRDefault="00A54111" w:rsidP="00DC5BA8">
      <w:pPr>
        <w:pStyle w:val="ListParagraph"/>
        <w:jc w:val="both"/>
        <w:rPr>
          <w:rFonts w:ascii="Arial" w:hAnsi="Arial" w:cs="Arial"/>
        </w:rPr>
      </w:pPr>
      <w:proofErr w:type="spellStart"/>
      <w:r>
        <w:rPr>
          <w:rFonts w:ascii="Arial" w:hAnsi="Arial" w:cs="Arial"/>
        </w:rPr>
        <w:t>orldbank</w:t>
      </w:r>
      <w:proofErr w:type="spellEnd"/>
      <w:r>
        <w:rPr>
          <w:rFonts w:ascii="Arial" w:hAnsi="Arial" w:cs="Arial"/>
        </w:rPr>
        <w:t>). I</w:t>
      </w:r>
      <w:r w:rsidR="006C39F4">
        <w:rPr>
          <w:rFonts w:ascii="Arial" w:hAnsi="Arial" w:cs="Arial"/>
        </w:rPr>
        <w:t xml:space="preserve">t is </w:t>
      </w:r>
      <w:r w:rsidR="00832452">
        <w:rPr>
          <w:rFonts w:ascii="Arial" w:hAnsi="Arial" w:cs="Arial"/>
        </w:rPr>
        <w:t>predicted to increase</w:t>
      </w:r>
      <w:r w:rsidR="00E02AF4">
        <w:rPr>
          <w:rFonts w:ascii="Arial" w:hAnsi="Arial" w:cs="Arial"/>
        </w:rPr>
        <w:t>,</w:t>
      </w:r>
      <w:r w:rsidR="00832452">
        <w:rPr>
          <w:rFonts w:ascii="Arial" w:hAnsi="Arial" w:cs="Arial"/>
        </w:rPr>
        <w:t xml:space="preserve"> as the total number of allowances </w:t>
      </w:r>
      <w:r w:rsidR="008C3BC1">
        <w:rPr>
          <w:rFonts w:ascii="Arial" w:hAnsi="Arial" w:cs="Arial"/>
        </w:rPr>
        <w:t>available are</w:t>
      </w:r>
      <w:r w:rsidR="007B6F45">
        <w:rPr>
          <w:rFonts w:ascii="Arial" w:hAnsi="Arial" w:cs="Arial"/>
        </w:rPr>
        <w:t xml:space="preserve"> declin</w:t>
      </w:r>
      <w:r w:rsidR="00410BC9">
        <w:rPr>
          <w:rFonts w:ascii="Arial" w:hAnsi="Arial" w:cs="Arial"/>
        </w:rPr>
        <w:t>ing</w:t>
      </w:r>
      <w:r w:rsidR="007B6F45">
        <w:rPr>
          <w:rFonts w:ascii="Arial" w:hAnsi="Arial" w:cs="Arial"/>
        </w:rPr>
        <w:t>.</w:t>
      </w:r>
      <w:r w:rsidR="00E02AF4">
        <w:rPr>
          <w:rFonts w:ascii="Arial" w:hAnsi="Arial" w:cs="Arial"/>
        </w:rPr>
        <w:t xml:space="preserve"> The proceeds</w:t>
      </w:r>
      <w:r w:rsidR="009A0303">
        <w:rPr>
          <w:rFonts w:ascii="Arial" w:hAnsi="Arial" w:cs="Arial"/>
        </w:rPr>
        <w:t xml:space="preserve"> from the sale of permits are invested in </w:t>
      </w:r>
      <w:r w:rsidR="00DF4C77">
        <w:rPr>
          <w:rFonts w:ascii="Arial" w:hAnsi="Arial" w:cs="Arial"/>
        </w:rPr>
        <w:t>renewable</w:t>
      </w:r>
      <w:r w:rsidR="009A0303">
        <w:rPr>
          <w:rFonts w:ascii="Arial" w:hAnsi="Arial" w:cs="Arial"/>
        </w:rPr>
        <w:t xml:space="preserve"> </w:t>
      </w:r>
      <w:r w:rsidR="00280F13">
        <w:rPr>
          <w:rFonts w:ascii="Arial" w:hAnsi="Arial" w:cs="Arial"/>
        </w:rPr>
        <w:t xml:space="preserve">clean </w:t>
      </w:r>
      <w:r w:rsidR="009A0303">
        <w:rPr>
          <w:rFonts w:ascii="Arial" w:hAnsi="Arial" w:cs="Arial"/>
        </w:rPr>
        <w:t>energy</w:t>
      </w:r>
      <w:r w:rsidR="000E438B">
        <w:rPr>
          <w:rFonts w:ascii="Arial" w:hAnsi="Arial" w:cs="Arial"/>
        </w:rPr>
        <w:t xml:space="preserve"> and </w:t>
      </w:r>
      <w:r w:rsidR="00DF4C77">
        <w:rPr>
          <w:rFonts w:ascii="Arial" w:hAnsi="Arial" w:cs="Arial"/>
        </w:rPr>
        <w:t>energy efficiency programs.</w:t>
      </w:r>
      <w:r w:rsidR="00721E49">
        <w:rPr>
          <w:rFonts w:ascii="Arial" w:hAnsi="Arial" w:cs="Arial"/>
        </w:rPr>
        <w:t xml:space="preserve"> It </w:t>
      </w:r>
      <w:r w:rsidR="00686ACD" w:rsidRPr="00686ACD">
        <w:rPr>
          <w:rFonts w:ascii="Arial" w:hAnsi="Arial" w:cs="Arial"/>
        </w:rPr>
        <w:t>represents the first cap-and-invest regional initiative implemented in the United States.</w:t>
      </w:r>
    </w:p>
    <w:p w14:paraId="11E9FF94" w14:textId="1A459F8C" w:rsidR="00973213" w:rsidRDefault="00B00389" w:rsidP="00973213">
      <w:pPr>
        <w:pStyle w:val="ListParagraph"/>
        <w:jc w:val="both"/>
        <w:rPr>
          <w:rFonts w:ascii="Arial" w:hAnsi="Arial" w:cs="Arial"/>
        </w:rPr>
      </w:pPr>
      <w:r>
        <w:rPr>
          <w:rFonts w:ascii="Arial" w:hAnsi="Arial" w:cs="Arial"/>
        </w:rPr>
        <w:t xml:space="preserve"> </w:t>
      </w:r>
      <w:r w:rsidR="00973213">
        <w:rPr>
          <w:rFonts w:ascii="Arial" w:hAnsi="Arial" w:cs="Arial"/>
        </w:rPr>
        <w:t>At the national level, T</w:t>
      </w:r>
      <w:r w:rsidR="004029AB" w:rsidRPr="006A2F5E">
        <w:rPr>
          <w:rFonts w:ascii="Arial" w:hAnsi="Arial" w:cs="Arial"/>
        </w:rPr>
        <w:t xml:space="preserve">he Inflation Reduction Act is a law that was signed by President Biden in August 2022 with the aim of lowering energy costs for families and small businesses, creating good-paying jobs, and accelerating private investment in clean energy solutions across every sector of the economy and the country. The Act includes </w:t>
      </w:r>
      <w:r w:rsidR="00973213">
        <w:rPr>
          <w:rFonts w:ascii="Arial" w:hAnsi="Arial" w:cs="Arial"/>
        </w:rPr>
        <w:t>$</w:t>
      </w:r>
      <w:r w:rsidR="004029AB" w:rsidRPr="006A2F5E">
        <w:rPr>
          <w:rFonts w:ascii="Arial" w:hAnsi="Arial" w:cs="Arial"/>
        </w:rPr>
        <w:t>370 billion in investments and prioritizes creating shared prosperity, environmental justice, and resilience for underserved communities, particularly those affected by legacy pollution.</w:t>
      </w:r>
      <w:r w:rsidR="00973213">
        <w:rPr>
          <w:rFonts w:ascii="Arial" w:hAnsi="Arial" w:cs="Arial"/>
        </w:rPr>
        <w:t xml:space="preserve"> </w:t>
      </w:r>
      <w:r w:rsidR="004029AB" w:rsidRPr="00973213">
        <w:rPr>
          <w:rFonts w:ascii="Arial" w:hAnsi="Arial" w:cs="Arial"/>
        </w:rPr>
        <w:t>The Act builds on previous climate and clean energy actions taken by the Biden-Harris Administration and the investments secured in the Bipartisan Infrastructure Law</w:t>
      </w:r>
      <w:r w:rsidR="004029AB">
        <w:rPr>
          <w:rStyle w:val="FootnoteReference"/>
          <w:rFonts w:ascii="Arial" w:hAnsi="Arial" w:cs="Arial"/>
        </w:rPr>
        <w:footnoteReference w:id="3"/>
      </w:r>
      <w:r w:rsidR="004029AB" w:rsidRPr="00973213">
        <w:rPr>
          <w:rFonts w:ascii="Arial" w:hAnsi="Arial" w:cs="Arial"/>
        </w:rPr>
        <w:t xml:space="preserve"> signed in November 2021. According to the Department of Energy, the clean energy provisions of both laws could reduce greenhouse gas emissions by more than 1,000 million metric tons of CO2e in 2030, equivalent to the combined annual emissions released from every home in the United States.</w:t>
      </w:r>
      <w:r w:rsidR="00973213">
        <w:rPr>
          <w:rFonts w:ascii="Arial" w:hAnsi="Arial" w:cs="Arial"/>
        </w:rPr>
        <w:t xml:space="preserve"> </w:t>
      </w:r>
      <w:r w:rsidR="004029AB" w:rsidRPr="00973213">
        <w:rPr>
          <w:rFonts w:ascii="Arial" w:hAnsi="Arial" w:cs="Arial"/>
        </w:rPr>
        <w:t xml:space="preserve">Overall, the Inflation Reduction Act represents a significant effort by the </w:t>
      </w:r>
      <w:r w:rsidR="004029AB" w:rsidRPr="00973213">
        <w:rPr>
          <w:rFonts w:ascii="Arial" w:hAnsi="Arial" w:cs="Arial"/>
        </w:rPr>
        <w:lastRenderedPageBreak/>
        <w:t>Biden administration to tackle the climate crisis while also creating economic opportunities and supporting underserved communities.</w:t>
      </w:r>
    </w:p>
    <w:p w14:paraId="7C068D35" w14:textId="71AF0CEB" w:rsidR="00FE3A04" w:rsidRDefault="004335E8" w:rsidP="00973213">
      <w:pPr>
        <w:pStyle w:val="ListParagraph"/>
        <w:jc w:val="both"/>
        <w:rPr>
          <w:rFonts w:ascii="Arial" w:hAnsi="Arial" w:cs="Arial"/>
        </w:rPr>
      </w:pPr>
      <w:r>
        <w:rPr>
          <w:rFonts w:ascii="Arial" w:hAnsi="Arial" w:cs="Arial"/>
        </w:rPr>
        <w:t>Table 1 contains an overview of the main climate policies and green plans in place with the main commonalities and differences highlighted.</w:t>
      </w:r>
    </w:p>
    <w:p w14:paraId="638F95D2" w14:textId="77777777" w:rsidR="00A86554" w:rsidRDefault="00A86554" w:rsidP="00973213">
      <w:pPr>
        <w:pStyle w:val="ListParagraph"/>
        <w:jc w:val="both"/>
        <w:rPr>
          <w:rFonts w:ascii="Arial" w:hAnsi="Arial" w:cs="Arial"/>
        </w:rPr>
      </w:pPr>
    </w:p>
    <w:p w14:paraId="55AB5AEA" w14:textId="29CB99B4" w:rsidR="004335E8" w:rsidRDefault="004335E8" w:rsidP="00973213">
      <w:pPr>
        <w:pStyle w:val="ListParagraph"/>
        <w:jc w:val="both"/>
        <w:rPr>
          <w:rFonts w:ascii="Arial" w:hAnsi="Arial" w:cs="Arial"/>
        </w:rPr>
      </w:pPr>
    </w:p>
    <w:tbl>
      <w:tblPr>
        <w:tblStyle w:val="TableGrid"/>
        <w:tblW w:w="8535" w:type="dxa"/>
        <w:tblInd w:w="720" w:type="dxa"/>
        <w:tblLook w:val="04A0" w:firstRow="1" w:lastRow="0" w:firstColumn="1" w:lastColumn="0" w:noHBand="0" w:noVBand="1"/>
      </w:tblPr>
      <w:tblGrid>
        <w:gridCol w:w="1707"/>
        <w:gridCol w:w="1707"/>
        <w:gridCol w:w="1707"/>
        <w:gridCol w:w="1707"/>
        <w:gridCol w:w="1707"/>
      </w:tblGrid>
      <w:tr w:rsidR="004335E8" w14:paraId="07D075A4" w14:textId="77777777" w:rsidTr="004335E8">
        <w:trPr>
          <w:trHeight w:val="523"/>
        </w:trPr>
        <w:tc>
          <w:tcPr>
            <w:tcW w:w="1707" w:type="dxa"/>
          </w:tcPr>
          <w:p w14:paraId="281EC7C2" w14:textId="77777777" w:rsidR="004335E8" w:rsidRDefault="004335E8" w:rsidP="00A67A5D">
            <w:pPr>
              <w:pStyle w:val="ListParagraph"/>
              <w:ind w:left="0"/>
              <w:rPr>
                <w:rFonts w:ascii="Arial" w:hAnsi="Arial" w:cs="Arial"/>
              </w:rPr>
            </w:pPr>
          </w:p>
        </w:tc>
        <w:tc>
          <w:tcPr>
            <w:tcW w:w="1707" w:type="dxa"/>
          </w:tcPr>
          <w:p w14:paraId="3FE22585" w14:textId="0D84DCAC" w:rsidR="004335E8" w:rsidRDefault="00A67A5D" w:rsidP="00A67A5D">
            <w:pPr>
              <w:pStyle w:val="ListParagraph"/>
              <w:ind w:left="0"/>
              <w:jc w:val="center"/>
              <w:rPr>
                <w:rFonts w:ascii="Arial" w:hAnsi="Arial" w:cs="Arial"/>
              </w:rPr>
            </w:pPr>
            <w:r>
              <w:rPr>
                <w:rFonts w:ascii="Arial" w:hAnsi="Arial" w:cs="Arial"/>
              </w:rPr>
              <w:t xml:space="preserve">Price Rate </w:t>
            </w:r>
            <w:r w:rsidR="00A54111">
              <w:rPr>
                <w:rFonts w:ascii="Arial" w:hAnsi="Arial" w:cs="Arial"/>
              </w:rPr>
              <w:t>(</w:t>
            </w:r>
            <w:r>
              <w:rPr>
                <w:rFonts w:ascii="Arial" w:hAnsi="Arial" w:cs="Arial"/>
              </w:rPr>
              <w:t>$/tCO2</w:t>
            </w:r>
            <w:r w:rsidR="00A54111">
              <w:rPr>
                <w:rFonts w:ascii="Arial" w:hAnsi="Arial" w:cs="Arial"/>
              </w:rPr>
              <w:t>)</w:t>
            </w:r>
          </w:p>
        </w:tc>
        <w:tc>
          <w:tcPr>
            <w:tcW w:w="1707" w:type="dxa"/>
          </w:tcPr>
          <w:p w14:paraId="61C63ED0" w14:textId="49E0C197" w:rsidR="004335E8" w:rsidRDefault="00A67A5D" w:rsidP="00A54111">
            <w:pPr>
              <w:pStyle w:val="ListParagraph"/>
              <w:ind w:left="0"/>
              <w:jc w:val="center"/>
              <w:rPr>
                <w:rFonts w:ascii="Arial" w:hAnsi="Arial" w:cs="Arial"/>
              </w:rPr>
            </w:pPr>
            <w:r>
              <w:rPr>
                <w:rFonts w:ascii="Arial" w:hAnsi="Arial" w:cs="Arial"/>
              </w:rPr>
              <w:t>Coverage of global GHG emissions</w:t>
            </w:r>
            <w:r w:rsidR="00A54111">
              <w:rPr>
                <w:rFonts w:ascii="Arial" w:hAnsi="Arial" w:cs="Arial"/>
              </w:rPr>
              <w:t xml:space="preserve"> </w:t>
            </w:r>
          </w:p>
        </w:tc>
        <w:tc>
          <w:tcPr>
            <w:tcW w:w="1707" w:type="dxa"/>
          </w:tcPr>
          <w:p w14:paraId="0D648B7B" w14:textId="04E451EC" w:rsidR="004335E8" w:rsidRDefault="00486259" w:rsidP="00486259">
            <w:pPr>
              <w:pStyle w:val="ListParagraph"/>
              <w:ind w:left="0"/>
              <w:jc w:val="center"/>
              <w:rPr>
                <w:rFonts w:ascii="Arial" w:hAnsi="Arial" w:cs="Arial"/>
              </w:rPr>
            </w:pPr>
            <w:r>
              <w:rPr>
                <w:rFonts w:ascii="Arial" w:hAnsi="Arial" w:cs="Arial"/>
              </w:rPr>
              <w:t>National coverage</w:t>
            </w:r>
          </w:p>
        </w:tc>
        <w:tc>
          <w:tcPr>
            <w:tcW w:w="1707" w:type="dxa"/>
          </w:tcPr>
          <w:p w14:paraId="65479FF5" w14:textId="45BA063D" w:rsidR="004335E8" w:rsidRDefault="00A01C2B" w:rsidP="00A01C2B">
            <w:pPr>
              <w:pStyle w:val="ListParagraph"/>
              <w:ind w:left="0"/>
              <w:jc w:val="center"/>
              <w:rPr>
                <w:rFonts w:ascii="Arial" w:hAnsi="Arial" w:cs="Arial"/>
              </w:rPr>
            </w:pPr>
            <w:r>
              <w:rPr>
                <w:rFonts w:ascii="Arial" w:hAnsi="Arial" w:cs="Arial"/>
              </w:rPr>
              <w:t xml:space="preserve">Planned sustainable investments </w:t>
            </w:r>
          </w:p>
        </w:tc>
      </w:tr>
      <w:tr w:rsidR="004335E8" w14:paraId="38113E00" w14:textId="77777777" w:rsidTr="004335E8">
        <w:trPr>
          <w:trHeight w:val="504"/>
        </w:trPr>
        <w:tc>
          <w:tcPr>
            <w:tcW w:w="1707" w:type="dxa"/>
          </w:tcPr>
          <w:p w14:paraId="633DBCD0" w14:textId="79C1B782" w:rsidR="004335E8" w:rsidRDefault="004335E8" w:rsidP="00A67A5D">
            <w:pPr>
              <w:pStyle w:val="ListParagraph"/>
              <w:ind w:left="0"/>
              <w:rPr>
                <w:rFonts w:ascii="Arial" w:hAnsi="Arial" w:cs="Arial"/>
              </w:rPr>
            </w:pPr>
            <w:r>
              <w:rPr>
                <w:rFonts w:ascii="Arial" w:hAnsi="Arial" w:cs="Arial"/>
              </w:rPr>
              <w:t>China 14</w:t>
            </w:r>
            <w:r w:rsidRPr="004335E8">
              <w:rPr>
                <w:rFonts w:ascii="Arial" w:hAnsi="Arial" w:cs="Arial"/>
                <w:vertAlign w:val="superscript"/>
              </w:rPr>
              <w:t>th</w:t>
            </w:r>
            <w:r>
              <w:rPr>
                <w:rFonts w:ascii="Arial" w:hAnsi="Arial" w:cs="Arial"/>
              </w:rPr>
              <w:t xml:space="preserve"> FYP</w:t>
            </w:r>
          </w:p>
        </w:tc>
        <w:tc>
          <w:tcPr>
            <w:tcW w:w="1707" w:type="dxa"/>
          </w:tcPr>
          <w:p w14:paraId="52816628" w14:textId="0564755A" w:rsidR="004335E8" w:rsidRDefault="00A67A5D" w:rsidP="00A67A5D">
            <w:pPr>
              <w:pStyle w:val="ListParagraph"/>
              <w:ind w:left="0"/>
              <w:jc w:val="center"/>
              <w:rPr>
                <w:rFonts w:ascii="Arial" w:hAnsi="Arial" w:cs="Arial"/>
              </w:rPr>
            </w:pPr>
            <w:r>
              <w:rPr>
                <w:rFonts w:ascii="Arial" w:hAnsi="Arial" w:cs="Arial"/>
              </w:rPr>
              <w:t>9.20</w:t>
            </w:r>
          </w:p>
        </w:tc>
        <w:tc>
          <w:tcPr>
            <w:tcW w:w="1707" w:type="dxa"/>
          </w:tcPr>
          <w:p w14:paraId="4938EA44" w14:textId="7C1DC5D1" w:rsidR="004335E8" w:rsidRDefault="00A54111" w:rsidP="00A54111">
            <w:pPr>
              <w:pStyle w:val="ListParagraph"/>
              <w:ind w:left="0"/>
              <w:jc w:val="center"/>
              <w:rPr>
                <w:rFonts w:ascii="Arial" w:hAnsi="Arial" w:cs="Arial"/>
              </w:rPr>
            </w:pPr>
            <w:r>
              <w:rPr>
                <w:rFonts w:ascii="Arial" w:hAnsi="Arial" w:cs="Arial"/>
              </w:rPr>
              <w:t>8.79%</w:t>
            </w:r>
          </w:p>
        </w:tc>
        <w:tc>
          <w:tcPr>
            <w:tcW w:w="1707" w:type="dxa"/>
          </w:tcPr>
          <w:p w14:paraId="27801576" w14:textId="07D29274" w:rsidR="004335E8" w:rsidRDefault="00486259" w:rsidP="00486259">
            <w:pPr>
              <w:pStyle w:val="ListParagraph"/>
              <w:ind w:left="0"/>
              <w:jc w:val="center"/>
              <w:rPr>
                <w:rFonts w:ascii="Arial" w:hAnsi="Arial" w:cs="Arial"/>
              </w:rPr>
            </w:pPr>
            <w:r>
              <w:rPr>
                <w:rFonts w:ascii="Arial" w:hAnsi="Arial" w:cs="Arial"/>
              </w:rPr>
              <w:t>Yes</w:t>
            </w:r>
          </w:p>
        </w:tc>
        <w:tc>
          <w:tcPr>
            <w:tcW w:w="1707" w:type="dxa"/>
          </w:tcPr>
          <w:p w14:paraId="77C412C6" w14:textId="5C56ACD0" w:rsidR="004335E8" w:rsidRDefault="00A01C2B" w:rsidP="00A01C2B">
            <w:pPr>
              <w:pStyle w:val="ListParagraph"/>
              <w:ind w:left="0"/>
              <w:jc w:val="center"/>
              <w:rPr>
                <w:rFonts w:ascii="Arial" w:hAnsi="Arial" w:cs="Arial"/>
              </w:rPr>
            </w:pPr>
            <w:r>
              <w:rPr>
                <w:rFonts w:ascii="Arial" w:hAnsi="Arial" w:cs="Arial"/>
              </w:rPr>
              <w:t>Not disclosed</w:t>
            </w:r>
          </w:p>
        </w:tc>
      </w:tr>
      <w:tr w:rsidR="004335E8" w14:paraId="54A9C1C8" w14:textId="77777777" w:rsidTr="004335E8">
        <w:trPr>
          <w:trHeight w:val="523"/>
        </w:trPr>
        <w:tc>
          <w:tcPr>
            <w:tcW w:w="1707" w:type="dxa"/>
          </w:tcPr>
          <w:p w14:paraId="08845A73" w14:textId="1FA38277" w:rsidR="004335E8" w:rsidRDefault="004335E8" w:rsidP="00A67A5D">
            <w:pPr>
              <w:pStyle w:val="ListParagraph"/>
              <w:ind w:left="0"/>
              <w:rPr>
                <w:rFonts w:ascii="Arial" w:hAnsi="Arial" w:cs="Arial"/>
              </w:rPr>
            </w:pPr>
            <w:r>
              <w:rPr>
                <w:rFonts w:ascii="Arial" w:hAnsi="Arial" w:cs="Arial"/>
              </w:rPr>
              <w:t>European Green Deal</w:t>
            </w:r>
          </w:p>
        </w:tc>
        <w:tc>
          <w:tcPr>
            <w:tcW w:w="1707" w:type="dxa"/>
          </w:tcPr>
          <w:p w14:paraId="588E9616" w14:textId="665846BA" w:rsidR="004335E8" w:rsidRDefault="00A67A5D" w:rsidP="00A67A5D">
            <w:pPr>
              <w:pStyle w:val="ListParagraph"/>
              <w:ind w:left="0"/>
              <w:jc w:val="center"/>
              <w:rPr>
                <w:rFonts w:ascii="Arial" w:hAnsi="Arial" w:cs="Arial"/>
              </w:rPr>
            </w:pPr>
            <w:r>
              <w:rPr>
                <w:rFonts w:ascii="Arial" w:hAnsi="Arial" w:cs="Arial"/>
              </w:rPr>
              <w:t>86.53</w:t>
            </w:r>
          </w:p>
        </w:tc>
        <w:tc>
          <w:tcPr>
            <w:tcW w:w="1707" w:type="dxa"/>
          </w:tcPr>
          <w:p w14:paraId="7120BF8D" w14:textId="4CC2E322" w:rsidR="004335E8" w:rsidRDefault="00A54111" w:rsidP="00A54111">
            <w:pPr>
              <w:pStyle w:val="ListParagraph"/>
              <w:ind w:left="0"/>
              <w:jc w:val="center"/>
              <w:rPr>
                <w:rFonts w:ascii="Arial" w:hAnsi="Arial" w:cs="Arial"/>
              </w:rPr>
            </w:pPr>
            <w:r>
              <w:rPr>
                <w:rFonts w:ascii="Arial" w:hAnsi="Arial" w:cs="Arial"/>
              </w:rPr>
              <w:t>3.18%</w:t>
            </w:r>
          </w:p>
        </w:tc>
        <w:tc>
          <w:tcPr>
            <w:tcW w:w="1707" w:type="dxa"/>
          </w:tcPr>
          <w:p w14:paraId="10618434" w14:textId="1064EB2B" w:rsidR="004335E8" w:rsidRDefault="00486259" w:rsidP="00486259">
            <w:pPr>
              <w:pStyle w:val="ListParagraph"/>
              <w:ind w:left="0"/>
              <w:jc w:val="center"/>
              <w:rPr>
                <w:rFonts w:ascii="Arial" w:hAnsi="Arial" w:cs="Arial"/>
              </w:rPr>
            </w:pPr>
            <w:r>
              <w:rPr>
                <w:rFonts w:ascii="Arial" w:hAnsi="Arial" w:cs="Arial"/>
              </w:rPr>
              <w:t>Yes</w:t>
            </w:r>
          </w:p>
        </w:tc>
        <w:tc>
          <w:tcPr>
            <w:tcW w:w="1707" w:type="dxa"/>
          </w:tcPr>
          <w:p w14:paraId="08197BA9" w14:textId="1E5C2E41" w:rsidR="004335E8" w:rsidRDefault="00A01C2B" w:rsidP="00A01C2B">
            <w:pPr>
              <w:pStyle w:val="ListParagraph"/>
              <w:ind w:left="0"/>
              <w:jc w:val="center"/>
              <w:rPr>
                <w:rFonts w:ascii="Arial" w:hAnsi="Arial" w:cs="Arial"/>
              </w:rPr>
            </w:pPr>
            <w:r>
              <w:rPr>
                <w:rFonts w:ascii="Arial" w:hAnsi="Arial" w:cs="Arial"/>
              </w:rPr>
              <w:t>€1 trillion</w:t>
            </w:r>
            <w:r>
              <w:rPr>
                <w:rStyle w:val="FootnoteReference"/>
                <w:rFonts w:ascii="Arial" w:hAnsi="Arial" w:cs="Arial"/>
              </w:rPr>
              <w:footnoteReference w:id="4"/>
            </w:r>
          </w:p>
        </w:tc>
      </w:tr>
      <w:tr w:rsidR="004335E8" w14:paraId="76EF1352" w14:textId="77777777" w:rsidTr="004335E8">
        <w:trPr>
          <w:trHeight w:val="504"/>
        </w:trPr>
        <w:tc>
          <w:tcPr>
            <w:tcW w:w="1707" w:type="dxa"/>
          </w:tcPr>
          <w:p w14:paraId="0F7C0920" w14:textId="24B08749" w:rsidR="004335E8" w:rsidRDefault="00A67A5D" w:rsidP="00A67A5D">
            <w:pPr>
              <w:pStyle w:val="ListParagraph"/>
              <w:ind w:left="0"/>
              <w:rPr>
                <w:rFonts w:ascii="Arial" w:hAnsi="Arial" w:cs="Arial"/>
              </w:rPr>
            </w:pPr>
            <w:r>
              <w:rPr>
                <w:rFonts w:ascii="Arial" w:hAnsi="Arial" w:cs="Arial"/>
              </w:rPr>
              <w:t>India</w:t>
            </w:r>
          </w:p>
        </w:tc>
        <w:tc>
          <w:tcPr>
            <w:tcW w:w="1707" w:type="dxa"/>
          </w:tcPr>
          <w:p w14:paraId="2476C095" w14:textId="6C90EDDF" w:rsidR="004335E8" w:rsidRDefault="00A67A5D" w:rsidP="00A67A5D">
            <w:pPr>
              <w:pStyle w:val="ListParagraph"/>
              <w:ind w:left="0"/>
              <w:jc w:val="center"/>
              <w:rPr>
                <w:rFonts w:ascii="Arial" w:hAnsi="Arial" w:cs="Arial"/>
              </w:rPr>
            </w:pPr>
            <w:r>
              <w:rPr>
                <w:rFonts w:ascii="Arial" w:hAnsi="Arial" w:cs="Arial"/>
              </w:rPr>
              <w:t>-</w:t>
            </w:r>
          </w:p>
        </w:tc>
        <w:tc>
          <w:tcPr>
            <w:tcW w:w="1707" w:type="dxa"/>
          </w:tcPr>
          <w:p w14:paraId="7AC6D131" w14:textId="6B905A81" w:rsidR="004335E8" w:rsidRDefault="00A54111" w:rsidP="00A54111">
            <w:pPr>
              <w:pStyle w:val="ListParagraph"/>
              <w:ind w:left="0"/>
              <w:jc w:val="center"/>
              <w:rPr>
                <w:rFonts w:ascii="Arial" w:hAnsi="Arial" w:cs="Arial"/>
              </w:rPr>
            </w:pPr>
            <w:r>
              <w:rPr>
                <w:rFonts w:ascii="Arial" w:hAnsi="Arial" w:cs="Arial"/>
              </w:rPr>
              <w:t>-</w:t>
            </w:r>
          </w:p>
        </w:tc>
        <w:tc>
          <w:tcPr>
            <w:tcW w:w="1707" w:type="dxa"/>
          </w:tcPr>
          <w:p w14:paraId="3854466D" w14:textId="0A9E7B1C" w:rsidR="004335E8" w:rsidRDefault="00486259" w:rsidP="00486259">
            <w:pPr>
              <w:pStyle w:val="ListParagraph"/>
              <w:ind w:left="0"/>
              <w:jc w:val="center"/>
              <w:rPr>
                <w:rFonts w:ascii="Arial" w:hAnsi="Arial" w:cs="Arial"/>
              </w:rPr>
            </w:pPr>
            <w:r>
              <w:rPr>
                <w:rFonts w:ascii="Arial" w:hAnsi="Arial" w:cs="Arial"/>
              </w:rPr>
              <w:t>-</w:t>
            </w:r>
          </w:p>
        </w:tc>
        <w:tc>
          <w:tcPr>
            <w:tcW w:w="1707" w:type="dxa"/>
          </w:tcPr>
          <w:p w14:paraId="141EA6BB" w14:textId="04309616" w:rsidR="004335E8" w:rsidRDefault="00A01C2B" w:rsidP="00A01C2B">
            <w:pPr>
              <w:pStyle w:val="ListParagraph"/>
              <w:ind w:left="0"/>
              <w:jc w:val="center"/>
              <w:rPr>
                <w:rFonts w:ascii="Arial" w:hAnsi="Arial" w:cs="Arial"/>
              </w:rPr>
            </w:pPr>
            <w:r>
              <w:rPr>
                <w:rFonts w:ascii="Arial" w:hAnsi="Arial" w:cs="Arial"/>
              </w:rPr>
              <w:t>-</w:t>
            </w:r>
          </w:p>
        </w:tc>
      </w:tr>
      <w:tr w:rsidR="004335E8" w14:paraId="7D44215F" w14:textId="77777777" w:rsidTr="004335E8">
        <w:trPr>
          <w:trHeight w:val="523"/>
        </w:trPr>
        <w:tc>
          <w:tcPr>
            <w:tcW w:w="1707" w:type="dxa"/>
          </w:tcPr>
          <w:p w14:paraId="4CC52441" w14:textId="1D436F0B" w:rsidR="004335E8" w:rsidRDefault="00A67A5D" w:rsidP="00A67A5D">
            <w:pPr>
              <w:pStyle w:val="ListParagraph"/>
              <w:ind w:left="0"/>
              <w:rPr>
                <w:rFonts w:ascii="Arial" w:hAnsi="Arial" w:cs="Arial"/>
              </w:rPr>
            </w:pPr>
            <w:r>
              <w:rPr>
                <w:rFonts w:ascii="Arial" w:hAnsi="Arial" w:cs="Arial"/>
              </w:rPr>
              <w:t>Russian Federation</w:t>
            </w:r>
          </w:p>
        </w:tc>
        <w:tc>
          <w:tcPr>
            <w:tcW w:w="1707" w:type="dxa"/>
          </w:tcPr>
          <w:p w14:paraId="420CA801" w14:textId="1A62BE68" w:rsidR="004335E8" w:rsidRDefault="00A67A5D" w:rsidP="00A67A5D">
            <w:pPr>
              <w:pStyle w:val="ListParagraph"/>
              <w:ind w:left="0"/>
              <w:jc w:val="center"/>
              <w:rPr>
                <w:rFonts w:ascii="Arial" w:hAnsi="Arial" w:cs="Arial"/>
              </w:rPr>
            </w:pPr>
            <w:r>
              <w:rPr>
                <w:rFonts w:ascii="Arial" w:hAnsi="Arial" w:cs="Arial"/>
              </w:rPr>
              <w:t>-</w:t>
            </w:r>
          </w:p>
        </w:tc>
        <w:tc>
          <w:tcPr>
            <w:tcW w:w="1707" w:type="dxa"/>
          </w:tcPr>
          <w:p w14:paraId="7A9618C2" w14:textId="1BECE7D3" w:rsidR="004335E8" w:rsidRDefault="00A54111" w:rsidP="00A54111">
            <w:pPr>
              <w:pStyle w:val="ListParagraph"/>
              <w:ind w:left="0"/>
              <w:jc w:val="center"/>
              <w:rPr>
                <w:rFonts w:ascii="Arial" w:hAnsi="Arial" w:cs="Arial"/>
              </w:rPr>
            </w:pPr>
            <w:r>
              <w:rPr>
                <w:rFonts w:ascii="Arial" w:hAnsi="Arial" w:cs="Arial"/>
              </w:rPr>
              <w:t>-</w:t>
            </w:r>
          </w:p>
        </w:tc>
        <w:tc>
          <w:tcPr>
            <w:tcW w:w="1707" w:type="dxa"/>
          </w:tcPr>
          <w:p w14:paraId="6B40C7FB" w14:textId="7CE59445" w:rsidR="004335E8" w:rsidRDefault="00486259" w:rsidP="00486259">
            <w:pPr>
              <w:pStyle w:val="ListParagraph"/>
              <w:ind w:left="0"/>
              <w:jc w:val="center"/>
              <w:rPr>
                <w:rFonts w:ascii="Arial" w:hAnsi="Arial" w:cs="Arial"/>
              </w:rPr>
            </w:pPr>
            <w:r>
              <w:rPr>
                <w:rFonts w:ascii="Arial" w:hAnsi="Arial" w:cs="Arial"/>
              </w:rPr>
              <w:t>-</w:t>
            </w:r>
          </w:p>
        </w:tc>
        <w:tc>
          <w:tcPr>
            <w:tcW w:w="1707" w:type="dxa"/>
          </w:tcPr>
          <w:p w14:paraId="2F44CB9D" w14:textId="56FA7A65" w:rsidR="004335E8" w:rsidRDefault="00A01C2B" w:rsidP="00A01C2B">
            <w:pPr>
              <w:pStyle w:val="ListParagraph"/>
              <w:ind w:left="0"/>
              <w:jc w:val="center"/>
              <w:rPr>
                <w:rFonts w:ascii="Arial" w:hAnsi="Arial" w:cs="Arial"/>
              </w:rPr>
            </w:pPr>
            <w:r>
              <w:rPr>
                <w:rFonts w:ascii="Arial" w:hAnsi="Arial" w:cs="Arial"/>
              </w:rPr>
              <w:t>-</w:t>
            </w:r>
          </w:p>
        </w:tc>
      </w:tr>
      <w:tr w:rsidR="004335E8" w14:paraId="6012A26D" w14:textId="77777777" w:rsidTr="004335E8">
        <w:trPr>
          <w:trHeight w:val="523"/>
        </w:trPr>
        <w:tc>
          <w:tcPr>
            <w:tcW w:w="1707" w:type="dxa"/>
          </w:tcPr>
          <w:p w14:paraId="7BA0D6F2" w14:textId="01023BD2" w:rsidR="004335E8" w:rsidRDefault="00A67A5D" w:rsidP="00A67A5D">
            <w:pPr>
              <w:pStyle w:val="ListParagraph"/>
              <w:ind w:left="0"/>
              <w:rPr>
                <w:rFonts w:ascii="Arial" w:hAnsi="Arial" w:cs="Arial"/>
              </w:rPr>
            </w:pPr>
            <w:r>
              <w:rPr>
                <w:rFonts w:ascii="Arial" w:hAnsi="Arial" w:cs="Arial"/>
              </w:rPr>
              <w:t xml:space="preserve">US - California </w:t>
            </w:r>
            <w:proofErr w:type="spellStart"/>
            <w:r>
              <w:rPr>
                <w:rFonts w:ascii="Arial" w:hAnsi="Arial" w:cs="Arial"/>
              </w:rPr>
              <w:t>CaT</w:t>
            </w:r>
            <w:proofErr w:type="spellEnd"/>
            <w:r>
              <w:rPr>
                <w:rFonts w:ascii="Arial" w:hAnsi="Arial" w:cs="Arial"/>
              </w:rPr>
              <w:t xml:space="preserve"> program</w:t>
            </w:r>
          </w:p>
        </w:tc>
        <w:tc>
          <w:tcPr>
            <w:tcW w:w="1707" w:type="dxa"/>
          </w:tcPr>
          <w:p w14:paraId="6462F30E" w14:textId="47581D24" w:rsidR="004335E8" w:rsidRDefault="00A67A5D" w:rsidP="00A67A5D">
            <w:pPr>
              <w:pStyle w:val="ListParagraph"/>
              <w:ind w:left="0"/>
              <w:jc w:val="center"/>
              <w:rPr>
                <w:rFonts w:ascii="Arial" w:hAnsi="Arial" w:cs="Arial"/>
              </w:rPr>
            </w:pPr>
            <w:r w:rsidRPr="00A67A5D">
              <w:rPr>
                <w:rFonts w:ascii="Arial" w:hAnsi="Arial" w:cs="Arial"/>
              </w:rPr>
              <w:t>30.82</w:t>
            </w:r>
          </w:p>
        </w:tc>
        <w:tc>
          <w:tcPr>
            <w:tcW w:w="1707" w:type="dxa"/>
          </w:tcPr>
          <w:p w14:paraId="431344B7" w14:textId="0855FF11" w:rsidR="004335E8" w:rsidRDefault="00A54111" w:rsidP="00A54111">
            <w:pPr>
              <w:pStyle w:val="ListParagraph"/>
              <w:ind w:left="0"/>
              <w:jc w:val="center"/>
              <w:rPr>
                <w:rFonts w:ascii="Arial" w:hAnsi="Arial" w:cs="Arial"/>
              </w:rPr>
            </w:pPr>
            <w:r>
              <w:rPr>
                <w:rFonts w:ascii="Arial" w:hAnsi="Arial" w:cs="Arial"/>
              </w:rPr>
              <w:t>0.6%</w:t>
            </w:r>
          </w:p>
        </w:tc>
        <w:tc>
          <w:tcPr>
            <w:tcW w:w="1707" w:type="dxa"/>
          </w:tcPr>
          <w:p w14:paraId="553FF825" w14:textId="2371AB65" w:rsidR="004335E8" w:rsidRDefault="00486259" w:rsidP="00486259">
            <w:pPr>
              <w:pStyle w:val="ListParagraph"/>
              <w:ind w:left="0"/>
              <w:jc w:val="center"/>
              <w:rPr>
                <w:rFonts w:ascii="Arial" w:hAnsi="Arial" w:cs="Arial"/>
              </w:rPr>
            </w:pPr>
            <w:r>
              <w:rPr>
                <w:rFonts w:ascii="Arial" w:hAnsi="Arial" w:cs="Arial"/>
              </w:rPr>
              <w:t xml:space="preserve">No </w:t>
            </w:r>
          </w:p>
        </w:tc>
        <w:tc>
          <w:tcPr>
            <w:tcW w:w="1707" w:type="dxa"/>
          </w:tcPr>
          <w:p w14:paraId="121F9137" w14:textId="157A2E32" w:rsidR="004335E8" w:rsidRDefault="008D376F" w:rsidP="00A01C2B">
            <w:pPr>
              <w:pStyle w:val="ListParagraph"/>
              <w:ind w:left="0"/>
              <w:jc w:val="center"/>
              <w:rPr>
                <w:rFonts w:ascii="Arial" w:hAnsi="Arial" w:cs="Arial"/>
              </w:rPr>
            </w:pPr>
            <w:r>
              <w:rPr>
                <w:rFonts w:ascii="Arial" w:hAnsi="Arial" w:cs="Arial"/>
              </w:rPr>
              <w:t>$</w:t>
            </w:r>
            <w:r w:rsidRPr="006A2F5E">
              <w:rPr>
                <w:rFonts w:ascii="Arial" w:hAnsi="Arial" w:cs="Arial"/>
              </w:rPr>
              <w:t>370 billion</w:t>
            </w:r>
            <w:r>
              <w:rPr>
                <w:rFonts w:ascii="Arial" w:hAnsi="Arial" w:cs="Arial"/>
              </w:rPr>
              <w:t xml:space="preserve"> (T</w:t>
            </w:r>
            <w:r w:rsidRPr="006A2F5E">
              <w:rPr>
                <w:rFonts w:ascii="Arial" w:hAnsi="Arial" w:cs="Arial"/>
              </w:rPr>
              <w:t>he Inflation Reduction Act</w:t>
            </w:r>
            <w:r>
              <w:rPr>
                <w:rFonts w:ascii="Arial" w:hAnsi="Arial" w:cs="Arial"/>
              </w:rPr>
              <w:t>)</w:t>
            </w:r>
          </w:p>
        </w:tc>
      </w:tr>
      <w:tr w:rsidR="00A67A5D" w14:paraId="609C88DA" w14:textId="77777777" w:rsidTr="004335E8">
        <w:trPr>
          <w:trHeight w:val="523"/>
        </w:trPr>
        <w:tc>
          <w:tcPr>
            <w:tcW w:w="1707" w:type="dxa"/>
          </w:tcPr>
          <w:p w14:paraId="2C7E863D" w14:textId="20FAE5EF" w:rsidR="00A67A5D" w:rsidRDefault="00A67A5D" w:rsidP="00A67A5D">
            <w:pPr>
              <w:pStyle w:val="ListParagraph"/>
              <w:ind w:left="0"/>
              <w:rPr>
                <w:rFonts w:ascii="Arial" w:hAnsi="Arial" w:cs="Arial"/>
              </w:rPr>
            </w:pPr>
            <w:r>
              <w:rPr>
                <w:rFonts w:ascii="Arial" w:hAnsi="Arial" w:cs="Arial"/>
              </w:rPr>
              <w:t>US - RGGI</w:t>
            </w:r>
          </w:p>
        </w:tc>
        <w:tc>
          <w:tcPr>
            <w:tcW w:w="1707" w:type="dxa"/>
          </w:tcPr>
          <w:p w14:paraId="0CF09753" w14:textId="2598C81E" w:rsidR="00A67A5D" w:rsidRDefault="00A67A5D" w:rsidP="00A67A5D">
            <w:pPr>
              <w:pStyle w:val="ListParagraph"/>
              <w:ind w:left="0"/>
              <w:jc w:val="center"/>
              <w:rPr>
                <w:rFonts w:ascii="Arial" w:hAnsi="Arial" w:cs="Arial"/>
              </w:rPr>
            </w:pPr>
            <w:r>
              <w:rPr>
                <w:rFonts w:ascii="Arial" w:hAnsi="Arial" w:cs="Arial"/>
              </w:rPr>
              <w:t>13.89</w:t>
            </w:r>
          </w:p>
        </w:tc>
        <w:tc>
          <w:tcPr>
            <w:tcW w:w="1707" w:type="dxa"/>
          </w:tcPr>
          <w:p w14:paraId="04E9F15F" w14:textId="478B0E4F" w:rsidR="00A67A5D" w:rsidRDefault="00A54111" w:rsidP="00A54111">
            <w:pPr>
              <w:pStyle w:val="ListParagraph"/>
              <w:ind w:left="0"/>
              <w:jc w:val="center"/>
              <w:rPr>
                <w:rFonts w:ascii="Arial" w:hAnsi="Arial" w:cs="Arial"/>
              </w:rPr>
            </w:pPr>
            <w:r>
              <w:rPr>
                <w:rFonts w:ascii="Arial" w:hAnsi="Arial" w:cs="Arial"/>
              </w:rPr>
              <w:t>0.13%</w:t>
            </w:r>
          </w:p>
        </w:tc>
        <w:tc>
          <w:tcPr>
            <w:tcW w:w="1707" w:type="dxa"/>
          </w:tcPr>
          <w:p w14:paraId="1DDD6F0E" w14:textId="7077A4B0" w:rsidR="00A67A5D" w:rsidRDefault="00486259" w:rsidP="00486259">
            <w:pPr>
              <w:pStyle w:val="ListParagraph"/>
              <w:ind w:left="0"/>
              <w:jc w:val="center"/>
              <w:rPr>
                <w:rFonts w:ascii="Arial" w:hAnsi="Arial" w:cs="Arial"/>
              </w:rPr>
            </w:pPr>
            <w:r>
              <w:rPr>
                <w:rFonts w:ascii="Arial" w:hAnsi="Arial" w:cs="Arial"/>
              </w:rPr>
              <w:t>No</w:t>
            </w:r>
          </w:p>
        </w:tc>
        <w:tc>
          <w:tcPr>
            <w:tcW w:w="1707" w:type="dxa"/>
          </w:tcPr>
          <w:p w14:paraId="52FA1FA3" w14:textId="51633BBD" w:rsidR="00A67A5D" w:rsidRDefault="008D376F" w:rsidP="00A01C2B">
            <w:pPr>
              <w:pStyle w:val="ListParagraph"/>
              <w:ind w:left="0"/>
              <w:jc w:val="center"/>
              <w:rPr>
                <w:rFonts w:ascii="Arial" w:hAnsi="Arial" w:cs="Arial"/>
              </w:rPr>
            </w:pPr>
            <w:r>
              <w:rPr>
                <w:rFonts w:ascii="Arial" w:hAnsi="Arial" w:cs="Arial"/>
              </w:rPr>
              <w:t>$</w:t>
            </w:r>
            <w:r w:rsidRPr="006A2F5E">
              <w:rPr>
                <w:rFonts w:ascii="Arial" w:hAnsi="Arial" w:cs="Arial"/>
              </w:rPr>
              <w:t>370 billion</w:t>
            </w:r>
            <w:r>
              <w:rPr>
                <w:rFonts w:ascii="Arial" w:hAnsi="Arial" w:cs="Arial"/>
              </w:rPr>
              <w:t xml:space="preserve"> (T</w:t>
            </w:r>
            <w:r w:rsidRPr="006A2F5E">
              <w:rPr>
                <w:rFonts w:ascii="Arial" w:hAnsi="Arial" w:cs="Arial"/>
              </w:rPr>
              <w:t>he Inflation Reduction Act</w:t>
            </w:r>
            <w:r>
              <w:rPr>
                <w:rFonts w:ascii="Arial" w:hAnsi="Arial" w:cs="Arial"/>
              </w:rPr>
              <w:t>)</w:t>
            </w:r>
          </w:p>
        </w:tc>
      </w:tr>
    </w:tbl>
    <w:p w14:paraId="5C265681" w14:textId="06AE266A" w:rsidR="00A86554" w:rsidRDefault="00A86554" w:rsidP="00A86554">
      <w:pPr>
        <w:jc w:val="both"/>
        <w:rPr>
          <w:rFonts w:ascii="Arial" w:hAnsi="Arial" w:cs="Arial"/>
          <w:b/>
          <w:bCs/>
        </w:rPr>
      </w:pPr>
    </w:p>
    <w:p w14:paraId="4087E157" w14:textId="6C190E46" w:rsidR="00A86554" w:rsidRDefault="00A86554" w:rsidP="00A86554">
      <w:pPr>
        <w:ind w:left="720"/>
        <w:rPr>
          <w:rFonts w:ascii="Arial" w:hAnsi="Arial" w:cs="Arial"/>
          <w:b/>
          <w:bCs/>
        </w:rPr>
      </w:pPr>
      <w:r>
        <w:rPr>
          <w:rFonts w:ascii="Arial" w:hAnsi="Arial" w:cs="Arial"/>
          <w:b/>
          <w:bCs/>
        </w:rPr>
        <w:t xml:space="preserve">Implications of climate policy on inflation </w:t>
      </w:r>
    </w:p>
    <w:p w14:paraId="46EC68F5" w14:textId="7E0DE0C8" w:rsidR="00A86554" w:rsidRDefault="00A86554" w:rsidP="00A86554">
      <w:pPr>
        <w:ind w:left="720"/>
        <w:rPr>
          <w:rFonts w:ascii="Arial" w:hAnsi="Arial" w:cs="Arial"/>
        </w:rPr>
      </w:pPr>
      <w:r>
        <w:rPr>
          <w:rFonts w:ascii="Arial" w:hAnsi="Arial" w:cs="Arial"/>
        </w:rPr>
        <w:t>T</w:t>
      </w:r>
      <w:r w:rsidRPr="00A86554">
        <w:rPr>
          <w:rFonts w:ascii="Arial" w:hAnsi="Arial" w:cs="Arial"/>
        </w:rPr>
        <w:t xml:space="preserve">he NGFS shows that the eventual impact </w:t>
      </w:r>
      <w:r>
        <w:rPr>
          <w:rFonts w:ascii="Arial" w:hAnsi="Arial" w:cs="Arial"/>
        </w:rPr>
        <w:t xml:space="preserve">of climate policy </w:t>
      </w:r>
      <w:r w:rsidRPr="00A86554">
        <w:rPr>
          <w:rFonts w:ascii="Arial" w:hAnsi="Arial" w:cs="Arial"/>
        </w:rPr>
        <w:t>depends on fiscal policy assumptions and the applied monetary policy.</w:t>
      </w:r>
      <w:r w:rsidR="00F6517A">
        <w:rPr>
          <w:rFonts w:ascii="Arial" w:hAnsi="Arial" w:cs="Arial"/>
        </w:rPr>
        <w:t xml:space="preserve"> </w:t>
      </w:r>
      <w:r w:rsidR="00481F60">
        <w:rPr>
          <w:rFonts w:ascii="Arial" w:hAnsi="Arial" w:cs="Arial"/>
        </w:rPr>
        <w:t>According to the</w:t>
      </w:r>
      <w:r w:rsidR="00817023">
        <w:rPr>
          <w:rFonts w:ascii="Arial" w:hAnsi="Arial" w:cs="Arial"/>
        </w:rPr>
        <w:t xml:space="preserve"> different</w:t>
      </w:r>
      <w:r w:rsidR="00481F60">
        <w:rPr>
          <w:rFonts w:ascii="Arial" w:hAnsi="Arial" w:cs="Arial"/>
        </w:rPr>
        <w:t xml:space="preserve"> fiscal revenue recycling options</w:t>
      </w:r>
      <w:r w:rsidR="00817023">
        <w:rPr>
          <w:rFonts w:ascii="Arial" w:hAnsi="Arial" w:cs="Arial"/>
        </w:rPr>
        <w:t xml:space="preserve"> from carbon tax, the NGFS analyzed the effects of a</w:t>
      </w:r>
      <w:r w:rsidR="00805D92">
        <w:rPr>
          <w:rFonts w:ascii="Arial" w:hAnsi="Arial" w:cs="Arial"/>
        </w:rPr>
        <w:t xml:space="preserve"> reference</w:t>
      </w:r>
      <w:r w:rsidR="00817023">
        <w:rPr>
          <w:rFonts w:ascii="Arial" w:hAnsi="Arial" w:cs="Arial"/>
        </w:rPr>
        <w:t xml:space="preserve"> “shock” i.e. increase in carbon price </w:t>
      </w:r>
      <w:r w:rsidR="00805D92">
        <w:rPr>
          <w:rFonts w:ascii="Arial" w:hAnsi="Arial" w:cs="Arial"/>
        </w:rPr>
        <w:t xml:space="preserve">and four additional fiscal shocks, </w:t>
      </w:r>
      <w:r w:rsidR="00817023">
        <w:rPr>
          <w:rFonts w:ascii="Arial" w:hAnsi="Arial" w:cs="Arial"/>
        </w:rPr>
        <w:t>to inflation rate</w:t>
      </w:r>
      <w:r w:rsidR="00805D92">
        <w:rPr>
          <w:rFonts w:ascii="Arial" w:hAnsi="Arial" w:cs="Arial"/>
        </w:rPr>
        <w:t xml:space="preserve">, </w:t>
      </w:r>
      <w:r w:rsidR="00817023">
        <w:rPr>
          <w:rFonts w:ascii="Arial" w:hAnsi="Arial" w:cs="Arial"/>
        </w:rPr>
        <w:t>GDP</w:t>
      </w:r>
      <w:r w:rsidR="00805D92">
        <w:rPr>
          <w:rFonts w:ascii="Arial" w:hAnsi="Arial" w:cs="Arial"/>
        </w:rPr>
        <w:t>, short- and long-term interest rate</w:t>
      </w:r>
      <w:r w:rsidR="00817023">
        <w:rPr>
          <w:rFonts w:ascii="Arial" w:hAnsi="Arial" w:cs="Arial"/>
        </w:rPr>
        <w:t xml:space="preserve">. </w:t>
      </w:r>
      <w:r w:rsidR="00805D92">
        <w:rPr>
          <w:rFonts w:ascii="Arial" w:hAnsi="Arial" w:cs="Arial"/>
        </w:rPr>
        <w:t>In their sensitivity analysis four fiscal policy options are selected</w:t>
      </w:r>
      <w:r w:rsidR="005E62DB">
        <w:rPr>
          <w:rFonts w:ascii="Arial" w:hAnsi="Arial" w:cs="Arial"/>
        </w:rPr>
        <w:t xml:space="preserve">, where </w:t>
      </w:r>
      <w:r w:rsidR="00805D92">
        <w:rPr>
          <w:rFonts w:ascii="Arial" w:hAnsi="Arial" w:cs="Arial"/>
        </w:rPr>
        <w:t>100% of carbon tax revenues are utilized to finance each of them: 1) an increase in public investment, 2) a cut in taxes applied to private sector agents, 3) an increase in transfers to households, 4) the reimbursement of public debt.</w:t>
      </w:r>
    </w:p>
    <w:p w14:paraId="32B3781A" w14:textId="00D31AED" w:rsidR="005E62DB" w:rsidRDefault="005E62DB" w:rsidP="00A86554">
      <w:pPr>
        <w:ind w:left="720"/>
        <w:rPr>
          <w:rFonts w:ascii="Arial" w:hAnsi="Arial" w:cs="Arial"/>
        </w:rPr>
      </w:pPr>
      <w:r>
        <w:rPr>
          <w:rFonts w:ascii="Arial" w:hAnsi="Arial" w:cs="Arial"/>
        </w:rPr>
        <w:t xml:space="preserve">  Overall, they found that there are limited differences across recycling options. The shock triggers positive effects on inflation in the short term. However, the monetary policy reaction differs according to the fiscal policy choice underlying that the need for macroeconomic stabilization is somehow </w:t>
      </w:r>
      <w:r w:rsidR="003000D4">
        <w:rPr>
          <w:rFonts w:ascii="Arial" w:hAnsi="Arial" w:cs="Arial"/>
        </w:rPr>
        <w:t xml:space="preserve">differentiated. Among the fiscal instruments considered, government investments has the strongest output multiplier as it directly affects final expenditures. </w:t>
      </w:r>
      <w:r w:rsidR="003000D4" w:rsidRPr="003000D4">
        <w:rPr>
          <w:rFonts w:ascii="Arial" w:hAnsi="Arial" w:cs="Arial"/>
        </w:rPr>
        <w:t xml:space="preserve">As a result, in the short term, the inflationary impact </w:t>
      </w:r>
      <w:r w:rsidR="003000D4">
        <w:rPr>
          <w:rFonts w:ascii="Arial" w:hAnsi="Arial" w:cs="Arial"/>
        </w:rPr>
        <w:t xml:space="preserve">from increased public investment </w:t>
      </w:r>
      <w:r w:rsidR="003000D4" w:rsidRPr="003000D4">
        <w:rPr>
          <w:rFonts w:ascii="Arial" w:hAnsi="Arial" w:cs="Arial"/>
        </w:rPr>
        <w:t>is the strongest, with a 4 percentage point increase from baseline. All the other options lead to a rise in inflation (around 3 p.p.) but, in all cases, inflation returns to baseline within a 5-year period following the carbon price increase</w:t>
      </w:r>
      <w:r w:rsidR="003000D4">
        <w:rPr>
          <w:rFonts w:ascii="Arial" w:hAnsi="Arial" w:cs="Arial"/>
        </w:rPr>
        <w:t xml:space="preserve"> (NGFS, climate scenarios sensitivity analysis to macroeconomic policy assumptions, 2022).</w:t>
      </w:r>
    </w:p>
    <w:p w14:paraId="44CECA3D" w14:textId="1E9EBAEA" w:rsidR="003B1FAD" w:rsidRPr="00481F60" w:rsidRDefault="003B1FAD" w:rsidP="00A86554">
      <w:pPr>
        <w:ind w:left="720"/>
        <w:rPr>
          <w:rFonts w:ascii="Arial" w:hAnsi="Arial" w:cs="Arial"/>
        </w:rPr>
      </w:pPr>
      <w:r>
        <w:rPr>
          <w:rFonts w:ascii="Arial" w:hAnsi="Arial" w:cs="Arial"/>
        </w:rPr>
        <w:lastRenderedPageBreak/>
        <w:t xml:space="preserve">  In a second step, they analyzed the s</w:t>
      </w:r>
      <w:r w:rsidR="006D73CF">
        <w:rPr>
          <w:rFonts w:ascii="Arial" w:hAnsi="Arial" w:cs="Arial"/>
        </w:rPr>
        <w:t xml:space="preserve">ensitivity of the scenario results to monetary policy assumptions, by utilizing the same settings. They first consider that the policy interest rate is kept at its baseline level for the first 5 years of the scenario. </w:t>
      </w:r>
      <w:r w:rsidR="006D73CF" w:rsidRPr="006D73CF">
        <w:rPr>
          <w:rFonts w:ascii="Arial" w:hAnsi="Arial" w:cs="Arial"/>
        </w:rPr>
        <w:t>For (most) countries, the 2-pillar monetary policy rule</w:t>
      </w:r>
      <w:r w:rsidR="006D73CF">
        <w:rPr>
          <w:rFonts w:ascii="Arial" w:hAnsi="Arial" w:cs="Arial"/>
        </w:rPr>
        <w:t xml:space="preserve"> - </w:t>
      </w:r>
      <w:r w:rsidR="006D73CF" w:rsidRPr="006D73CF">
        <w:rPr>
          <w:rFonts w:ascii="Arial" w:hAnsi="Arial" w:cs="Arial"/>
        </w:rPr>
        <w:t>the conventional rule in NiGEM</w:t>
      </w:r>
      <w:r w:rsidR="006D73CF">
        <w:rPr>
          <w:rFonts w:ascii="Arial" w:hAnsi="Arial" w:cs="Arial"/>
        </w:rPr>
        <w:t xml:space="preserve"> - </w:t>
      </w:r>
      <w:r w:rsidR="006D73CF" w:rsidRPr="006D73CF">
        <w:rPr>
          <w:rFonts w:ascii="Arial" w:hAnsi="Arial" w:cs="Arial"/>
        </w:rPr>
        <w:t xml:space="preserve">is assumed. The nominal GDP target to nominal GDP ratio and the difference between inflation expectations and the inflation target determine the short-term interest rate under the two-pillar </w:t>
      </w:r>
      <w:r w:rsidR="006D73CF">
        <w:rPr>
          <w:rFonts w:ascii="Arial" w:hAnsi="Arial" w:cs="Arial"/>
        </w:rPr>
        <w:t>strategy</w:t>
      </w:r>
      <w:r w:rsidR="006D73CF" w:rsidRPr="006D73CF">
        <w:rPr>
          <w:rFonts w:ascii="Arial" w:hAnsi="Arial" w:cs="Arial"/>
        </w:rPr>
        <w:t>. Fiscal shocks and the price of carbon share the same MP context.</w:t>
      </w:r>
      <w:r w:rsidR="006D73CF">
        <w:rPr>
          <w:rFonts w:ascii="Arial" w:hAnsi="Arial" w:cs="Arial"/>
        </w:rPr>
        <w:t xml:space="preserve"> </w:t>
      </w:r>
      <w:r w:rsidR="00176441">
        <w:rPr>
          <w:rFonts w:ascii="Arial" w:hAnsi="Arial" w:cs="Arial"/>
        </w:rPr>
        <w:t>Similarly, as the fiscal policy assumption analysis, t</w:t>
      </w:r>
      <w:r w:rsidR="006D73CF">
        <w:rPr>
          <w:rFonts w:ascii="Arial" w:hAnsi="Arial" w:cs="Arial"/>
        </w:rPr>
        <w:t>hey noticed an increase in inflation in the short-term</w:t>
      </w:r>
      <w:r w:rsidR="00176441">
        <w:rPr>
          <w:rFonts w:ascii="Arial" w:hAnsi="Arial" w:cs="Arial"/>
        </w:rPr>
        <w:t>, but within 5-year period it returns to baseline.</w:t>
      </w:r>
    </w:p>
    <w:sectPr w:rsidR="003B1FAD" w:rsidRPr="00481F60" w:rsidSect="0082419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BE7A9" w14:textId="77777777" w:rsidR="0084646A" w:rsidRDefault="0084646A" w:rsidP="00D844F7">
      <w:r>
        <w:separator/>
      </w:r>
    </w:p>
  </w:endnote>
  <w:endnote w:type="continuationSeparator" w:id="0">
    <w:p w14:paraId="4EE93496" w14:textId="77777777" w:rsidR="0084646A" w:rsidRDefault="0084646A" w:rsidP="00D84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11D49" w14:textId="77777777" w:rsidR="0084646A" w:rsidRDefault="0084646A" w:rsidP="00D844F7">
      <w:r>
        <w:separator/>
      </w:r>
    </w:p>
  </w:footnote>
  <w:footnote w:type="continuationSeparator" w:id="0">
    <w:p w14:paraId="23128906" w14:textId="77777777" w:rsidR="0084646A" w:rsidRDefault="0084646A" w:rsidP="00D844F7">
      <w:r>
        <w:continuationSeparator/>
      </w:r>
    </w:p>
  </w:footnote>
  <w:footnote w:id="1">
    <w:p w14:paraId="51956528" w14:textId="51636080" w:rsidR="00D844F7" w:rsidRPr="00D844F7" w:rsidRDefault="00D844F7" w:rsidP="00D844F7">
      <w:r>
        <w:rPr>
          <w:rStyle w:val="FootnoteReference"/>
        </w:rPr>
        <w:footnoteRef/>
      </w:r>
      <w:r w:rsidRPr="00D844F7">
        <w:rPr>
          <w:rFonts w:ascii="Arial" w:hAnsi="Arial" w:cs="Arial"/>
          <w:color w:val="374151"/>
          <w:shd w:val="clear" w:color="auto" w:fill="F7F7F8"/>
        </w:rPr>
        <w:t xml:space="preserve">$1.2 trillion bipartisan agreement that aims to invest in and modernize </w:t>
      </w:r>
      <w:r>
        <w:rPr>
          <w:rFonts w:ascii="Arial" w:hAnsi="Arial" w:cs="Arial"/>
          <w:color w:val="374151"/>
          <w:shd w:val="clear" w:color="auto" w:fill="F7F7F8"/>
        </w:rPr>
        <w:t>United States’</w:t>
      </w:r>
      <w:r w:rsidRPr="00D844F7">
        <w:rPr>
          <w:rFonts w:ascii="Arial" w:hAnsi="Arial" w:cs="Arial"/>
          <w:color w:val="374151"/>
          <w:shd w:val="clear" w:color="auto" w:fill="F7F7F8"/>
        </w:rPr>
        <w:t xml:space="preserve"> infrastructure. The law includes funding for a wide range of infrastructure projects, such as repairing roads and bridges, expanding</w:t>
      </w:r>
      <w:r>
        <w:rPr>
          <w:rFonts w:ascii="Arial" w:hAnsi="Arial" w:cs="Arial"/>
          <w:color w:val="374151"/>
          <w:shd w:val="clear" w:color="auto" w:fill="F7F7F8"/>
        </w:rPr>
        <w:t xml:space="preserve"> </w:t>
      </w:r>
      <w:r w:rsidR="002D567F">
        <w:rPr>
          <w:rFonts w:ascii="Arial" w:hAnsi="Arial" w:cs="Arial"/>
          <w:color w:val="374151"/>
          <w:shd w:val="clear" w:color="auto" w:fill="F7F7F8"/>
        </w:rPr>
        <w:t>power grid</w:t>
      </w:r>
      <w:r w:rsidRPr="00D844F7">
        <w:rPr>
          <w:rFonts w:ascii="Arial" w:hAnsi="Arial" w:cs="Arial"/>
          <w:color w:val="374151"/>
          <w:shd w:val="clear" w:color="auto" w:fill="F7F7F8"/>
        </w:rPr>
        <w:t>, upgrading public transportation systems, improving water infrastructure, and investing in clean energy technology. It is intended to create new jobs and promote economic growth while addressing some of the country's critical infrastructure needs.</w:t>
      </w:r>
    </w:p>
    <w:p w14:paraId="459560CA" w14:textId="6B569FB2" w:rsidR="00D844F7" w:rsidRPr="00D844F7" w:rsidRDefault="00D844F7">
      <w:pPr>
        <w:pStyle w:val="FootnoteText"/>
      </w:pPr>
    </w:p>
  </w:footnote>
  <w:footnote w:id="2">
    <w:p w14:paraId="31623F6B" w14:textId="4289D179" w:rsidR="00006E78" w:rsidRDefault="00006E78">
      <w:pPr>
        <w:pStyle w:val="FootnoteText"/>
      </w:pPr>
      <w:r>
        <w:rPr>
          <w:rStyle w:val="FootnoteReference"/>
        </w:rPr>
        <w:footnoteRef/>
      </w:r>
      <w:r w:rsidR="0097670A">
        <w:t xml:space="preserve"> “..China in its development efforts, proactively adapt to, understand, and guide the new normal in economic development, and comprehensively advance innovative, coordinated, green, open, and shared development so as to ensure that a moderately prosperous society is established in all respects.</w:t>
      </w:r>
      <w:r w:rsidR="001A3354">
        <w:t>…</w:t>
      </w:r>
      <w:r w:rsidR="0097670A">
        <w:t>”</w:t>
      </w:r>
      <w:r>
        <w:t xml:space="preserve"> </w:t>
      </w:r>
      <w:r w:rsidR="007474B0" w:rsidRPr="007474B0">
        <w:t>https://en.ndrc.gov.cn/policies/202105/P020210527785800103339.pdf</w:t>
      </w:r>
    </w:p>
  </w:footnote>
  <w:footnote w:id="3">
    <w:p w14:paraId="60DCB023" w14:textId="77777777" w:rsidR="004029AB" w:rsidRPr="00D844F7" w:rsidRDefault="004029AB" w:rsidP="004029AB">
      <w:r>
        <w:rPr>
          <w:rStyle w:val="FootnoteReference"/>
        </w:rPr>
        <w:footnoteRef/>
      </w:r>
      <w:r w:rsidRPr="00D844F7">
        <w:rPr>
          <w:rFonts w:ascii="Arial" w:hAnsi="Arial" w:cs="Arial"/>
          <w:color w:val="374151"/>
          <w:shd w:val="clear" w:color="auto" w:fill="F7F7F8"/>
        </w:rPr>
        <w:t xml:space="preserve">$1.2 trillion bipartisan agreement that aims to invest in and modernize </w:t>
      </w:r>
      <w:r>
        <w:rPr>
          <w:rFonts w:ascii="Arial" w:hAnsi="Arial" w:cs="Arial"/>
          <w:color w:val="374151"/>
          <w:shd w:val="clear" w:color="auto" w:fill="F7F7F8"/>
        </w:rPr>
        <w:t>United States’</w:t>
      </w:r>
      <w:r w:rsidRPr="00D844F7">
        <w:rPr>
          <w:rFonts w:ascii="Arial" w:hAnsi="Arial" w:cs="Arial"/>
          <w:color w:val="374151"/>
          <w:shd w:val="clear" w:color="auto" w:fill="F7F7F8"/>
        </w:rPr>
        <w:t xml:space="preserve"> infrastructure. The law includes funding for a wide range of infrastructure projects, such as repairing roads and bridges, expanding</w:t>
      </w:r>
      <w:r>
        <w:rPr>
          <w:rFonts w:ascii="Arial" w:hAnsi="Arial" w:cs="Arial"/>
          <w:color w:val="374151"/>
          <w:shd w:val="clear" w:color="auto" w:fill="F7F7F8"/>
        </w:rPr>
        <w:t xml:space="preserve"> power grid</w:t>
      </w:r>
      <w:r w:rsidRPr="00D844F7">
        <w:rPr>
          <w:rFonts w:ascii="Arial" w:hAnsi="Arial" w:cs="Arial"/>
          <w:color w:val="374151"/>
          <w:shd w:val="clear" w:color="auto" w:fill="F7F7F8"/>
        </w:rPr>
        <w:t>, upgrading public transportation systems, improving water infrastructure, and investing in clean energy technology. It is intended to create new jobs and promote economic growth while addressing some of the country's critical infrastructure needs.</w:t>
      </w:r>
    </w:p>
    <w:p w14:paraId="0D5E2A0D" w14:textId="77777777" w:rsidR="004029AB" w:rsidRPr="00D844F7" w:rsidRDefault="004029AB" w:rsidP="004029AB">
      <w:pPr>
        <w:pStyle w:val="FootnoteText"/>
      </w:pPr>
    </w:p>
  </w:footnote>
  <w:footnote w:id="4">
    <w:p w14:paraId="51672E22" w14:textId="67051B63" w:rsidR="00A01C2B" w:rsidRDefault="00A01C2B">
      <w:pPr>
        <w:pStyle w:val="FootnoteText"/>
      </w:pPr>
      <w:r>
        <w:rPr>
          <w:rStyle w:val="FootnoteReference"/>
        </w:rPr>
        <w:footnoteRef/>
      </w:r>
      <w:r>
        <w:t xml:space="preserve"> </w:t>
      </w:r>
      <w:r w:rsidRPr="00A01C2B">
        <w:t>https://ec.europa.eu/commission/presscorner/detail/en/qanda_20_24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999"/>
    <w:multiLevelType w:val="hybridMultilevel"/>
    <w:tmpl w:val="905A71AA"/>
    <w:lvl w:ilvl="0" w:tplc="DEB68C7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0F2BD8"/>
    <w:multiLevelType w:val="hybridMultilevel"/>
    <w:tmpl w:val="4EAEE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4D531B"/>
    <w:multiLevelType w:val="multilevel"/>
    <w:tmpl w:val="D1B0D20E"/>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973D7D"/>
    <w:multiLevelType w:val="hybridMultilevel"/>
    <w:tmpl w:val="546E8AF6"/>
    <w:lvl w:ilvl="0" w:tplc="DEB68C7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4B1F25B0"/>
    <w:multiLevelType w:val="hybridMultilevel"/>
    <w:tmpl w:val="16169FC0"/>
    <w:lvl w:ilvl="0" w:tplc="DEB68C74">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58A1621A"/>
    <w:multiLevelType w:val="hybridMultilevel"/>
    <w:tmpl w:val="A1ACC3E4"/>
    <w:lvl w:ilvl="0" w:tplc="5A5624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426E7F"/>
    <w:multiLevelType w:val="hybridMultilevel"/>
    <w:tmpl w:val="BA2A51F6"/>
    <w:lvl w:ilvl="0" w:tplc="DEB68C7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DA529D"/>
    <w:multiLevelType w:val="hybridMultilevel"/>
    <w:tmpl w:val="DE0E43AE"/>
    <w:lvl w:ilvl="0" w:tplc="DEB68C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AA1339D"/>
    <w:multiLevelType w:val="hybridMultilevel"/>
    <w:tmpl w:val="A78AF0AE"/>
    <w:lvl w:ilvl="0" w:tplc="3C6EA42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5548140">
    <w:abstractNumId w:val="1"/>
  </w:num>
  <w:num w:numId="2" w16cid:durableId="465202066">
    <w:abstractNumId w:val="8"/>
  </w:num>
  <w:num w:numId="3" w16cid:durableId="1430154320">
    <w:abstractNumId w:val="5"/>
  </w:num>
  <w:num w:numId="4" w16cid:durableId="931166500">
    <w:abstractNumId w:val="7"/>
  </w:num>
  <w:num w:numId="5" w16cid:durableId="920411810">
    <w:abstractNumId w:val="3"/>
  </w:num>
  <w:num w:numId="6" w16cid:durableId="1058631873">
    <w:abstractNumId w:val="0"/>
  </w:num>
  <w:num w:numId="7" w16cid:durableId="1420759794">
    <w:abstractNumId w:val="4"/>
  </w:num>
  <w:num w:numId="8" w16cid:durableId="2104762595">
    <w:abstractNumId w:val="6"/>
  </w:num>
  <w:num w:numId="9" w16cid:durableId="1813282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AE"/>
    <w:rsid w:val="00006E78"/>
    <w:rsid w:val="00017042"/>
    <w:rsid w:val="00017A9D"/>
    <w:rsid w:val="000334E7"/>
    <w:rsid w:val="00061A46"/>
    <w:rsid w:val="00062C2A"/>
    <w:rsid w:val="00082983"/>
    <w:rsid w:val="000837ED"/>
    <w:rsid w:val="000919F2"/>
    <w:rsid w:val="00092169"/>
    <w:rsid w:val="00092197"/>
    <w:rsid w:val="00092690"/>
    <w:rsid w:val="00097D15"/>
    <w:rsid w:val="000C06E9"/>
    <w:rsid w:val="000C6849"/>
    <w:rsid w:val="000D5BC8"/>
    <w:rsid w:val="000D72F8"/>
    <w:rsid w:val="000E2CD8"/>
    <w:rsid w:val="000E438B"/>
    <w:rsid w:val="000F0E21"/>
    <w:rsid w:val="00104B23"/>
    <w:rsid w:val="00110E7A"/>
    <w:rsid w:val="00123E26"/>
    <w:rsid w:val="00125FA1"/>
    <w:rsid w:val="00130953"/>
    <w:rsid w:val="00132983"/>
    <w:rsid w:val="00154E5F"/>
    <w:rsid w:val="00161AB0"/>
    <w:rsid w:val="00165F6F"/>
    <w:rsid w:val="00176441"/>
    <w:rsid w:val="00194D4D"/>
    <w:rsid w:val="001A3354"/>
    <w:rsid w:val="001A5768"/>
    <w:rsid w:val="001D6BA1"/>
    <w:rsid w:val="001E032A"/>
    <w:rsid w:val="001E05C5"/>
    <w:rsid w:val="001E1A7A"/>
    <w:rsid w:val="001F6C37"/>
    <w:rsid w:val="002302D9"/>
    <w:rsid w:val="0024024E"/>
    <w:rsid w:val="002776A5"/>
    <w:rsid w:val="00280F13"/>
    <w:rsid w:val="00281711"/>
    <w:rsid w:val="00292DF8"/>
    <w:rsid w:val="00295CAE"/>
    <w:rsid w:val="002B0086"/>
    <w:rsid w:val="002D4ADF"/>
    <w:rsid w:val="002D567F"/>
    <w:rsid w:val="002D77D2"/>
    <w:rsid w:val="002E4027"/>
    <w:rsid w:val="002E7018"/>
    <w:rsid w:val="003000D4"/>
    <w:rsid w:val="00315C22"/>
    <w:rsid w:val="0033035A"/>
    <w:rsid w:val="0033618D"/>
    <w:rsid w:val="00387F12"/>
    <w:rsid w:val="003907AD"/>
    <w:rsid w:val="003A6441"/>
    <w:rsid w:val="003B1767"/>
    <w:rsid w:val="003B1FAD"/>
    <w:rsid w:val="003B2E02"/>
    <w:rsid w:val="003D018E"/>
    <w:rsid w:val="003E5C0B"/>
    <w:rsid w:val="003F2ACA"/>
    <w:rsid w:val="004029AB"/>
    <w:rsid w:val="00404EA2"/>
    <w:rsid w:val="00410BC9"/>
    <w:rsid w:val="00412F30"/>
    <w:rsid w:val="004335E8"/>
    <w:rsid w:val="004445F5"/>
    <w:rsid w:val="00446760"/>
    <w:rsid w:val="00480B97"/>
    <w:rsid w:val="00481F60"/>
    <w:rsid w:val="00486259"/>
    <w:rsid w:val="004A16C8"/>
    <w:rsid w:val="004B2370"/>
    <w:rsid w:val="004F4927"/>
    <w:rsid w:val="0051534C"/>
    <w:rsid w:val="00535F76"/>
    <w:rsid w:val="00557CBD"/>
    <w:rsid w:val="0056497B"/>
    <w:rsid w:val="005A33A8"/>
    <w:rsid w:val="005A4048"/>
    <w:rsid w:val="005B415B"/>
    <w:rsid w:val="005C12C4"/>
    <w:rsid w:val="005C6A5C"/>
    <w:rsid w:val="005D7DB4"/>
    <w:rsid w:val="005E5003"/>
    <w:rsid w:val="005E62DB"/>
    <w:rsid w:val="00610A67"/>
    <w:rsid w:val="00623D9F"/>
    <w:rsid w:val="00631951"/>
    <w:rsid w:val="00633625"/>
    <w:rsid w:val="0063534F"/>
    <w:rsid w:val="006353F8"/>
    <w:rsid w:val="00650F01"/>
    <w:rsid w:val="006813B2"/>
    <w:rsid w:val="00686ACD"/>
    <w:rsid w:val="006A0ECF"/>
    <w:rsid w:val="006A2F5E"/>
    <w:rsid w:val="006C39F4"/>
    <w:rsid w:val="006D73CF"/>
    <w:rsid w:val="006E7ED3"/>
    <w:rsid w:val="006F7E95"/>
    <w:rsid w:val="00702EC9"/>
    <w:rsid w:val="007114C1"/>
    <w:rsid w:val="00717FFE"/>
    <w:rsid w:val="00721E49"/>
    <w:rsid w:val="00722E72"/>
    <w:rsid w:val="007474B0"/>
    <w:rsid w:val="00751E89"/>
    <w:rsid w:val="00764081"/>
    <w:rsid w:val="0078479C"/>
    <w:rsid w:val="007B6F45"/>
    <w:rsid w:val="007C38C5"/>
    <w:rsid w:val="007F4F56"/>
    <w:rsid w:val="00805D92"/>
    <w:rsid w:val="00816FB0"/>
    <w:rsid w:val="00817023"/>
    <w:rsid w:val="00820179"/>
    <w:rsid w:val="00824198"/>
    <w:rsid w:val="00827EA6"/>
    <w:rsid w:val="00832452"/>
    <w:rsid w:val="00834086"/>
    <w:rsid w:val="008403D5"/>
    <w:rsid w:val="008445C3"/>
    <w:rsid w:val="008447A0"/>
    <w:rsid w:val="0084646A"/>
    <w:rsid w:val="0086610C"/>
    <w:rsid w:val="00866388"/>
    <w:rsid w:val="00876689"/>
    <w:rsid w:val="00891B86"/>
    <w:rsid w:val="00892683"/>
    <w:rsid w:val="008B61C6"/>
    <w:rsid w:val="008C3BC1"/>
    <w:rsid w:val="008C4226"/>
    <w:rsid w:val="008C73CD"/>
    <w:rsid w:val="008D376F"/>
    <w:rsid w:val="008E0330"/>
    <w:rsid w:val="008F1FD9"/>
    <w:rsid w:val="008F2BB1"/>
    <w:rsid w:val="0092172F"/>
    <w:rsid w:val="009338DF"/>
    <w:rsid w:val="00944382"/>
    <w:rsid w:val="00971EFC"/>
    <w:rsid w:val="00973213"/>
    <w:rsid w:val="0097670A"/>
    <w:rsid w:val="00990BB4"/>
    <w:rsid w:val="00991B4B"/>
    <w:rsid w:val="009A0303"/>
    <w:rsid w:val="009A12E0"/>
    <w:rsid w:val="009A3D4F"/>
    <w:rsid w:val="009A6F11"/>
    <w:rsid w:val="009B4AC0"/>
    <w:rsid w:val="009B72F0"/>
    <w:rsid w:val="009D5BEE"/>
    <w:rsid w:val="00A01C2B"/>
    <w:rsid w:val="00A32EB3"/>
    <w:rsid w:val="00A35FCE"/>
    <w:rsid w:val="00A54111"/>
    <w:rsid w:val="00A67A5D"/>
    <w:rsid w:val="00A864D9"/>
    <w:rsid w:val="00A86554"/>
    <w:rsid w:val="00AC71C6"/>
    <w:rsid w:val="00AD49DA"/>
    <w:rsid w:val="00B00389"/>
    <w:rsid w:val="00B1751F"/>
    <w:rsid w:val="00B34ED3"/>
    <w:rsid w:val="00B41FB8"/>
    <w:rsid w:val="00BC3FD3"/>
    <w:rsid w:val="00BD18B5"/>
    <w:rsid w:val="00C2709E"/>
    <w:rsid w:val="00C306CE"/>
    <w:rsid w:val="00C72BEA"/>
    <w:rsid w:val="00C92B64"/>
    <w:rsid w:val="00C96544"/>
    <w:rsid w:val="00C96CE1"/>
    <w:rsid w:val="00CA1A4A"/>
    <w:rsid w:val="00CB2582"/>
    <w:rsid w:val="00CC0533"/>
    <w:rsid w:val="00CF71C9"/>
    <w:rsid w:val="00D104DB"/>
    <w:rsid w:val="00D1409C"/>
    <w:rsid w:val="00D2521D"/>
    <w:rsid w:val="00D3066F"/>
    <w:rsid w:val="00D43B38"/>
    <w:rsid w:val="00D57B70"/>
    <w:rsid w:val="00D679FB"/>
    <w:rsid w:val="00D844F7"/>
    <w:rsid w:val="00D90986"/>
    <w:rsid w:val="00DA68E1"/>
    <w:rsid w:val="00DA7250"/>
    <w:rsid w:val="00DB28A8"/>
    <w:rsid w:val="00DC5BA8"/>
    <w:rsid w:val="00DD7BE0"/>
    <w:rsid w:val="00DE63BF"/>
    <w:rsid w:val="00DF4C77"/>
    <w:rsid w:val="00DF662C"/>
    <w:rsid w:val="00E02AF4"/>
    <w:rsid w:val="00E23A1F"/>
    <w:rsid w:val="00E25A2C"/>
    <w:rsid w:val="00E442B1"/>
    <w:rsid w:val="00E53BBF"/>
    <w:rsid w:val="00E571EE"/>
    <w:rsid w:val="00E63CC4"/>
    <w:rsid w:val="00E67E6F"/>
    <w:rsid w:val="00E82708"/>
    <w:rsid w:val="00E84775"/>
    <w:rsid w:val="00EA2DF8"/>
    <w:rsid w:val="00EA6750"/>
    <w:rsid w:val="00EB44D7"/>
    <w:rsid w:val="00ED5FA2"/>
    <w:rsid w:val="00EE6C2F"/>
    <w:rsid w:val="00EF2538"/>
    <w:rsid w:val="00EF2703"/>
    <w:rsid w:val="00F001ED"/>
    <w:rsid w:val="00F04221"/>
    <w:rsid w:val="00F058EA"/>
    <w:rsid w:val="00F21E54"/>
    <w:rsid w:val="00F22D2B"/>
    <w:rsid w:val="00F31571"/>
    <w:rsid w:val="00F450A1"/>
    <w:rsid w:val="00F649DC"/>
    <w:rsid w:val="00F6517A"/>
    <w:rsid w:val="00F91A19"/>
    <w:rsid w:val="00F91CBC"/>
    <w:rsid w:val="00F94F3C"/>
    <w:rsid w:val="00FA3B71"/>
    <w:rsid w:val="00FB6F61"/>
    <w:rsid w:val="00FB6FB5"/>
    <w:rsid w:val="00FD54DB"/>
    <w:rsid w:val="00FE3A04"/>
    <w:rsid w:val="00FE481F"/>
    <w:rsid w:val="00FE734A"/>
    <w:rsid w:val="00FF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D2847"/>
  <w15:chartTrackingRefBased/>
  <w15:docId w15:val="{8396CF1E-2550-DE4E-A022-B6320BE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34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AE"/>
    <w:pPr>
      <w:ind w:left="720"/>
      <w:contextualSpacing/>
    </w:pPr>
  </w:style>
  <w:style w:type="paragraph" w:styleId="NormalWeb">
    <w:name w:val="Normal (Web)"/>
    <w:basedOn w:val="Normal"/>
    <w:uiPriority w:val="99"/>
    <w:unhideWhenUsed/>
    <w:rsid w:val="006A2F5E"/>
    <w:pPr>
      <w:spacing w:before="100" w:beforeAutospacing="1" w:after="100" w:afterAutospacing="1"/>
    </w:pPr>
  </w:style>
  <w:style w:type="paragraph" w:styleId="FootnoteText">
    <w:name w:val="footnote text"/>
    <w:basedOn w:val="Normal"/>
    <w:link w:val="FootnoteTextChar"/>
    <w:uiPriority w:val="99"/>
    <w:semiHidden/>
    <w:unhideWhenUsed/>
    <w:rsid w:val="00D844F7"/>
    <w:rPr>
      <w:sz w:val="20"/>
      <w:szCs w:val="20"/>
    </w:rPr>
  </w:style>
  <w:style w:type="character" w:customStyle="1" w:styleId="FootnoteTextChar">
    <w:name w:val="Footnote Text Char"/>
    <w:basedOn w:val="DefaultParagraphFont"/>
    <w:link w:val="FootnoteText"/>
    <w:uiPriority w:val="99"/>
    <w:semiHidden/>
    <w:rsid w:val="00D844F7"/>
    <w:rPr>
      <w:sz w:val="20"/>
      <w:szCs w:val="20"/>
    </w:rPr>
  </w:style>
  <w:style w:type="character" w:styleId="FootnoteReference">
    <w:name w:val="footnote reference"/>
    <w:basedOn w:val="DefaultParagraphFont"/>
    <w:uiPriority w:val="99"/>
    <w:semiHidden/>
    <w:unhideWhenUsed/>
    <w:rsid w:val="00D844F7"/>
    <w:rPr>
      <w:vertAlign w:val="superscript"/>
    </w:rPr>
  </w:style>
  <w:style w:type="character" w:styleId="CommentReference">
    <w:name w:val="annotation reference"/>
    <w:basedOn w:val="DefaultParagraphFont"/>
    <w:uiPriority w:val="99"/>
    <w:semiHidden/>
    <w:unhideWhenUsed/>
    <w:rsid w:val="00E25A2C"/>
    <w:rPr>
      <w:sz w:val="16"/>
      <w:szCs w:val="16"/>
    </w:rPr>
  </w:style>
  <w:style w:type="paragraph" w:styleId="CommentText">
    <w:name w:val="annotation text"/>
    <w:basedOn w:val="Normal"/>
    <w:link w:val="CommentTextChar"/>
    <w:uiPriority w:val="99"/>
    <w:semiHidden/>
    <w:unhideWhenUsed/>
    <w:rsid w:val="00E25A2C"/>
    <w:rPr>
      <w:sz w:val="20"/>
      <w:szCs w:val="20"/>
    </w:rPr>
  </w:style>
  <w:style w:type="character" w:customStyle="1" w:styleId="CommentTextChar">
    <w:name w:val="Comment Text Char"/>
    <w:basedOn w:val="DefaultParagraphFont"/>
    <w:link w:val="CommentText"/>
    <w:uiPriority w:val="99"/>
    <w:semiHidden/>
    <w:rsid w:val="00E25A2C"/>
    <w:rPr>
      <w:sz w:val="20"/>
      <w:szCs w:val="20"/>
    </w:rPr>
  </w:style>
  <w:style w:type="paragraph" w:styleId="CommentSubject">
    <w:name w:val="annotation subject"/>
    <w:basedOn w:val="CommentText"/>
    <w:next w:val="CommentText"/>
    <w:link w:val="CommentSubjectChar"/>
    <w:uiPriority w:val="99"/>
    <w:semiHidden/>
    <w:unhideWhenUsed/>
    <w:rsid w:val="00E25A2C"/>
    <w:rPr>
      <w:b/>
      <w:bCs/>
    </w:rPr>
  </w:style>
  <w:style w:type="character" w:customStyle="1" w:styleId="CommentSubjectChar">
    <w:name w:val="Comment Subject Char"/>
    <w:basedOn w:val="CommentTextChar"/>
    <w:link w:val="CommentSubject"/>
    <w:uiPriority w:val="99"/>
    <w:semiHidden/>
    <w:rsid w:val="00E25A2C"/>
    <w:rPr>
      <w:b/>
      <w:bCs/>
      <w:sz w:val="20"/>
      <w:szCs w:val="20"/>
    </w:rPr>
  </w:style>
  <w:style w:type="paragraph" w:styleId="BalloonText">
    <w:name w:val="Balloon Text"/>
    <w:basedOn w:val="Normal"/>
    <w:link w:val="BalloonTextChar"/>
    <w:uiPriority w:val="99"/>
    <w:semiHidden/>
    <w:unhideWhenUsed/>
    <w:rsid w:val="00E25A2C"/>
    <w:rPr>
      <w:sz w:val="18"/>
      <w:szCs w:val="18"/>
    </w:rPr>
  </w:style>
  <w:style w:type="character" w:customStyle="1" w:styleId="BalloonTextChar">
    <w:name w:val="Balloon Text Char"/>
    <w:basedOn w:val="DefaultParagraphFont"/>
    <w:link w:val="BalloonText"/>
    <w:uiPriority w:val="99"/>
    <w:semiHidden/>
    <w:rsid w:val="00E25A2C"/>
    <w:rPr>
      <w:rFonts w:ascii="Times New Roman" w:hAnsi="Times New Roman" w:cs="Times New Roman"/>
      <w:sz w:val="18"/>
      <w:szCs w:val="18"/>
    </w:rPr>
  </w:style>
  <w:style w:type="table" w:styleId="TableGrid">
    <w:name w:val="Table Grid"/>
    <w:basedOn w:val="TableNormal"/>
    <w:uiPriority w:val="39"/>
    <w:rsid w:val="004335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602">
      <w:bodyDiv w:val="1"/>
      <w:marLeft w:val="0"/>
      <w:marRight w:val="0"/>
      <w:marTop w:val="0"/>
      <w:marBottom w:val="0"/>
      <w:divBdr>
        <w:top w:val="none" w:sz="0" w:space="0" w:color="auto"/>
        <w:left w:val="none" w:sz="0" w:space="0" w:color="auto"/>
        <w:bottom w:val="none" w:sz="0" w:space="0" w:color="auto"/>
        <w:right w:val="none" w:sz="0" w:space="0" w:color="auto"/>
      </w:divBdr>
      <w:divsChild>
        <w:div w:id="1380282519">
          <w:marLeft w:val="0"/>
          <w:marRight w:val="0"/>
          <w:marTop w:val="0"/>
          <w:marBottom w:val="0"/>
          <w:divBdr>
            <w:top w:val="none" w:sz="0" w:space="0" w:color="auto"/>
            <w:left w:val="none" w:sz="0" w:space="0" w:color="auto"/>
            <w:bottom w:val="none" w:sz="0" w:space="0" w:color="auto"/>
            <w:right w:val="none" w:sz="0" w:space="0" w:color="auto"/>
          </w:divBdr>
          <w:divsChild>
            <w:div w:id="1381515978">
              <w:marLeft w:val="0"/>
              <w:marRight w:val="0"/>
              <w:marTop w:val="0"/>
              <w:marBottom w:val="0"/>
              <w:divBdr>
                <w:top w:val="none" w:sz="0" w:space="0" w:color="auto"/>
                <w:left w:val="none" w:sz="0" w:space="0" w:color="auto"/>
                <w:bottom w:val="none" w:sz="0" w:space="0" w:color="auto"/>
                <w:right w:val="none" w:sz="0" w:space="0" w:color="auto"/>
              </w:divBdr>
              <w:divsChild>
                <w:div w:id="1331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5484">
      <w:bodyDiv w:val="1"/>
      <w:marLeft w:val="0"/>
      <w:marRight w:val="0"/>
      <w:marTop w:val="0"/>
      <w:marBottom w:val="0"/>
      <w:divBdr>
        <w:top w:val="none" w:sz="0" w:space="0" w:color="auto"/>
        <w:left w:val="none" w:sz="0" w:space="0" w:color="auto"/>
        <w:bottom w:val="none" w:sz="0" w:space="0" w:color="auto"/>
        <w:right w:val="none" w:sz="0" w:space="0" w:color="auto"/>
      </w:divBdr>
      <w:divsChild>
        <w:div w:id="1868172499">
          <w:marLeft w:val="0"/>
          <w:marRight w:val="0"/>
          <w:marTop w:val="0"/>
          <w:marBottom w:val="0"/>
          <w:divBdr>
            <w:top w:val="none" w:sz="0" w:space="0" w:color="auto"/>
            <w:left w:val="none" w:sz="0" w:space="0" w:color="auto"/>
            <w:bottom w:val="none" w:sz="0" w:space="0" w:color="auto"/>
            <w:right w:val="none" w:sz="0" w:space="0" w:color="auto"/>
          </w:divBdr>
          <w:divsChild>
            <w:div w:id="2082823494">
              <w:marLeft w:val="0"/>
              <w:marRight w:val="0"/>
              <w:marTop w:val="0"/>
              <w:marBottom w:val="0"/>
              <w:divBdr>
                <w:top w:val="none" w:sz="0" w:space="0" w:color="auto"/>
                <w:left w:val="none" w:sz="0" w:space="0" w:color="auto"/>
                <w:bottom w:val="none" w:sz="0" w:space="0" w:color="auto"/>
                <w:right w:val="none" w:sz="0" w:space="0" w:color="auto"/>
              </w:divBdr>
              <w:divsChild>
                <w:div w:id="1608154704">
                  <w:marLeft w:val="0"/>
                  <w:marRight w:val="0"/>
                  <w:marTop w:val="0"/>
                  <w:marBottom w:val="0"/>
                  <w:divBdr>
                    <w:top w:val="none" w:sz="0" w:space="0" w:color="auto"/>
                    <w:left w:val="none" w:sz="0" w:space="0" w:color="auto"/>
                    <w:bottom w:val="none" w:sz="0" w:space="0" w:color="auto"/>
                    <w:right w:val="none" w:sz="0" w:space="0" w:color="auto"/>
                  </w:divBdr>
                  <w:divsChild>
                    <w:div w:id="15679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4802">
      <w:bodyDiv w:val="1"/>
      <w:marLeft w:val="0"/>
      <w:marRight w:val="0"/>
      <w:marTop w:val="0"/>
      <w:marBottom w:val="0"/>
      <w:divBdr>
        <w:top w:val="none" w:sz="0" w:space="0" w:color="auto"/>
        <w:left w:val="none" w:sz="0" w:space="0" w:color="auto"/>
        <w:bottom w:val="none" w:sz="0" w:space="0" w:color="auto"/>
        <w:right w:val="none" w:sz="0" w:space="0" w:color="auto"/>
      </w:divBdr>
      <w:divsChild>
        <w:div w:id="1161047370">
          <w:marLeft w:val="0"/>
          <w:marRight w:val="0"/>
          <w:marTop w:val="0"/>
          <w:marBottom w:val="0"/>
          <w:divBdr>
            <w:top w:val="none" w:sz="0" w:space="0" w:color="auto"/>
            <w:left w:val="none" w:sz="0" w:space="0" w:color="auto"/>
            <w:bottom w:val="none" w:sz="0" w:space="0" w:color="auto"/>
            <w:right w:val="none" w:sz="0" w:space="0" w:color="auto"/>
          </w:divBdr>
          <w:divsChild>
            <w:div w:id="238247571">
              <w:marLeft w:val="0"/>
              <w:marRight w:val="0"/>
              <w:marTop w:val="0"/>
              <w:marBottom w:val="0"/>
              <w:divBdr>
                <w:top w:val="none" w:sz="0" w:space="0" w:color="auto"/>
                <w:left w:val="none" w:sz="0" w:space="0" w:color="auto"/>
                <w:bottom w:val="none" w:sz="0" w:space="0" w:color="auto"/>
                <w:right w:val="none" w:sz="0" w:space="0" w:color="auto"/>
              </w:divBdr>
              <w:divsChild>
                <w:div w:id="20123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98661">
      <w:bodyDiv w:val="1"/>
      <w:marLeft w:val="0"/>
      <w:marRight w:val="0"/>
      <w:marTop w:val="0"/>
      <w:marBottom w:val="0"/>
      <w:divBdr>
        <w:top w:val="none" w:sz="0" w:space="0" w:color="auto"/>
        <w:left w:val="none" w:sz="0" w:space="0" w:color="auto"/>
        <w:bottom w:val="none" w:sz="0" w:space="0" w:color="auto"/>
        <w:right w:val="none" w:sz="0" w:space="0" w:color="auto"/>
      </w:divBdr>
      <w:divsChild>
        <w:div w:id="1105078305">
          <w:marLeft w:val="0"/>
          <w:marRight w:val="0"/>
          <w:marTop w:val="0"/>
          <w:marBottom w:val="0"/>
          <w:divBdr>
            <w:top w:val="none" w:sz="0" w:space="0" w:color="auto"/>
            <w:left w:val="none" w:sz="0" w:space="0" w:color="auto"/>
            <w:bottom w:val="none" w:sz="0" w:space="0" w:color="auto"/>
            <w:right w:val="none" w:sz="0" w:space="0" w:color="auto"/>
          </w:divBdr>
          <w:divsChild>
            <w:div w:id="957563443">
              <w:marLeft w:val="0"/>
              <w:marRight w:val="0"/>
              <w:marTop w:val="0"/>
              <w:marBottom w:val="0"/>
              <w:divBdr>
                <w:top w:val="none" w:sz="0" w:space="0" w:color="auto"/>
                <w:left w:val="none" w:sz="0" w:space="0" w:color="auto"/>
                <w:bottom w:val="none" w:sz="0" w:space="0" w:color="auto"/>
                <w:right w:val="none" w:sz="0" w:space="0" w:color="auto"/>
              </w:divBdr>
              <w:divsChild>
                <w:div w:id="58099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00745">
      <w:bodyDiv w:val="1"/>
      <w:marLeft w:val="0"/>
      <w:marRight w:val="0"/>
      <w:marTop w:val="0"/>
      <w:marBottom w:val="0"/>
      <w:divBdr>
        <w:top w:val="none" w:sz="0" w:space="0" w:color="auto"/>
        <w:left w:val="none" w:sz="0" w:space="0" w:color="auto"/>
        <w:bottom w:val="none" w:sz="0" w:space="0" w:color="auto"/>
        <w:right w:val="none" w:sz="0" w:space="0" w:color="auto"/>
      </w:divBdr>
      <w:divsChild>
        <w:div w:id="309940533">
          <w:marLeft w:val="0"/>
          <w:marRight w:val="0"/>
          <w:marTop w:val="0"/>
          <w:marBottom w:val="0"/>
          <w:divBdr>
            <w:top w:val="none" w:sz="0" w:space="0" w:color="auto"/>
            <w:left w:val="none" w:sz="0" w:space="0" w:color="auto"/>
            <w:bottom w:val="none" w:sz="0" w:space="0" w:color="auto"/>
            <w:right w:val="none" w:sz="0" w:space="0" w:color="auto"/>
          </w:divBdr>
          <w:divsChild>
            <w:div w:id="1892493358">
              <w:marLeft w:val="0"/>
              <w:marRight w:val="0"/>
              <w:marTop w:val="0"/>
              <w:marBottom w:val="0"/>
              <w:divBdr>
                <w:top w:val="none" w:sz="0" w:space="0" w:color="auto"/>
                <w:left w:val="none" w:sz="0" w:space="0" w:color="auto"/>
                <w:bottom w:val="none" w:sz="0" w:space="0" w:color="auto"/>
                <w:right w:val="none" w:sz="0" w:space="0" w:color="auto"/>
              </w:divBdr>
              <w:divsChild>
                <w:div w:id="1921521011">
                  <w:marLeft w:val="0"/>
                  <w:marRight w:val="0"/>
                  <w:marTop w:val="0"/>
                  <w:marBottom w:val="0"/>
                  <w:divBdr>
                    <w:top w:val="none" w:sz="0" w:space="0" w:color="auto"/>
                    <w:left w:val="none" w:sz="0" w:space="0" w:color="auto"/>
                    <w:bottom w:val="none" w:sz="0" w:space="0" w:color="auto"/>
                    <w:right w:val="none" w:sz="0" w:space="0" w:color="auto"/>
                  </w:divBdr>
                  <w:divsChild>
                    <w:div w:id="15657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698179">
      <w:bodyDiv w:val="1"/>
      <w:marLeft w:val="0"/>
      <w:marRight w:val="0"/>
      <w:marTop w:val="0"/>
      <w:marBottom w:val="0"/>
      <w:divBdr>
        <w:top w:val="none" w:sz="0" w:space="0" w:color="auto"/>
        <w:left w:val="none" w:sz="0" w:space="0" w:color="auto"/>
        <w:bottom w:val="none" w:sz="0" w:space="0" w:color="auto"/>
        <w:right w:val="none" w:sz="0" w:space="0" w:color="auto"/>
      </w:divBdr>
      <w:divsChild>
        <w:div w:id="920258287">
          <w:marLeft w:val="0"/>
          <w:marRight w:val="0"/>
          <w:marTop w:val="0"/>
          <w:marBottom w:val="0"/>
          <w:divBdr>
            <w:top w:val="none" w:sz="0" w:space="0" w:color="auto"/>
            <w:left w:val="none" w:sz="0" w:space="0" w:color="auto"/>
            <w:bottom w:val="none" w:sz="0" w:space="0" w:color="auto"/>
            <w:right w:val="none" w:sz="0" w:space="0" w:color="auto"/>
          </w:divBdr>
          <w:divsChild>
            <w:div w:id="1331173709">
              <w:marLeft w:val="0"/>
              <w:marRight w:val="0"/>
              <w:marTop w:val="0"/>
              <w:marBottom w:val="0"/>
              <w:divBdr>
                <w:top w:val="none" w:sz="0" w:space="0" w:color="auto"/>
                <w:left w:val="none" w:sz="0" w:space="0" w:color="auto"/>
                <w:bottom w:val="none" w:sz="0" w:space="0" w:color="auto"/>
                <w:right w:val="none" w:sz="0" w:space="0" w:color="auto"/>
              </w:divBdr>
              <w:divsChild>
                <w:div w:id="34937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3912">
      <w:bodyDiv w:val="1"/>
      <w:marLeft w:val="0"/>
      <w:marRight w:val="0"/>
      <w:marTop w:val="0"/>
      <w:marBottom w:val="0"/>
      <w:divBdr>
        <w:top w:val="none" w:sz="0" w:space="0" w:color="auto"/>
        <w:left w:val="none" w:sz="0" w:space="0" w:color="auto"/>
        <w:bottom w:val="none" w:sz="0" w:space="0" w:color="auto"/>
        <w:right w:val="none" w:sz="0" w:space="0" w:color="auto"/>
      </w:divBdr>
    </w:div>
    <w:div w:id="309602195">
      <w:bodyDiv w:val="1"/>
      <w:marLeft w:val="0"/>
      <w:marRight w:val="0"/>
      <w:marTop w:val="0"/>
      <w:marBottom w:val="0"/>
      <w:divBdr>
        <w:top w:val="none" w:sz="0" w:space="0" w:color="auto"/>
        <w:left w:val="none" w:sz="0" w:space="0" w:color="auto"/>
        <w:bottom w:val="none" w:sz="0" w:space="0" w:color="auto"/>
        <w:right w:val="none" w:sz="0" w:space="0" w:color="auto"/>
      </w:divBdr>
    </w:div>
    <w:div w:id="393357547">
      <w:bodyDiv w:val="1"/>
      <w:marLeft w:val="0"/>
      <w:marRight w:val="0"/>
      <w:marTop w:val="0"/>
      <w:marBottom w:val="0"/>
      <w:divBdr>
        <w:top w:val="none" w:sz="0" w:space="0" w:color="auto"/>
        <w:left w:val="none" w:sz="0" w:space="0" w:color="auto"/>
        <w:bottom w:val="none" w:sz="0" w:space="0" w:color="auto"/>
        <w:right w:val="none" w:sz="0" w:space="0" w:color="auto"/>
      </w:divBdr>
      <w:divsChild>
        <w:div w:id="1660306350">
          <w:marLeft w:val="0"/>
          <w:marRight w:val="0"/>
          <w:marTop w:val="0"/>
          <w:marBottom w:val="0"/>
          <w:divBdr>
            <w:top w:val="none" w:sz="0" w:space="0" w:color="auto"/>
            <w:left w:val="none" w:sz="0" w:space="0" w:color="auto"/>
            <w:bottom w:val="none" w:sz="0" w:space="0" w:color="auto"/>
            <w:right w:val="none" w:sz="0" w:space="0" w:color="auto"/>
          </w:divBdr>
          <w:divsChild>
            <w:div w:id="1034308789">
              <w:marLeft w:val="0"/>
              <w:marRight w:val="0"/>
              <w:marTop w:val="0"/>
              <w:marBottom w:val="0"/>
              <w:divBdr>
                <w:top w:val="none" w:sz="0" w:space="0" w:color="auto"/>
                <w:left w:val="none" w:sz="0" w:space="0" w:color="auto"/>
                <w:bottom w:val="none" w:sz="0" w:space="0" w:color="auto"/>
                <w:right w:val="none" w:sz="0" w:space="0" w:color="auto"/>
              </w:divBdr>
              <w:divsChild>
                <w:div w:id="977492549">
                  <w:marLeft w:val="0"/>
                  <w:marRight w:val="0"/>
                  <w:marTop w:val="0"/>
                  <w:marBottom w:val="0"/>
                  <w:divBdr>
                    <w:top w:val="none" w:sz="0" w:space="0" w:color="auto"/>
                    <w:left w:val="none" w:sz="0" w:space="0" w:color="auto"/>
                    <w:bottom w:val="none" w:sz="0" w:space="0" w:color="auto"/>
                    <w:right w:val="none" w:sz="0" w:space="0" w:color="auto"/>
                  </w:divBdr>
                  <w:divsChild>
                    <w:div w:id="2254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726540">
      <w:bodyDiv w:val="1"/>
      <w:marLeft w:val="0"/>
      <w:marRight w:val="0"/>
      <w:marTop w:val="0"/>
      <w:marBottom w:val="0"/>
      <w:divBdr>
        <w:top w:val="none" w:sz="0" w:space="0" w:color="auto"/>
        <w:left w:val="none" w:sz="0" w:space="0" w:color="auto"/>
        <w:bottom w:val="none" w:sz="0" w:space="0" w:color="auto"/>
        <w:right w:val="none" w:sz="0" w:space="0" w:color="auto"/>
      </w:divBdr>
      <w:divsChild>
        <w:div w:id="1897741550">
          <w:marLeft w:val="0"/>
          <w:marRight w:val="0"/>
          <w:marTop w:val="0"/>
          <w:marBottom w:val="0"/>
          <w:divBdr>
            <w:top w:val="none" w:sz="0" w:space="0" w:color="auto"/>
            <w:left w:val="none" w:sz="0" w:space="0" w:color="auto"/>
            <w:bottom w:val="none" w:sz="0" w:space="0" w:color="auto"/>
            <w:right w:val="none" w:sz="0" w:space="0" w:color="auto"/>
          </w:divBdr>
          <w:divsChild>
            <w:div w:id="2096632102">
              <w:marLeft w:val="0"/>
              <w:marRight w:val="0"/>
              <w:marTop w:val="0"/>
              <w:marBottom w:val="0"/>
              <w:divBdr>
                <w:top w:val="none" w:sz="0" w:space="0" w:color="auto"/>
                <w:left w:val="none" w:sz="0" w:space="0" w:color="auto"/>
                <w:bottom w:val="none" w:sz="0" w:space="0" w:color="auto"/>
                <w:right w:val="none" w:sz="0" w:space="0" w:color="auto"/>
              </w:divBdr>
              <w:divsChild>
                <w:div w:id="8765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246013">
      <w:bodyDiv w:val="1"/>
      <w:marLeft w:val="0"/>
      <w:marRight w:val="0"/>
      <w:marTop w:val="0"/>
      <w:marBottom w:val="0"/>
      <w:divBdr>
        <w:top w:val="none" w:sz="0" w:space="0" w:color="auto"/>
        <w:left w:val="none" w:sz="0" w:space="0" w:color="auto"/>
        <w:bottom w:val="none" w:sz="0" w:space="0" w:color="auto"/>
        <w:right w:val="none" w:sz="0" w:space="0" w:color="auto"/>
      </w:divBdr>
    </w:div>
    <w:div w:id="518740692">
      <w:bodyDiv w:val="1"/>
      <w:marLeft w:val="0"/>
      <w:marRight w:val="0"/>
      <w:marTop w:val="0"/>
      <w:marBottom w:val="0"/>
      <w:divBdr>
        <w:top w:val="none" w:sz="0" w:space="0" w:color="auto"/>
        <w:left w:val="none" w:sz="0" w:space="0" w:color="auto"/>
        <w:bottom w:val="none" w:sz="0" w:space="0" w:color="auto"/>
        <w:right w:val="none" w:sz="0" w:space="0" w:color="auto"/>
      </w:divBdr>
      <w:divsChild>
        <w:div w:id="1628270247">
          <w:marLeft w:val="0"/>
          <w:marRight w:val="0"/>
          <w:marTop w:val="0"/>
          <w:marBottom w:val="0"/>
          <w:divBdr>
            <w:top w:val="none" w:sz="0" w:space="0" w:color="auto"/>
            <w:left w:val="none" w:sz="0" w:space="0" w:color="auto"/>
            <w:bottom w:val="none" w:sz="0" w:space="0" w:color="auto"/>
            <w:right w:val="none" w:sz="0" w:space="0" w:color="auto"/>
          </w:divBdr>
          <w:divsChild>
            <w:div w:id="459614500">
              <w:marLeft w:val="0"/>
              <w:marRight w:val="0"/>
              <w:marTop w:val="0"/>
              <w:marBottom w:val="0"/>
              <w:divBdr>
                <w:top w:val="none" w:sz="0" w:space="0" w:color="auto"/>
                <w:left w:val="none" w:sz="0" w:space="0" w:color="auto"/>
                <w:bottom w:val="none" w:sz="0" w:space="0" w:color="auto"/>
                <w:right w:val="none" w:sz="0" w:space="0" w:color="auto"/>
              </w:divBdr>
              <w:divsChild>
                <w:div w:id="207705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2524">
      <w:bodyDiv w:val="1"/>
      <w:marLeft w:val="0"/>
      <w:marRight w:val="0"/>
      <w:marTop w:val="0"/>
      <w:marBottom w:val="0"/>
      <w:divBdr>
        <w:top w:val="none" w:sz="0" w:space="0" w:color="auto"/>
        <w:left w:val="none" w:sz="0" w:space="0" w:color="auto"/>
        <w:bottom w:val="none" w:sz="0" w:space="0" w:color="auto"/>
        <w:right w:val="none" w:sz="0" w:space="0" w:color="auto"/>
      </w:divBdr>
    </w:div>
    <w:div w:id="532309573">
      <w:bodyDiv w:val="1"/>
      <w:marLeft w:val="0"/>
      <w:marRight w:val="0"/>
      <w:marTop w:val="0"/>
      <w:marBottom w:val="0"/>
      <w:divBdr>
        <w:top w:val="none" w:sz="0" w:space="0" w:color="auto"/>
        <w:left w:val="none" w:sz="0" w:space="0" w:color="auto"/>
        <w:bottom w:val="none" w:sz="0" w:space="0" w:color="auto"/>
        <w:right w:val="none" w:sz="0" w:space="0" w:color="auto"/>
      </w:divBdr>
    </w:div>
    <w:div w:id="603616655">
      <w:bodyDiv w:val="1"/>
      <w:marLeft w:val="0"/>
      <w:marRight w:val="0"/>
      <w:marTop w:val="0"/>
      <w:marBottom w:val="0"/>
      <w:divBdr>
        <w:top w:val="none" w:sz="0" w:space="0" w:color="auto"/>
        <w:left w:val="none" w:sz="0" w:space="0" w:color="auto"/>
        <w:bottom w:val="none" w:sz="0" w:space="0" w:color="auto"/>
        <w:right w:val="none" w:sz="0" w:space="0" w:color="auto"/>
      </w:divBdr>
      <w:divsChild>
        <w:div w:id="327246559">
          <w:marLeft w:val="0"/>
          <w:marRight w:val="0"/>
          <w:marTop w:val="0"/>
          <w:marBottom w:val="0"/>
          <w:divBdr>
            <w:top w:val="none" w:sz="0" w:space="0" w:color="auto"/>
            <w:left w:val="none" w:sz="0" w:space="0" w:color="auto"/>
            <w:bottom w:val="none" w:sz="0" w:space="0" w:color="auto"/>
            <w:right w:val="none" w:sz="0" w:space="0" w:color="auto"/>
          </w:divBdr>
          <w:divsChild>
            <w:div w:id="1437866750">
              <w:marLeft w:val="0"/>
              <w:marRight w:val="0"/>
              <w:marTop w:val="0"/>
              <w:marBottom w:val="0"/>
              <w:divBdr>
                <w:top w:val="none" w:sz="0" w:space="0" w:color="auto"/>
                <w:left w:val="none" w:sz="0" w:space="0" w:color="auto"/>
                <w:bottom w:val="none" w:sz="0" w:space="0" w:color="auto"/>
                <w:right w:val="none" w:sz="0" w:space="0" w:color="auto"/>
              </w:divBdr>
              <w:divsChild>
                <w:div w:id="19199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38025">
      <w:bodyDiv w:val="1"/>
      <w:marLeft w:val="0"/>
      <w:marRight w:val="0"/>
      <w:marTop w:val="0"/>
      <w:marBottom w:val="0"/>
      <w:divBdr>
        <w:top w:val="none" w:sz="0" w:space="0" w:color="auto"/>
        <w:left w:val="none" w:sz="0" w:space="0" w:color="auto"/>
        <w:bottom w:val="none" w:sz="0" w:space="0" w:color="auto"/>
        <w:right w:val="none" w:sz="0" w:space="0" w:color="auto"/>
      </w:divBdr>
    </w:div>
    <w:div w:id="646321217">
      <w:bodyDiv w:val="1"/>
      <w:marLeft w:val="0"/>
      <w:marRight w:val="0"/>
      <w:marTop w:val="0"/>
      <w:marBottom w:val="0"/>
      <w:divBdr>
        <w:top w:val="none" w:sz="0" w:space="0" w:color="auto"/>
        <w:left w:val="none" w:sz="0" w:space="0" w:color="auto"/>
        <w:bottom w:val="none" w:sz="0" w:space="0" w:color="auto"/>
        <w:right w:val="none" w:sz="0" w:space="0" w:color="auto"/>
      </w:divBdr>
      <w:divsChild>
        <w:div w:id="1653170841">
          <w:marLeft w:val="0"/>
          <w:marRight w:val="0"/>
          <w:marTop w:val="0"/>
          <w:marBottom w:val="0"/>
          <w:divBdr>
            <w:top w:val="none" w:sz="0" w:space="0" w:color="auto"/>
            <w:left w:val="none" w:sz="0" w:space="0" w:color="auto"/>
            <w:bottom w:val="none" w:sz="0" w:space="0" w:color="auto"/>
            <w:right w:val="none" w:sz="0" w:space="0" w:color="auto"/>
          </w:divBdr>
          <w:divsChild>
            <w:div w:id="982736455">
              <w:marLeft w:val="0"/>
              <w:marRight w:val="0"/>
              <w:marTop w:val="0"/>
              <w:marBottom w:val="0"/>
              <w:divBdr>
                <w:top w:val="none" w:sz="0" w:space="0" w:color="auto"/>
                <w:left w:val="none" w:sz="0" w:space="0" w:color="auto"/>
                <w:bottom w:val="none" w:sz="0" w:space="0" w:color="auto"/>
                <w:right w:val="none" w:sz="0" w:space="0" w:color="auto"/>
              </w:divBdr>
              <w:divsChild>
                <w:div w:id="501749496">
                  <w:marLeft w:val="0"/>
                  <w:marRight w:val="0"/>
                  <w:marTop w:val="0"/>
                  <w:marBottom w:val="0"/>
                  <w:divBdr>
                    <w:top w:val="none" w:sz="0" w:space="0" w:color="auto"/>
                    <w:left w:val="none" w:sz="0" w:space="0" w:color="auto"/>
                    <w:bottom w:val="none" w:sz="0" w:space="0" w:color="auto"/>
                    <w:right w:val="none" w:sz="0" w:space="0" w:color="auto"/>
                  </w:divBdr>
                  <w:divsChild>
                    <w:div w:id="9158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927922">
      <w:bodyDiv w:val="1"/>
      <w:marLeft w:val="0"/>
      <w:marRight w:val="0"/>
      <w:marTop w:val="0"/>
      <w:marBottom w:val="0"/>
      <w:divBdr>
        <w:top w:val="none" w:sz="0" w:space="0" w:color="auto"/>
        <w:left w:val="none" w:sz="0" w:space="0" w:color="auto"/>
        <w:bottom w:val="none" w:sz="0" w:space="0" w:color="auto"/>
        <w:right w:val="none" w:sz="0" w:space="0" w:color="auto"/>
      </w:divBdr>
    </w:div>
    <w:div w:id="690227717">
      <w:bodyDiv w:val="1"/>
      <w:marLeft w:val="0"/>
      <w:marRight w:val="0"/>
      <w:marTop w:val="0"/>
      <w:marBottom w:val="0"/>
      <w:divBdr>
        <w:top w:val="none" w:sz="0" w:space="0" w:color="auto"/>
        <w:left w:val="none" w:sz="0" w:space="0" w:color="auto"/>
        <w:bottom w:val="none" w:sz="0" w:space="0" w:color="auto"/>
        <w:right w:val="none" w:sz="0" w:space="0" w:color="auto"/>
      </w:divBdr>
      <w:divsChild>
        <w:div w:id="1390953324">
          <w:marLeft w:val="0"/>
          <w:marRight w:val="0"/>
          <w:marTop w:val="0"/>
          <w:marBottom w:val="0"/>
          <w:divBdr>
            <w:top w:val="none" w:sz="0" w:space="0" w:color="auto"/>
            <w:left w:val="none" w:sz="0" w:space="0" w:color="auto"/>
            <w:bottom w:val="none" w:sz="0" w:space="0" w:color="auto"/>
            <w:right w:val="none" w:sz="0" w:space="0" w:color="auto"/>
          </w:divBdr>
          <w:divsChild>
            <w:div w:id="924993403">
              <w:marLeft w:val="0"/>
              <w:marRight w:val="0"/>
              <w:marTop w:val="0"/>
              <w:marBottom w:val="0"/>
              <w:divBdr>
                <w:top w:val="none" w:sz="0" w:space="0" w:color="auto"/>
                <w:left w:val="none" w:sz="0" w:space="0" w:color="auto"/>
                <w:bottom w:val="none" w:sz="0" w:space="0" w:color="auto"/>
                <w:right w:val="none" w:sz="0" w:space="0" w:color="auto"/>
              </w:divBdr>
              <w:divsChild>
                <w:div w:id="15069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5270">
      <w:bodyDiv w:val="1"/>
      <w:marLeft w:val="0"/>
      <w:marRight w:val="0"/>
      <w:marTop w:val="0"/>
      <w:marBottom w:val="0"/>
      <w:divBdr>
        <w:top w:val="none" w:sz="0" w:space="0" w:color="auto"/>
        <w:left w:val="none" w:sz="0" w:space="0" w:color="auto"/>
        <w:bottom w:val="none" w:sz="0" w:space="0" w:color="auto"/>
        <w:right w:val="none" w:sz="0" w:space="0" w:color="auto"/>
      </w:divBdr>
    </w:div>
    <w:div w:id="731344888">
      <w:bodyDiv w:val="1"/>
      <w:marLeft w:val="0"/>
      <w:marRight w:val="0"/>
      <w:marTop w:val="0"/>
      <w:marBottom w:val="0"/>
      <w:divBdr>
        <w:top w:val="none" w:sz="0" w:space="0" w:color="auto"/>
        <w:left w:val="none" w:sz="0" w:space="0" w:color="auto"/>
        <w:bottom w:val="none" w:sz="0" w:space="0" w:color="auto"/>
        <w:right w:val="none" w:sz="0" w:space="0" w:color="auto"/>
      </w:divBdr>
    </w:div>
    <w:div w:id="757748716">
      <w:bodyDiv w:val="1"/>
      <w:marLeft w:val="0"/>
      <w:marRight w:val="0"/>
      <w:marTop w:val="0"/>
      <w:marBottom w:val="0"/>
      <w:divBdr>
        <w:top w:val="none" w:sz="0" w:space="0" w:color="auto"/>
        <w:left w:val="none" w:sz="0" w:space="0" w:color="auto"/>
        <w:bottom w:val="none" w:sz="0" w:space="0" w:color="auto"/>
        <w:right w:val="none" w:sz="0" w:space="0" w:color="auto"/>
      </w:divBdr>
      <w:divsChild>
        <w:div w:id="1958872873">
          <w:marLeft w:val="0"/>
          <w:marRight w:val="0"/>
          <w:marTop w:val="0"/>
          <w:marBottom w:val="0"/>
          <w:divBdr>
            <w:top w:val="none" w:sz="0" w:space="0" w:color="auto"/>
            <w:left w:val="none" w:sz="0" w:space="0" w:color="auto"/>
            <w:bottom w:val="none" w:sz="0" w:space="0" w:color="auto"/>
            <w:right w:val="none" w:sz="0" w:space="0" w:color="auto"/>
          </w:divBdr>
          <w:divsChild>
            <w:div w:id="1666281369">
              <w:marLeft w:val="0"/>
              <w:marRight w:val="0"/>
              <w:marTop w:val="0"/>
              <w:marBottom w:val="0"/>
              <w:divBdr>
                <w:top w:val="none" w:sz="0" w:space="0" w:color="auto"/>
                <w:left w:val="none" w:sz="0" w:space="0" w:color="auto"/>
                <w:bottom w:val="none" w:sz="0" w:space="0" w:color="auto"/>
                <w:right w:val="none" w:sz="0" w:space="0" w:color="auto"/>
              </w:divBdr>
              <w:divsChild>
                <w:div w:id="8023020">
                  <w:marLeft w:val="0"/>
                  <w:marRight w:val="0"/>
                  <w:marTop w:val="0"/>
                  <w:marBottom w:val="0"/>
                  <w:divBdr>
                    <w:top w:val="none" w:sz="0" w:space="0" w:color="auto"/>
                    <w:left w:val="none" w:sz="0" w:space="0" w:color="auto"/>
                    <w:bottom w:val="none" w:sz="0" w:space="0" w:color="auto"/>
                    <w:right w:val="none" w:sz="0" w:space="0" w:color="auto"/>
                  </w:divBdr>
                  <w:divsChild>
                    <w:div w:id="11857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7315">
      <w:bodyDiv w:val="1"/>
      <w:marLeft w:val="0"/>
      <w:marRight w:val="0"/>
      <w:marTop w:val="0"/>
      <w:marBottom w:val="0"/>
      <w:divBdr>
        <w:top w:val="none" w:sz="0" w:space="0" w:color="auto"/>
        <w:left w:val="none" w:sz="0" w:space="0" w:color="auto"/>
        <w:bottom w:val="none" w:sz="0" w:space="0" w:color="auto"/>
        <w:right w:val="none" w:sz="0" w:space="0" w:color="auto"/>
      </w:divBdr>
      <w:divsChild>
        <w:div w:id="653796586">
          <w:marLeft w:val="0"/>
          <w:marRight w:val="0"/>
          <w:marTop w:val="0"/>
          <w:marBottom w:val="0"/>
          <w:divBdr>
            <w:top w:val="none" w:sz="0" w:space="0" w:color="auto"/>
            <w:left w:val="none" w:sz="0" w:space="0" w:color="auto"/>
            <w:bottom w:val="none" w:sz="0" w:space="0" w:color="auto"/>
            <w:right w:val="none" w:sz="0" w:space="0" w:color="auto"/>
          </w:divBdr>
          <w:divsChild>
            <w:div w:id="1185364480">
              <w:marLeft w:val="0"/>
              <w:marRight w:val="0"/>
              <w:marTop w:val="0"/>
              <w:marBottom w:val="0"/>
              <w:divBdr>
                <w:top w:val="none" w:sz="0" w:space="0" w:color="auto"/>
                <w:left w:val="none" w:sz="0" w:space="0" w:color="auto"/>
                <w:bottom w:val="none" w:sz="0" w:space="0" w:color="auto"/>
                <w:right w:val="none" w:sz="0" w:space="0" w:color="auto"/>
              </w:divBdr>
              <w:divsChild>
                <w:div w:id="12630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9483">
      <w:bodyDiv w:val="1"/>
      <w:marLeft w:val="0"/>
      <w:marRight w:val="0"/>
      <w:marTop w:val="0"/>
      <w:marBottom w:val="0"/>
      <w:divBdr>
        <w:top w:val="none" w:sz="0" w:space="0" w:color="auto"/>
        <w:left w:val="none" w:sz="0" w:space="0" w:color="auto"/>
        <w:bottom w:val="none" w:sz="0" w:space="0" w:color="auto"/>
        <w:right w:val="none" w:sz="0" w:space="0" w:color="auto"/>
      </w:divBdr>
    </w:div>
    <w:div w:id="854081262">
      <w:bodyDiv w:val="1"/>
      <w:marLeft w:val="0"/>
      <w:marRight w:val="0"/>
      <w:marTop w:val="0"/>
      <w:marBottom w:val="0"/>
      <w:divBdr>
        <w:top w:val="none" w:sz="0" w:space="0" w:color="auto"/>
        <w:left w:val="none" w:sz="0" w:space="0" w:color="auto"/>
        <w:bottom w:val="none" w:sz="0" w:space="0" w:color="auto"/>
        <w:right w:val="none" w:sz="0" w:space="0" w:color="auto"/>
      </w:divBdr>
    </w:div>
    <w:div w:id="873926450">
      <w:bodyDiv w:val="1"/>
      <w:marLeft w:val="0"/>
      <w:marRight w:val="0"/>
      <w:marTop w:val="0"/>
      <w:marBottom w:val="0"/>
      <w:divBdr>
        <w:top w:val="none" w:sz="0" w:space="0" w:color="auto"/>
        <w:left w:val="none" w:sz="0" w:space="0" w:color="auto"/>
        <w:bottom w:val="none" w:sz="0" w:space="0" w:color="auto"/>
        <w:right w:val="none" w:sz="0" w:space="0" w:color="auto"/>
      </w:divBdr>
    </w:div>
    <w:div w:id="974869908">
      <w:bodyDiv w:val="1"/>
      <w:marLeft w:val="0"/>
      <w:marRight w:val="0"/>
      <w:marTop w:val="0"/>
      <w:marBottom w:val="0"/>
      <w:divBdr>
        <w:top w:val="none" w:sz="0" w:space="0" w:color="auto"/>
        <w:left w:val="none" w:sz="0" w:space="0" w:color="auto"/>
        <w:bottom w:val="none" w:sz="0" w:space="0" w:color="auto"/>
        <w:right w:val="none" w:sz="0" w:space="0" w:color="auto"/>
      </w:divBdr>
      <w:divsChild>
        <w:div w:id="1032923547">
          <w:marLeft w:val="0"/>
          <w:marRight w:val="0"/>
          <w:marTop w:val="0"/>
          <w:marBottom w:val="0"/>
          <w:divBdr>
            <w:top w:val="none" w:sz="0" w:space="0" w:color="auto"/>
            <w:left w:val="none" w:sz="0" w:space="0" w:color="auto"/>
            <w:bottom w:val="none" w:sz="0" w:space="0" w:color="auto"/>
            <w:right w:val="none" w:sz="0" w:space="0" w:color="auto"/>
          </w:divBdr>
          <w:divsChild>
            <w:div w:id="460148650">
              <w:marLeft w:val="0"/>
              <w:marRight w:val="0"/>
              <w:marTop w:val="0"/>
              <w:marBottom w:val="0"/>
              <w:divBdr>
                <w:top w:val="none" w:sz="0" w:space="0" w:color="auto"/>
                <w:left w:val="none" w:sz="0" w:space="0" w:color="auto"/>
                <w:bottom w:val="none" w:sz="0" w:space="0" w:color="auto"/>
                <w:right w:val="none" w:sz="0" w:space="0" w:color="auto"/>
              </w:divBdr>
              <w:divsChild>
                <w:div w:id="6901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5767">
      <w:bodyDiv w:val="1"/>
      <w:marLeft w:val="0"/>
      <w:marRight w:val="0"/>
      <w:marTop w:val="0"/>
      <w:marBottom w:val="0"/>
      <w:divBdr>
        <w:top w:val="none" w:sz="0" w:space="0" w:color="auto"/>
        <w:left w:val="none" w:sz="0" w:space="0" w:color="auto"/>
        <w:bottom w:val="none" w:sz="0" w:space="0" w:color="auto"/>
        <w:right w:val="none" w:sz="0" w:space="0" w:color="auto"/>
      </w:divBdr>
    </w:div>
    <w:div w:id="1093623259">
      <w:bodyDiv w:val="1"/>
      <w:marLeft w:val="0"/>
      <w:marRight w:val="0"/>
      <w:marTop w:val="0"/>
      <w:marBottom w:val="0"/>
      <w:divBdr>
        <w:top w:val="none" w:sz="0" w:space="0" w:color="auto"/>
        <w:left w:val="none" w:sz="0" w:space="0" w:color="auto"/>
        <w:bottom w:val="none" w:sz="0" w:space="0" w:color="auto"/>
        <w:right w:val="none" w:sz="0" w:space="0" w:color="auto"/>
      </w:divBdr>
    </w:div>
    <w:div w:id="1111631052">
      <w:bodyDiv w:val="1"/>
      <w:marLeft w:val="0"/>
      <w:marRight w:val="0"/>
      <w:marTop w:val="0"/>
      <w:marBottom w:val="0"/>
      <w:divBdr>
        <w:top w:val="none" w:sz="0" w:space="0" w:color="auto"/>
        <w:left w:val="none" w:sz="0" w:space="0" w:color="auto"/>
        <w:bottom w:val="none" w:sz="0" w:space="0" w:color="auto"/>
        <w:right w:val="none" w:sz="0" w:space="0" w:color="auto"/>
      </w:divBdr>
    </w:div>
    <w:div w:id="1134326534">
      <w:bodyDiv w:val="1"/>
      <w:marLeft w:val="0"/>
      <w:marRight w:val="0"/>
      <w:marTop w:val="0"/>
      <w:marBottom w:val="0"/>
      <w:divBdr>
        <w:top w:val="none" w:sz="0" w:space="0" w:color="auto"/>
        <w:left w:val="none" w:sz="0" w:space="0" w:color="auto"/>
        <w:bottom w:val="none" w:sz="0" w:space="0" w:color="auto"/>
        <w:right w:val="none" w:sz="0" w:space="0" w:color="auto"/>
      </w:divBdr>
    </w:div>
    <w:div w:id="1169637651">
      <w:bodyDiv w:val="1"/>
      <w:marLeft w:val="0"/>
      <w:marRight w:val="0"/>
      <w:marTop w:val="0"/>
      <w:marBottom w:val="0"/>
      <w:divBdr>
        <w:top w:val="none" w:sz="0" w:space="0" w:color="auto"/>
        <w:left w:val="none" w:sz="0" w:space="0" w:color="auto"/>
        <w:bottom w:val="none" w:sz="0" w:space="0" w:color="auto"/>
        <w:right w:val="none" w:sz="0" w:space="0" w:color="auto"/>
      </w:divBdr>
    </w:div>
    <w:div w:id="1182084037">
      <w:bodyDiv w:val="1"/>
      <w:marLeft w:val="0"/>
      <w:marRight w:val="0"/>
      <w:marTop w:val="0"/>
      <w:marBottom w:val="0"/>
      <w:divBdr>
        <w:top w:val="none" w:sz="0" w:space="0" w:color="auto"/>
        <w:left w:val="none" w:sz="0" w:space="0" w:color="auto"/>
        <w:bottom w:val="none" w:sz="0" w:space="0" w:color="auto"/>
        <w:right w:val="none" w:sz="0" w:space="0" w:color="auto"/>
      </w:divBdr>
      <w:divsChild>
        <w:div w:id="1525483606">
          <w:marLeft w:val="0"/>
          <w:marRight w:val="0"/>
          <w:marTop w:val="0"/>
          <w:marBottom w:val="0"/>
          <w:divBdr>
            <w:top w:val="none" w:sz="0" w:space="0" w:color="auto"/>
            <w:left w:val="none" w:sz="0" w:space="0" w:color="auto"/>
            <w:bottom w:val="none" w:sz="0" w:space="0" w:color="auto"/>
            <w:right w:val="none" w:sz="0" w:space="0" w:color="auto"/>
          </w:divBdr>
          <w:divsChild>
            <w:div w:id="424694482">
              <w:marLeft w:val="0"/>
              <w:marRight w:val="0"/>
              <w:marTop w:val="0"/>
              <w:marBottom w:val="0"/>
              <w:divBdr>
                <w:top w:val="none" w:sz="0" w:space="0" w:color="auto"/>
                <w:left w:val="none" w:sz="0" w:space="0" w:color="auto"/>
                <w:bottom w:val="none" w:sz="0" w:space="0" w:color="auto"/>
                <w:right w:val="none" w:sz="0" w:space="0" w:color="auto"/>
              </w:divBdr>
              <w:divsChild>
                <w:div w:id="344291100">
                  <w:marLeft w:val="0"/>
                  <w:marRight w:val="0"/>
                  <w:marTop w:val="0"/>
                  <w:marBottom w:val="0"/>
                  <w:divBdr>
                    <w:top w:val="none" w:sz="0" w:space="0" w:color="auto"/>
                    <w:left w:val="none" w:sz="0" w:space="0" w:color="auto"/>
                    <w:bottom w:val="none" w:sz="0" w:space="0" w:color="auto"/>
                    <w:right w:val="none" w:sz="0" w:space="0" w:color="auto"/>
                  </w:divBdr>
                  <w:divsChild>
                    <w:div w:id="16728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143817">
      <w:bodyDiv w:val="1"/>
      <w:marLeft w:val="0"/>
      <w:marRight w:val="0"/>
      <w:marTop w:val="0"/>
      <w:marBottom w:val="0"/>
      <w:divBdr>
        <w:top w:val="none" w:sz="0" w:space="0" w:color="auto"/>
        <w:left w:val="none" w:sz="0" w:space="0" w:color="auto"/>
        <w:bottom w:val="none" w:sz="0" w:space="0" w:color="auto"/>
        <w:right w:val="none" w:sz="0" w:space="0" w:color="auto"/>
      </w:divBdr>
    </w:div>
    <w:div w:id="1267421645">
      <w:bodyDiv w:val="1"/>
      <w:marLeft w:val="0"/>
      <w:marRight w:val="0"/>
      <w:marTop w:val="0"/>
      <w:marBottom w:val="0"/>
      <w:divBdr>
        <w:top w:val="none" w:sz="0" w:space="0" w:color="auto"/>
        <w:left w:val="none" w:sz="0" w:space="0" w:color="auto"/>
        <w:bottom w:val="none" w:sz="0" w:space="0" w:color="auto"/>
        <w:right w:val="none" w:sz="0" w:space="0" w:color="auto"/>
      </w:divBdr>
      <w:divsChild>
        <w:div w:id="619804732">
          <w:marLeft w:val="0"/>
          <w:marRight w:val="0"/>
          <w:marTop w:val="0"/>
          <w:marBottom w:val="0"/>
          <w:divBdr>
            <w:top w:val="none" w:sz="0" w:space="0" w:color="auto"/>
            <w:left w:val="none" w:sz="0" w:space="0" w:color="auto"/>
            <w:bottom w:val="none" w:sz="0" w:space="0" w:color="auto"/>
            <w:right w:val="none" w:sz="0" w:space="0" w:color="auto"/>
          </w:divBdr>
          <w:divsChild>
            <w:div w:id="1750543260">
              <w:marLeft w:val="0"/>
              <w:marRight w:val="0"/>
              <w:marTop w:val="0"/>
              <w:marBottom w:val="0"/>
              <w:divBdr>
                <w:top w:val="none" w:sz="0" w:space="0" w:color="auto"/>
                <w:left w:val="none" w:sz="0" w:space="0" w:color="auto"/>
                <w:bottom w:val="none" w:sz="0" w:space="0" w:color="auto"/>
                <w:right w:val="none" w:sz="0" w:space="0" w:color="auto"/>
              </w:divBdr>
              <w:divsChild>
                <w:div w:id="19240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3390">
      <w:bodyDiv w:val="1"/>
      <w:marLeft w:val="0"/>
      <w:marRight w:val="0"/>
      <w:marTop w:val="0"/>
      <w:marBottom w:val="0"/>
      <w:divBdr>
        <w:top w:val="none" w:sz="0" w:space="0" w:color="auto"/>
        <w:left w:val="none" w:sz="0" w:space="0" w:color="auto"/>
        <w:bottom w:val="none" w:sz="0" w:space="0" w:color="auto"/>
        <w:right w:val="none" w:sz="0" w:space="0" w:color="auto"/>
      </w:divBdr>
      <w:divsChild>
        <w:div w:id="211160097">
          <w:marLeft w:val="0"/>
          <w:marRight w:val="0"/>
          <w:marTop w:val="0"/>
          <w:marBottom w:val="0"/>
          <w:divBdr>
            <w:top w:val="none" w:sz="0" w:space="0" w:color="auto"/>
            <w:left w:val="none" w:sz="0" w:space="0" w:color="auto"/>
            <w:bottom w:val="none" w:sz="0" w:space="0" w:color="auto"/>
            <w:right w:val="none" w:sz="0" w:space="0" w:color="auto"/>
          </w:divBdr>
          <w:divsChild>
            <w:div w:id="1741829097">
              <w:marLeft w:val="0"/>
              <w:marRight w:val="0"/>
              <w:marTop w:val="0"/>
              <w:marBottom w:val="0"/>
              <w:divBdr>
                <w:top w:val="none" w:sz="0" w:space="0" w:color="auto"/>
                <w:left w:val="none" w:sz="0" w:space="0" w:color="auto"/>
                <w:bottom w:val="none" w:sz="0" w:space="0" w:color="auto"/>
                <w:right w:val="none" w:sz="0" w:space="0" w:color="auto"/>
              </w:divBdr>
              <w:divsChild>
                <w:div w:id="1358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527">
      <w:bodyDiv w:val="1"/>
      <w:marLeft w:val="0"/>
      <w:marRight w:val="0"/>
      <w:marTop w:val="0"/>
      <w:marBottom w:val="0"/>
      <w:divBdr>
        <w:top w:val="none" w:sz="0" w:space="0" w:color="auto"/>
        <w:left w:val="none" w:sz="0" w:space="0" w:color="auto"/>
        <w:bottom w:val="none" w:sz="0" w:space="0" w:color="auto"/>
        <w:right w:val="none" w:sz="0" w:space="0" w:color="auto"/>
      </w:divBdr>
    </w:div>
    <w:div w:id="1304847128">
      <w:bodyDiv w:val="1"/>
      <w:marLeft w:val="0"/>
      <w:marRight w:val="0"/>
      <w:marTop w:val="0"/>
      <w:marBottom w:val="0"/>
      <w:divBdr>
        <w:top w:val="none" w:sz="0" w:space="0" w:color="auto"/>
        <w:left w:val="none" w:sz="0" w:space="0" w:color="auto"/>
        <w:bottom w:val="none" w:sz="0" w:space="0" w:color="auto"/>
        <w:right w:val="none" w:sz="0" w:space="0" w:color="auto"/>
      </w:divBdr>
      <w:divsChild>
        <w:div w:id="840436508">
          <w:marLeft w:val="0"/>
          <w:marRight w:val="0"/>
          <w:marTop w:val="0"/>
          <w:marBottom w:val="0"/>
          <w:divBdr>
            <w:top w:val="none" w:sz="0" w:space="0" w:color="auto"/>
            <w:left w:val="none" w:sz="0" w:space="0" w:color="auto"/>
            <w:bottom w:val="none" w:sz="0" w:space="0" w:color="auto"/>
            <w:right w:val="none" w:sz="0" w:space="0" w:color="auto"/>
          </w:divBdr>
          <w:divsChild>
            <w:div w:id="467623433">
              <w:marLeft w:val="0"/>
              <w:marRight w:val="0"/>
              <w:marTop w:val="0"/>
              <w:marBottom w:val="0"/>
              <w:divBdr>
                <w:top w:val="none" w:sz="0" w:space="0" w:color="auto"/>
                <w:left w:val="none" w:sz="0" w:space="0" w:color="auto"/>
                <w:bottom w:val="none" w:sz="0" w:space="0" w:color="auto"/>
                <w:right w:val="none" w:sz="0" w:space="0" w:color="auto"/>
              </w:divBdr>
              <w:divsChild>
                <w:div w:id="837188133">
                  <w:marLeft w:val="0"/>
                  <w:marRight w:val="0"/>
                  <w:marTop w:val="0"/>
                  <w:marBottom w:val="0"/>
                  <w:divBdr>
                    <w:top w:val="none" w:sz="0" w:space="0" w:color="auto"/>
                    <w:left w:val="none" w:sz="0" w:space="0" w:color="auto"/>
                    <w:bottom w:val="none" w:sz="0" w:space="0" w:color="auto"/>
                    <w:right w:val="none" w:sz="0" w:space="0" w:color="auto"/>
                  </w:divBdr>
                  <w:divsChild>
                    <w:div w:id="1471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06963">
      <w:bodyDiv w:val="1"/>
      <w:marLeft w:val="0"/>
      <w:marRight w:val="0"/>
      <w:marTop w:val="0"/>
      <w:marBottom w:val="0"/>
      <w:divBdr>
        <w:top w:val="none" w:sz="0" w:space="0" w:color="auto"/>
        <w:left w:val="none" w:sz="0" w:space="0" w:color="auto"/>
        <w:bottom w:val="none" w:sz="0" w:space="0" w:color="auto"/>
        <w:right w:val="none" w:sz="0" w:space="0" w:color="auto"/>
      </w:divBdr>
      <w:divsChild>
        <w:div w:id="17585757">
          <w:marLeft w:val="0"/>
          <w:marRight w:val="0"/>
          <w:marTop w:val="0"/>
          <w:marBottom w:val="0"/>
          <w:divBdr>
            <w:top w:val="none" w:sz="0" w:space="0" w:color="auto"/>
            <w:left w:val="none" w:sz="0" w:space="0" w:color="auto"/>
            <w:bottom w:val="none" w:sz="0" w:space="0" w:color="auto"/>
            <w:right w:val="none" w:sz="0" w:space="0" w:color="auto"/>
          </w:divBdr>
          <w:divsChild>
            <w:div w:id="764302982">
              <w:marLeft w:val="0"/>
              <w:marRight w:val="0"/>
              <w:marTop w:val="0"/>
              <w:marBottom w:val="0"/>
              <w:divBdr>
                <w:top w:val="none" w:sz="0" w:space="0" w:color="auto"/>
                <w:left w:val="none" w:sz="0" w:space="0" w:color="auto"/>
                <w:bottom w:val="none" w:sz="0" w:space="0" w:color="auto"/>
                <w:right w:val="none" w:sz="0" w:space="0" w:color="auto"/>
              </w:divBdr>
              <w:divsChild>
                <w:div w:id="792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053294">
      <w:bodyDiv w:val="1"/>
      <w:marLeft w:val="0"/>
      <w:marRight w:val="0"/>
      <w:marTop w:val="0"/>
      <w:marBottom w:val="0"/>
      <w:divBdr>
        <w:top w:val="none" w:sz="0" w:space="0" w:color="auto"/>
        <w:left w:val="none" w:sz="0" w:space="0" w:color="auto"/>
        <w:bottom w:val="none" w:sz="0" w:space="0" w:color="auto"/>
        <w:right w:val="none" w:sz="0" w:space="0" w:color="auto"/>
      </w:divBdr>
      <w:divsChild>
        <w:div w:id="800928580">
          <w:marLeft w:val="0"/>
          <w:marRight w:val="0"/>
          <w:marTop w:val="0"/>
          <w:marBottom w:val="0"/>
          <w:divBdr>
            <w:top w:val="none" w:sz="0" w:space="0" w:color="auto"/>
            <w:left w:val="none" w:sz="0" w:space="0" w:color="auto"/>
            <w:bottom w:val="none" w:sz="0" w:space="0" w:color="auto"/>
            <w:right w:val="none" w:sz="0" w:space="0" w:color="auto"/>
          </w:divBdr>
          <w:divsChild>
            <w:div w:id="1536964062">
              <w:marLeft w:val="0"/>
              <w:marRight w:val="0"/>
              <w:marTop w:val="0"/>
              <w:marBottom w:val="0"/>
              <w:divBdr>
                <w:top w:val="none" w:sz="0" w:space="0" w:color="auto"/>
                <w:left w:val="none" w:sz="0" w:space="0" w:color="auto"/>
                <w:bottom w:val="none" w:sz="0" w:space="0" w:color="auto"/>
                <w:right w:val="none" w:sz="0" w:space="0" w:color="auto"/>
              </w:divBdr>
              <w:divsChild>
                <w:div w:id="15998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581">
      <w:bodyDiv w:val="1"/>
      <w:marLeft w:val="0"/>
      <w:marRight w:val="0"/>
      <w:marTop w:val="0"/>
      <w:marBottom w:val="0"/>
      <w:divBdr>
        <w:top w:val="none" w:sz="0" w:space="0" w:color="auto"/>
        <w:left w:val="none" w:sz="0" w:space="0" w:color="auto"/>
        <w:bottom w:val="none" w:sz="0" w:space="0" w:color="auto"/>
        <w:right w:val="none" w:sz="0" w:space="0" w:color="auto"/>
      </w:divBdr>
    </w:div>
    <w:div w:id="1355808962">
      <w:bodyDiv w:val="1"/>
      <w:marLeft w:val="0"/>
      <w:marRight w:val="0"/>
      <w:marTop w:val="0"/>
      <w:marBottom w:val="0"/>
      <w:divBdr>
        <w:top w:val="none" w:sz="0" w:space="0" w:color="auto"/>
        <w:left w:val="none" w:sz="0" w:space="0" w:color="auto"/>
        <w:bottom w:val="none" w:sz="0" w:space="0" w:color="auto"/>
        <w:right w:val="none" w:sz="0" w:space="0" w:color="auto"/>
      </w:divBdr>
      <w:divsChild>
        <w:div w:id="36202645">
          <w:marLeft w:val="0"/>
          <w:marRight w:val="0"/>
          <w:marTop w:val="0"/>
          <w:marBottom w:val="0"/>
          <w:divBdr>
            <w:top w:val="none" w:sz="0" w:space="0" w:color="auto"/>
            <w:left w:val="none" w:sz="0" w:space="0" w:color="auto"/>
            <w:bottom w:val="none" w:sz="0" w:space="0" w:color="auto"/>
            <w:right w:val="none" w:sz="0" w:space="0" w:color="auto"/>
          </w:divBdr>
          <w:divsChild>
            <w:div w:id="1013383982">
              <w:marLeft w:val="0"/>
              <w:marRight w:val="0"/>
              <w:marTop w:val="0"/>
              <w:marBottom w:val="0"/>
              <w:divBdr>
                <w:top w:val="none" w:sz="0" w:space="0" w:color="auto"/>
                <w:left w:val="none" w:sz="0" w:space="0" w:color="auto"/>
                <w:bottom w:val="none" w:sz="0" w:space="0" w:color="auto"/>
                <w:right w:val="none" w:sz="0" w:space="0" w:color="auto"/>
              </w:divBdr>
              <w:divsChild>
                <w:div w:id="1353414232">
                  <w:marLeft w:val="0"/>
                  <w:marRight w:val="0"/>
                  <w:marTop w:val="0"/>
                  <w:marBottom w:val="0"/>
                  <w:divBdr>
                    <w:top w:val="none" w:sz="0" w:space="0" w:color="auto"/>
                    <w:left w:val="none" w:sz="0" w:space="0" w:color="auto"/>
                    <w:bottom w:val="none" w:sz="0" w:space="0" w:color="auto"/>
                    <w:right w:val="none" w:sz="0" w:space="0" w:color="auto"/>
                  </w:divBdr>
                  <w:divsChild>
                    <w:div w:id="192467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89029">
      <w:bodyDiv w:val="1"/>
      <w:marLeft w:val="0"/>
      <w:marRight w:val="0"/>
      <w:marTop w:val="0"/>
      <w:marBottom w:val="0"/>
      <w:divBdr>
        <w:top w:val="none" w:sz="0" w:space="0" w:color="auto"/>
        <w:left w:val="none" w:sz="0" w:space="0" w:color="auto"/>
        <w:bottom w:val="none" w:sz="0" w:space="0" w:color="auto"/>
        <w:right w:val="none" w:sz="0" w:space="0" w:color="auto"/>
      </w:divBdr>
      <w:divsChild>
        <w:div w:id="511921877">
          <w:marLeft w:val="0"/>
          <w:marRight w:val="0"/>
          <w:marTop w:val="0"/>
          <w:marBottom w:val="0"/>
          <w:divBdr>
            <w:top w:val="none" w:sz="0" w:space="0" w:color="auto"/>
            <w:left w:val="none" w:sz="0" w:space="0" w:color="auto"/>
            <w:bottom w:val="none" w:sz="0" w:space="0" w:color="auto"/>
            <w:right w:val="none" w:sz="0" w:space="0" w:color="auto"/>
          </w:divBdr>
          <w:divsChild>
            <w:div w:id="2045594400">
              <w:marLeft w:val="0"/>
              <w:marRight w:val="0"/>
              <w:marTop w:val="0"/>
              <w:marBottom w:val="0"/>
              <w:divBdr>
                <w:top w:val="none" w:sz="0" w:space="0" w:color="auto"/>
                <w:left w:val="none" w:sz="0" w:space="0" w:color="auto"/>
                <w:bottom w:val="none" w:sz="0" w:space="0" w:color="auto"/>
                <w:right w:val="none" w:sz="0" w:space="0" w:color="auto"/>
              </w:divBdr>
              <w:divsChild>
                <w:div w:id="2112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49673">
      <w:bodyDiv w:val="1"/>
      <w:marLeft w:val="0"/>
      <w:marRight w:val="0"/>
      <w:marTop w:val="0"/>
      <w:marBottom w:val="0"/>
      <w:divBdr>
        <w:top w:val="none" w:sz="0" w:space="0" w:color="auto"/>
        <w:left w:val="none" w:sz="0" w:space="0" w:color="auto"/>
        <w:bottom w:val="none" w:sz="0" w:space="0" w:color="auto"/>
        <w:right w:val="none" w:sz="0" w:space="0" w:color="auto"/>
      </w:divBdr>
    </w:div>
    <w:div w:id="1797521443">
      <w:bodyDiv w:val="1"/>
      <w:marLeft w:val="0"/>
      <w:marRight w:val="0"/>
      <w:marTop w:val="0"/>
      <w:marBottom w:val="0"/>
      <w:divBdr>
        <w:top w:val="none" w:sz="0" w:space="0" w:color="auto"/>
        <w:left w:val="none" w:sz="0" w:space="0" w:color="auto"/>
        <w:bottom w:val="none" w:sz="0" w:space="0" w:color="auto"/>
        <w:right w:val="none" w:sz="0" w:space="0" w:color="auto"/>
      </w:divBdr>
      <w:divsChild>
        <w:div w:id="785731919">
          <w:marLeft w:val="0"/>
          <w:marRight w:val="0"/>
          <w:marTop w:val="0"/>
          <w:marBottom w:val="0"/>
          <w:divBdr>
            <w:top w:val="none" w:sz="0" w:space="0" w:color="auto"/>
            <w:left w:val="none" w:sz="0" w:space="0" w:color="auto"/>
            <w:bottom w:val="none" w:sz="0" w:space="0" w:color="auto"/>
            <w:right w:val="none" w:sz="0" w:space="0" w:color="auto"/>
          </w:divBdr>
          <w:divsChild>
            <w:div w:id="398479937">
              <w:marLeft w:val="0"/>
              <w:marRight w:val="0"/>
              <w:marTop w:val="0"/>
              <w:marBottom w:val="0"/>
              <w:divBdr>
                <w:top w:val="none" w:sz="0" w:space="0" w:color="auto"/>
                <w:left w:val="none" w:sz="0" w:space="0" w:color="auto"/>
                <w:bottom w:val="none" w:sz="0" w:space="0" w:color="auto"/>
                <w:right w:val="none" w:sz="0" w:space="0" w:color="auto"/>
              </w:divBdr>
              <w:divsChild>
                <w:div w:id="998534662">
                  <w:marLeft w:val="0"/>
                  <w:marRight w:val="0"/>
                  <w:marTop w:val="0"/>
                  <w:marBottom w:val="0"/>
                  <w:divBdr>
                    <w:top w:val="none" w:sz="0" w:space="0" w:color="auto"/>
                    <w:left w:val="none" w:sz="0" w:space="0" w:color="auto"/>
                    <w:bottom w:val="none" w:sz="0" w:space="0" w:color="auto"/>
                    <w:right w:val="none" w:sz="0" w:space="0" w:color="auto"/>
                  </w:divBdr>
                  <w:divsChild>
                    <w:div w:id="16494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52988">
      <w:bodyDiv w:val="1"/>
      <w:marLeft w:val="0"/>
      <w:marRight w:val="0"/>
      <w:marTop w:val="0"/>
      <w:marBottom w:val="0"/>
      <w:divBdr>
        <w:top w:val="none" w:sz="0" w:space="0" w:color="auto"/>
        <w:left w:val="none" w:sz="0" w:space="0" w:color="auto"/>
        <w:bottom w:val="none" w:sz="0" w:space="0" w:color="auto"/>
        <w:right w:val="none" w:sz="0" w:space="0" w:color="auto"/>
      </w:divBdr>
    </w:div>
    <w:div w:id="1886596349">
      <w:bodyDiv w:val="1"/>
      <w:marLeft w:val="0"/>
      <w:marRight w:val="0"/>
      <w:marTop w:val="0"/>
      <w:marBottom w:val="0"/>
      <w:divBdr>
        <w:top w:val="none" w:sz="0" w:space="0" w:color="auto"/>
        <w:left w:val="none" w:sz="0" w:space="0" w:color="auto"/>
        <w:bottom w:val="none" w:sz="0" w:space="0" w:color="auto"/>
        <w:right w:val="none" w:sz="0" w:space="0" w:color="auto"/>
      </w:divBdr>
      <w:divsChild>
        <w:div w:id="452752555">
          <w:marLeft w:val="0"/>
          <w:marRight w:val="0"/>
          <w:marTop w:val="0"/>
          <w:marBottom w:val="0"/>
          <w:divBdr>
            <w:top w:val="none" w:sz="0" w:space="0" w:color="auto"/>
            <w:left w:val="none" w:sz="0" w:space="0" w:color="auto"/>
            <w:bottom w:val="none" w:sz="0" w:space="0" w:color="auto"/>
            <w:right w:val="none" w:sz="0" w:space="0" w:color="auto"/>
          </w:divBdr>
          <w:divsChild>
            <w:div w:id="632252851">
              <w:marLeft w:val="0"/>
              <w:marRight w:val="0"/>
              <w:marTop w:val="0"/>
              <w:marBottom w:val="0"/>
              <w:divBdr>
                <w:top w:val="none" w:sz="0" w:space="0" w:color="auto"/>
                <w:left w:val="none" w:sz="0" w:space="0" w:color="auto"/>
                <w:bottom w:val="none" w:sz="0" w:space="0" w:color="auto"/>
                <w:right w:val="none" w:sz="0" w:space="0" w:color="auto"/>
              </w:divBdr>
              <w:divsChild>
                <w:div w:id="878663430">
                  <w:marLeft w:val="0"/>
                  <w:marRight w:val="0"/>
                  <w:marTop w:val="0"/>
                  <w:marBottom w:val="0"/>
                  <w:divBdr>
                    <w:top w:val="none" w:sz="0" w:space="0" w:color="auto"/>
                    <w:left w:val="none" w:sz="0" w:space="0" w:color="auto"/>
                    <w:bottom w:val="none" w:sz="0" w:space="0" w:color="auto"/>
                    <w:right w:val="none" w:sz="0" w:space="0" w:color="auto"/>
                  </w:divBdr>
                  <w:divsChild>
                    <w:div w:id="59312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853983">
      <w:bodyDiv w:val="1"/>
      <w:marLeft w:val="0"/>
      <w:marRight w:val="0"/>
      <w:marTop w:val="0"/>
      <w:marBottom w:val="0"/>
      <w:divBdr>
        <w:top w:val="none" w:sz="0" w:space="0" w:color="auto"/>
        <w:left w:val="none" w:sz="0" w:space="0" w:color="auto"/>
        <w:bottom w:val="none" w:sz="0" w:space="0" w:color="auto"/>
        <w:right w:val="none" w:sz="0" w:space="0" w:color="auto"/>
      </w:divBdr>
      <w:divsChild>
        <w:div w:id="425350376">
          <w:marLeft w:val="0"/>
          <w:marRight w:val="0"/>
          <w:marTop w:val="0"/>
          <w:marBottom w:val="0"/>
          <w:divBdr>
            <w:top w:val="none" w:sz="0" w:space="0" w:color="auto"/>
            <w:left w:val="none" w:sz="0" w:space="0" w:color="auto"/>
            <w:bottom w:val="none" w:sz="0" w:space="0" w:color="auto"/>
            <w:right w:val="none" w:sz="0" w:space="0" w:color="auto"/>
          </w:divBdr>
          <w:divsChild>
            <w:div w:id="311952865">
              <w:marLeft w:val="0"/>
              <w:marRight w:val="0"/>
              <w:marTop w:val="0"/>
              <w:marBottom w:val="0"/>
              <w:divBdr>
                <w:top w:val="none" w:sz="0" w:space="0" w:color="auto"/>
                <w:left w:val="none" w:sz="0" w:space="0" w:color="auto"/>
                <w:bottom w:val="none" w:sz="0" w:space="0" w:color="auto"/>
                <w:right w:val="none" w:sz="0" w:space="0" w:color="auto"/>
              </w:divBdr>
              <w:divsChild>
                <w:div w:id="1363476914">
                  <w:marLeft w:val="0"/>
                  <w:marRight w:val="0"/>
                  <w:marTop w:val="0"/>
                  <w:marBottom w:val="0"/>
                  <w:divBdr>
                    <w:top w:val="none" w:sz="0" w:space="0" w:color="auto"/>
                    <w:left w:val="none" w:sz="0" w:space="0" w:color="auto"/>
                    <w:bottom w:val="none" w:sz="0" w:space="0" w:color="auto"/>
                    <w:right w:val="none" w:sz="0" w:space="0" w:color="auto"/>
                  </w:divBdr>
                  <w:divsChild>
                    <w:div w:id="7443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88756">
      <w:bodyDiv w:val="1"/>
      <w:marLeft w:val="0"/>
      <w:marRight w:val="0"/>
      <w:marTop w:val="0"/>
      <w:marBottom w:val="0"/>
      <w:divBdr>
        <w:top w:val="none" w:sz="0" w:space="0" w:color="auto"/>
        <w:left w:val="none" w:sz="0" w:space="0" w:color="auto"/>
        <w:bottom w:val="none" w:sz="0" w:space="0" w:color="auto"/>
        <w:right w:val="none" w:sz="0" w:space="0" w:color="auto"/>
      </w:divBdr>
      <w:divsChild>
        <w:div w:id="1460219340">
          <w:marLeft w:val="0"/>
          <w:marRight w:val="0"/>
          <w:marTop w:val="0"/>
          <w:marBottom w:val="0"/>
          <w:divBdr>
            <w:top w:val="none" w:sz="0" w:space="0" w:color="auto"/>
            <w:left w:val="none" w:sz="0" w:space="0" w:color="auto"/>
            <w:bottom w:val="none" w:sz="0" w:space="0" w:color="auto"/>
            <w:right w:val="none" w:sz="0" w:space="0" w:color="auto"/>
          </w:divBdr>
          <w:divsChild>
            <w:div w:id="243609455">
              <w:marLeft w:val="0"/>
              <w:marRight w:val="0"/>
              <w:marTop w:val="0"/>
              <w:marBottom w:val="0"/>
              <w:divBdr>
                <w:top w:val="none" w:sz="0" w:space="0" w:color="auto"/>
                <w:left w:val="none" w:sz="0" w:space="0" w:color="auto"/>
                <w:bottom w:val="none" w:sz="0" w:space="0" w:color="auto"/>
                <w:right w:val="none" w:sz="0" w:space="0" w:color="auto"/>
              </w:divBdr>
              <w:divsChild>
                <w:div w:id="1529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1641">
      <w:bodyDiv w:val="1"/>
      <w:marLeft w:val="0"/>
      <w:marRight w:val="0"/>
      <w:marTop w:val="0"/>
      <w:marBottom w:val="0"/>
      <w:divBdr>
        <w:top w:val="none" w:sz="0" w:space="0" w:color="auto"/>
        <w:left w:val="none" w:sz="0" w:space="0" w:color="auto"/>
        <w:bottom w:val="none" w:sz="0" w:space="0" w:color="auto"/>
        <w:right w:val="none" w:sz="0" w:space="0" w:color="auto"/>
      </w:divBdr>
      <w:divsChild>
        <w:div w:id="694311789">
          <w:marLeft w:val="0"/>
          <w:marRight w:val="0"/>
          <w:marTop w:val="0"/>
          <w:marBottom w:val="0"/>
          <w:divBdr>
            <w:top w:val="none" w:sz="0" w:space="0" w:color="auto"/>
            <w:left w:val="none" w:sz="0" w:space="0" w:color="auto"/>
            <w:bottom w:val="none" w:sz="0" w:space="0" w:color="auto"/>
            <w:right w:val="none" w:sz="0" w:space="0" w:color="auto"/>
          </w:divBdr>
          <w:divsChild>
            <w:div w:id="418908996">
              <w:marLeft w:val="0"/>
              <w:marRight w:val="0"/>
              <w:marTop w:val="0"/>
              <w:marBottom w:val="0"/>
              <w:divBdr>
                <w:top w:val="none" w:sz="0" w:space="0" w:color="auto"/>
                <w:left w:val="none" w:sz="0" w:space="0" w:color="auto"/>
                <w:bottom w:val="none" w:sz="0" w:space="0" w:color="auto"/>
                <w:right w:val="none" w:sz="0" w:space="0" w:color="auto"/>
              </w:divBdr>
              <w:divsChild>
                <w:div w:id="20417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17FA0-58BB-A341-9E9A-D2F87F908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5010</Words>
  <Characters>28557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Senkal</dc:creator>
  <cp:keywords/>
  <dc:description/>
  <cp:lastModifiedBy>Michele Senkal</cp:lastModifiedBy>
  <cp:revision>112</cp:revision>
  <dcterms:created xsi:type="dcterms:W3CDTF">2023-04-13T11:57:00Z</dcterms:created>
  <dcterms:modified xsi:type="dcterms:W3CDTF">2023-04-18T17:30:00Z</dcterms:modified>
</cp:coreProperties>
</file>