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Times New Roman" w:hAnsi="Times New Roman"/>
          <w:b/>
          <w:color w:val="003087"/>
          <w:sz w:val="36"/>
        </w:rPr>
        <w:t>Product Requirements Document — Restaurant Intelligence Platform</w:t>
      </w:r>
    </w:p>
    <w:p>
      <w:pPr>
        <w:spacing w:before="200" w:after="80"/>
      </w:pPr>
      <w:r>
        <w:rPr>
          <w:rFonts w:ascii="Times New Roman" w:hAnsi="Times New Roman"/>
          <w:b/>
          <w:color w:val="003087"/>
          <w:sz w:val="28"/>
        </w:rPr>
        <w:t>MIM AI Challenge: Next Best You</w:t>
      </w:r>
    </w:p>
    <w:p>
      <w:pPr>
        <w:ind w:left="327"/>
      </w:pPr>
      <w:r>
        <w:rPr>
          <w:rFonts w:ascii="Garamond" w:hAnsi="Garamond"/>
          <w:i/>
          <w:sz w:val="22"/>
        </w:rPr>
        <w:t>Concise Session 10 PRD grounded in the existing project files. No unsupported market, review, or user statistics are included.</w:t>
      </w:r>
    </w:p>
    <w:p/>
    <w:p>
      <w:pPr>
        <w:spacing w:before="0" w:after="80"/>
      </w:pPr>
      <w:r>
        <w:rPr>
          <w:rFonts w:ascii="Times New Roman" w:hAnsi="Times New Roman"/>
          <w:b/>
          <w:color w:val="003087"/>
          <w:sz w:val="36"/>
        </w:rPr>
        <w:t>Restaurant Intelligence Platform</w:t>
      </w:r>
    </w:p>
    <w:p>
      <w:pPr>
        <w:spacing w:after="60"/>
      </w:pPr>
      <w:r>
        <w:rPr>
          <w:rFonts w:ascii="Garamond" w:hAnsi="Garamond"/>
          <w:sz w:val="22"/>
        </w:rPr>
        <w:t>Team members: Not specified in source files</w:t>
      </w:r>
    </w:p>
    <w:p>
      <w:pPr>
        <w:spacing w:after="60"/>
      </w:pPr>
      <w:r>
        <w:rPr>
          <w:rFonts w:ascii="Garamond" w:hAnsi="Garamond"/>
          <w:sz w:val="22"/>
        </w:rPr>
        <w:t>Date: June 26, 2026</w:t>
      </w:r>
    </w:p>
    <w:p>
      <w:pPr>
        <w:spacing w:after="60"/>
      </w:pPr>
      <w:r>
        <w:rPr>
          <w:rFonts w:ascii="Garamond" w:hAnsi="Garamond"/>
          <w:sz w:val="22"/>
        </w:rPr>
        <w:t>Version: 1.0</w:t>
      </w:r>
    </w:p>
    <w:p/>
    <w:p>
      <w:pPr>
        <w:spacing w:before="200" w:after="80"/>
      </w:pPr>
      <w:r>
        <w:rPr>
          <w:rFonts w:ascii="Times New Roman" w:hAnsi="Times New Roman"/>
          <w:b/>
          <w:color w:val="003087"/>
          <w:sz w:val="24"/>
        </w:rPr>
        <w:t>1. Product Purpose</w:t>
      </w:r>
    </w:p>
    <w:p>
      <w:r>
        <w:rPr>
          <w:rFonts w:ascii="Garamond" w:hAnsi="Garamond"/>
          <w:sz w:val="22"/>
        </w:rPr>
        <w:t>Restaurant Intelligence Platform helps hospitality marketing agencies, restaurant consultants, and multi-location restaurant groups understand public review patterns, sentiment, competitor activity, and market signals across restaurant clients. It exists to turn approved source data into tenant-scoped dashboards, explainable insights, and client-ready reports.</w:t>
      </w:r>
    </w:p>
    <w:p>
      <w:pPr>
        <w:spacing w:before="200" w:after="80"/>
      </w:pPr>
      <w:r>
        <w:rPr>
          <w:rFonts w:ascii="Times New Roman" w:hAnsi="Times New Roman"/>
          <w:b/>
          <w:color w:val="003087"/>
          <w:sz w:val="24"/>
        </w:rPr>
        <w:t>2. Target User</w:t>
      </w:r>
    </w:p>
    <w:p>
      <w:pPr>
        <w:spacing w:after="60"/>
        <w:ind w:left="327"/>
      </w:pPr>
      <w:r>
        <w:rPr>
          <w:rFonts w:ascii="Garamond" w:hAnsi="Garamond"/>
          <w:sz w:val="22"/>
        </w:rPr>
        <w:t xml:space="preserve">•  </w:t>
      </w:r>
      <w:r>
        <w:rPr>
          <w:rFonts w:ascii="Garamond" w:hAnsi="Garamond"/>
          <w:b/>
          <w:sz w:val="22"/>
        </w:rPr>
        <w:t>Name/persona:</w:t>
      </w:r>
      <w:r>
        <w:rPr>
          <w:rFonts w:ascii="Garamond" w:hAnsi="Garamond"/>
          <w:sz w:val="22"/>
        </w:rPr>
        <w:t xml:space="preserve"> Maya, an agency account manager responsible for several restaurant clients.</w:t>
      </w:r>
    </w:p>
    <w:p>
      <w:pPr>
        <w:spacing w:after="60"/>
        <w:ind w:left="327"/>
      </w:pPr>
      <w:r>
        <w:rPr>
          <w:rFonts w:ascii="Garamond" w:hAnsi="Garamond"/>
          <w:sz w:val="22"/>
        </w:rPr>
        <w:t xml:space="preserve">•  </w:t>
      </w:r>
      <w:r>
        <w:rPr>
          <w:rFonts w:ascii="Garamond" w:hAnsi="Garamond"/>
          <w:b/>
          <w:sz w:val="22"/>
        </w:rPr>
        <w:t>Role/context:</w:t>
      </w:r>
      <w:r>
        <w:rPr>
          <w:rFonts w:ascii="Garamond" w:hAnsi="Garamond"/>
          <w:sz w:val="22"/>
        </w:rPr>
        <w:t xml:space="preserve"> Manages dashboards, insights, reports, and client conversations inside one agency workspace.</w:t>
      </w:r>
    </w:p>
    <w:p>
      <w:pPr>
        <w:spacing w:after="60"/>
        <w:ind w:left="327"/>
      </w:pPr>
      <w:r>
        <w:rPr>
          <w:rFonts w:ascii="Garamond" w:hAnsi="Garamond"/>
          <w:sz w:val="22"/>
        </w:rPr>
        <w:t xml:space="preserve">•  </w:t>
      </w:r>
      <w:r>
        <w:rPr>
          <w:rFonts w:ascii="Garamond" w:hAnsi="Garamond"/>
          <w:b/>
          <w:sz w:val="22"/>
        </w:rPr>
        <w:t>Key pain point:</w:t>
      </w:r>
      <w:r>
        <w:rPr>
          <w:rFonts w:ascii="Garamond" w:hAnsi="Garamond"/>
          <w:sz w:val="22"/>
        </w:rPr>
        <w:t xml:space="preserve"> Review evidence, sentiment shifts, and client-ready reporting are spread across sources and manual documents.</w:t>
      </w:r>
    </w:p>
    <w:p>
      <w:pPr>
        <w:spacing w:after="60"/>
        <w:ind w:left="327"/>
      </w:pPr>
      <w:r>
        <w:rPr>
          <w:rFonts w:ascii="Garamond" w:hAnsi="Garamond"/>
          <w:sz w:val="22"/>
        </w:rPr>
        <w:t xml:space="preserve">•  </w:t>
      </w:r>
      <w:r>
        <w:rPr>
          <w:rFonts w:ascii="Garamond" w:hAnsi="Garamond"/>
          <w:b/>
          <w:sz w:val="22"/>
        </w:rPr>
        <w:t>How often they experience the problem:</w:t>
      </w:r>
      <w:r>
        <w:rPr>
          <w:rFonts w:ascii="Garamond" w:hAnsi="Garamond"/>
          <w:sz w:val="22"/>
        </w:rPr>
        <w:t xml:space="preserve"> Weekly or monthly during client reporting, performance reviews, and issue triage.</w:t>
      </w:r>
    </w:p>
    <w:p>
      <w:pPr>
        <w:spacing w:after="60"/>
        <w:ind w:left="327"/>
      </w:pPr>
      <w:r>
        <w:rPr>
          <w:rFonts w:ascii="Garamond" w:hAnsi="Garamond"/>
          <w:sz w:val="22"/>
        </w:rPr>
        <w:t xml:space="preserve">•  </w:t>
      </w:r>
      <w:r>
        <w:rPr>
          <w:rFonts w:ascii="Garamond" w:hAnsi="Garamond"/>
          <w:b/>
          <w:sz w:val="22"/>
        </w:rPr>
        <w:t>What they currently do instead:</w:t>
      </w:r>
      <w:r>
        <w:rPr>
          <w:rFonts w:ascii="Garamond" w:hAnsi="Garamond"/>
          <w:sz w:val="22"/>
        </w:rPr>
        <w:t xml:space="preserve"> Manually checks review sites or exports, copies notes into spreadsheets, and assembles reports by hand.</w:t>
      </w:r>
    </w:p>
    <w:p>
      <w:pPr>
        <w:spacing w:before="200" w:after="80"/>
      </w:pPr>
      <w:r>
        <w:rPr>
          <w:rFonts w:ascii="Times New Roman" w:hAnsi="Times New Roman"/>
          <w:b/>
          <w:color w:val="003087"/>
          <w:sz w:val="24"/>
        </w:rPr>
        <w:t>3. Problem Statement</w:t>
      </w:r>
    </w:p>
    <w:p>
      <w:r>
        <w:rPr>
          <w:rFonts w:ascii="Garamond" w:hAnsi="Garamond"/>
          <w:sz w:val="22"/>
        </w:rPr>
        <w:t>"Agency account managers struggle with turning restaurant review evidence into timely, trusted client recommendations because source data, sentiment context, and competitor notes are scattered, which results in slow reporting and hard-to-audit decisions. Current solutions fail because they do not combine tenant-scoped review intelligence, evidence links, human review, and exports in one workflow."</w:t>
      </w:r>
    </w:p>
    <w:p>
      <w:pPr>
        <w:spacing w:before="200" w:after="80"/>
      </w:pPr>
      <w:r>
        <w:rPr>
          <w:rFonts w:ascii="Times New Roman" w:hAnsi="Times New Roman"/>
          <w:b/>
          <w:color w:val="003087"/>
          <w:sz w:val="24"/>
        </w:rPr>
        <w:t>4. Value Proposition</w:t>
      </w:r>
    </w:p>
    <w:p>
      <w:r>
        <w:rPr>
          <w:rFonts w:ascii="Garamond" w:hAnsi="Garamond"/>
          <w:sz w:val="22"/>
        </w:rPr>
        <w:t>"Restaurant Intelligence Platform helps agency teams produce evidence-backed restaurant review insights and client reports by using AI to summarize approved review data, classify sentiment, extract themes, and attach source evidence, unlike manual spreadsheets and generic dashboards which leave analysis, traceability, and tenant controls to the team."</w:t>
      </w:r>
    </w:p>
    <w:p>
      <w:pPr>
        <w:spacing w:before="200" w:after="80"/>
      </w:pPr>
      <w:r>
        <w:rPr>
          <w:rFonts w:ascii="Times New Roman" w:hAnsi="Times New Roman"/>
          <w:b/>
          <w:color w:val="003087"/>
          <w:sz w:val="24"/>
        </w:rPr>
        <w:t>5. User Stories</w:t>
      </w:r>
    </w:p>
    <w:p>
      <w:r>
        <w:rPr>
          <w:rFonts w:ascii="Garamond" w:hAnsi="Garamond"/>
          <w:sz w:val="22"/>
        </w:rPr>
        <w:t>Format: "As a [user], I want to [action] so that [outcome]."</w:t>
      </w:r>
    </w:p>
    <w:p>
      <w:pPr>
        <w:spacing w:after="60"/>
        <w:ind w:left="327"/>
      </w:pPr>
      <w:r>
        <w:rPr>
          <w:rFonts w:ascii="Garamond" w:hAnsi="Garamond"/>
          <w:sz w:val="22"/>
        </w:rPr>
        <w:t xml:space="preserve">•  </w:t>
      </w:r>
      <w:r>
        <w:rPr>
          <w:rFonts w:ascii="Garamond" w:hAnsi="Garamond"/>
          <w:b/>
          <w:sz w:val="22"/>
        </w:rPr>
        <w:t>Primary user story (core use case):</w:t>
      </w:r>
      <w:r>
        <w:rPr>
          <w:rFonts w:ascii="Garamond" w:hAnsi="Garamond"/>
          <w:sz w:val="22"/>
        </w:rPr>
        <w:t xml:space="preserve"> As an agency account manager, I want to import approved review data and see sentiment trends, evidence, and AI summaries so that I can prepare a client-ready report.</w:t>
      </w:r>
    </w:p>
    <w:p>
      <w:pPr>
        <w:spacing w:after="60"/>
        <w:ind w:left="327"/>
      </w:pPr>
      <w:r>
        <w:rPr>
          <w:rFonts w:ascii="Garamond" w:hAnsi="Garamond"/>
          <w:sz w:val="22"/>
        </w:rPr>
        <w:t xml:space="preserve">•  </w:t>
      </w:r>
      <w:r>
        <w:rPr>
          <w:rFonts w:ascii="Garamond" w:hAnsi="Garamond"/>
          <w:b/>
          <w:sz w:val="22"/>
        </w:rPr>
        <w:t>Secondary user story 1:</w:t>
      </w:r>
      <w:r>
        <w:rPr>
          <w:rFonts w:ascii="Garamond" w:hAnsi="Garamond"/>
          <w:sz w:val="22"/>
        </w:rPr>
        <w:t xml:space="preserve"> As an analyst, I want to filter reviews by client, location, source, date, rating, and sentiment so that I can verify the evidence behind each insight.</w:t>
      </w:r>
    </w:p>
    <w:p>
      <w:pPr>
        <w:spacing w:after="60"/>
        <w:ind w:left="327"/>
      </w:pPr>
      <w:r>
        <w:rPr>
          <w:rFonts w:ascii="Garamond" w:hAnsi="Garamond"/>
          <w:sz w:val="22"/>
        </w:rPr>
        <w:t xml:space="preserve">•  </w:t>
      </w:r>
      <w:r>
        <w:rPr>
          <w:rFonts w:ascii="Garamond" w:hAnsi="Garamond"/>
          <w:b/>
          <w:sz w:val="22"/>
        </w:rPr>
        <w:t>Secondary user story 2:</w:t>
      </w:r>
      <w:r>
        <w:rPr>
          <w:rFonts w:ascii="Garamond" w:hAnsi="Garamond"/>
          <w:sz w:val="22"/>
        </w:rPr>
        <w:t xml:space="preserve"> As a Viewer/Client, I want read-only access to my dashboard and approved reports so that I can review performance without seeing other agency data.</w:t>
      </w:r>
    </w:p>
    <w:p>
      <w:r>
        <w:br w:type="page"/>
      </w:r>
    </w:p>
    <w:p>
      <w:pPr>
        <w:spacing w:before="200" w:after="80"/>
      </w:pPr>
      <w:r>
        <w:rPr>
          <w:rFonts w:ascii="Times New Roman" w:hAnsi="Times New Roman"/>
          <w:b/>
          <w:color w:val="003087"/>
          <w:sz w:val="24"/>
        </w:rPr>
        <w:t>6. Core Features (MVP scope only)</w:t>
      </w:r>
    </w:p>
    <w:tbl>
      <w:tblPr>
        <w:tblStyle w:val="LightGrid-Accent1"/>
        <w:tblW w:type="auto" w:w="0"/>
        <w:tblLayout w:type="autofit"/>
        <w:tblLook w:firstColumn="1" w:firstRow="1" w:lastColumn="0" w:lastRow="0" w:noHBand="0" w:noVBand="1" w:val="04A0"/>
      </w:tblPr>
      <w:tblGrid>
        <w:gridCol w:w="2351"/>
        <w:gridCol w:w="2351"/>
        <w:gridCol w:w="2351"/>
        <w:gridCol w:w="2351"/>
      </w:tblGrid>
      <w:tr>
        <w:tc>
          <w:tcPr>
            <w:tcW w:type="dxa" w:w="2351"/>
            <w:vAlign w:val="center"/>
          </w:tcPr>
          <w:p>
            <w:pPr>
              <w:spacing w:after="0"/>
              <w:jc w:val="left"/>
            </w:pPr>
            <w:r>
              <w:rPr>
                <w:rFonts w:ascii="Garamond" w:hAnsi="Garamond"/>
                <w:b/>
                <w:sz w:val="20"/>
              </w:rPr>
              <w:t>Feature</w:t>
            </w:r>
          </w:p>
        </w:tc>
        <w:tc>
          <w:tcPr>
            <w:tcW w:type="dxa" w:w="2351"/>
            <w:vAlign w:val="center"/>
          </w:tcPr>
          <w:p>
            <w:pPr>
              <w:spacing w:after="0"/>
              <w:jc w:val="left"/>
            </w:pPr>
            <w:r>
              <w:rPr>
                <w:rFonts w:ascii="Garamond" w:hAnsi="Garamond"/>
                <w:b/>
                <w:sz w:val="20"/>
              </w:rPr>
              <w:t>Description</w:t>
            </w:r>
          </w:p>
        </w:tc>
        <w:tc>
          <w:tcPr>
            <w:tcW w:type="dxa" w:w="2351"/>
            <w:vAlign w:val="center"/>
          </w:tcPr>
          <w:p>
            <w:pPr>
              <w:spacing w:after="0"/>
              <w:jc w:val="left"/>
            </w:pPr>
            <w:r>
              <w:rPr>
                <w:rFonts w:ascii="Garamond" w:hAnsi="Garamond"/>
                <w:b/>
                <w:sz w:val="20"/>
              </w:rPr>
              <w:t>Priority</w:t>
            </w:r>
          </w:p>
        </w:tc>
        <w:tc>
          <w:tcPr>
            <w:tcW w:type="dxa" w:w="2351"/>
            <w:vAlign w:val="center"/>
          </w:tcPr>
          <w:p>
            <w:pPr>
              <w:spacing w:after="0"/>
              <w:jc w:val="left"/>
            </w:pPr>
            <w:r>
              <w:rPr>
                <w:rFonts w:ascii="Garamond" w:hAnsi="Garamond"/>
                <w:b/>
                <w:sz w:val="20"/>
              </w:rPr>
              <w:t>AI or non-AI</w:t>
            </w:r>
          </w:p>
        </w:tc>
      </w:tr>
      <w:tr>
        <w:tc>
          <w:tcPr>
            <w:tcW w:type="dxa" w:w="2351"/>
            <w:vAlign w:val="center"/>
          </w:tcPr>
          <w:p>
            <w:pPr>
              <w:spacing w:after="0"/>
              <w:jc w:val="left"/>
            </w:pPr>
            <w:r>
              <w:rPr>
                <w:rFonts w:ascii="Garamond" w:hAnsi="Garamond"/>
                <w:b w:val="0"/>
                <w:sz w:val="20"/>
              </w:rPr>
              <w:t>Agency workspace and roles</w:t>
            </w:r>
          </w:p>
        </w:tc>
        <w:tc>
          <w:tcPr>
            <w:tcW w:type="dxa" w:w="2351"/>
            <w:vAlign w:val="center"/>
          </w:tcPr>
          <w:p>
            <w:pPr>
              <w:spacing w:after="0"/>
              <w:jc w:val="left"/>
            </w:pPr>
            <w:r>
              <w:rPr>
                <w:rFonts w:ascii="Garamond" w:hAnsi="Garamond"/>
                <w:b w:val="0"/>
                <w:sz w:val="20"/>
              </w:rPr>
              <w:t>Agency-scoped users, clients, locations, and Owner/Admin, Manager, Analyst, Viewer/Client roles.</w:t>
            </w:r>
          </w:p>
        </w:tc>
        <w:tc>
          <w:tcPr>
            <w:tcW w:type="dxa" w:w="2351"/>
            <w:vAlign w:val="center"/>
          </w:tcPr>
          <w:p>
            <w:pPr>
              <w:spacing w:after="0"/>
              <w:jc w:val="left"/>
            </w:pPr>
            <w:r>
              <w:rPr>
                <w:rFonts w:ascii="Garamond" w:hAnsi="Garamond"/>
                <w:b w:val="0"/>
                <w:sz w:val="20"/>
              </w:rPr>
              <w:t>Must-have</w:t>
            </w:r>
          </w:p>
        </w:tc>
        <w:tc>
          <w:tcPr>
            <w:tcW w:type="dxa" w:w="2351"/>
            <w:vAlign w:val="center"/>
          </w:tcPr>
          <w:p>
            <w:pPr>
              <w:spacing w:after="0"/>
              <w:jc w:val="left"/>
            </w:pPr>
            <w:r>
              <w:rPr>
                <w:rFonts w:ascii="Garamond" w:hAnsi="Garamond"/>
                <w:b w:val="0"/>
                <w:sz w:val="20"/>
              </w:rPr>
              <w:t>Non-AI</w:t>
            </w:r>
          </w:p>
        </w:tc>
      </w:tr>
      <w:tr>
        <w:tc>
          <w:tcPr>
            <w:tcW w:type="dxa" w:w="2351"/>
            <w:vAlign w:val="center"/>
          </w:tcPr>
          <w:p>
            <w:pPr>
              <w:spacing w:after="0"/>
              <w:jc w:val="left"/>
            </w:pPr>
            <w:r>
              <w:rPr>
                <w:rFonts w:ascii="Garamond" w:hAnsi="Garamond"/>
                <w:b w:val="0"/>
                <w:sz w:val="20"/>
              </w:rPr>
              <w:t>Approved review import</w:t>
            </w:r>
          </w:p>
        </w:tc>
        <w:tc>
          <w:tcPr>
            <w:tcW w:type="dxa" w:w="2351"/>
            <w:vAlign w:val="center"/>
          </w:tcPr>
          <w:p>
            <w:pPr>
              <w:spacing w:after="0"/>
              <w:jc w:val="left"/>
            </w:pPr>
            <w:r>
              <w:rPr>
                <w:rFonts w:ascii="Garamond" w:hAnsi="Garamond"/>
                <w:b w:val="0"/>
                <w:sz w:val="20"/>
              </w:rPr>
              <w:t>CSV or approved API/export ingestion with deduplication and source metadata.</w:t>
            </w:r>
          </w:p>
        </w:tc>
        <w:tc>
          <w:tcPr>
            <w:tcW w:type="dxa" w:w="2351"/>
            <w:vAlign w:val="center"/>
          </w:tcPr>
          <w:p>
            <w:pPr>
              <w:spacing w:after="0"/>
              <w:jc w:val="left"/>
            </w:pPr>
            <w:r>
              <w:rPr>
                <w:rFonts w:ascii="Garamond" w:hAnsi="Garamond"/>
                <w:b w:val="0"/>
                <w:sz w:val="20"/>
              </w:rPr>
              <w:t>Must-have</w:t>
            </w:r>
          </w:p>
        </w:tc>
        <w:tc>
          <w:tcPr>
            <w:tcW w:type="dxa" w:w="2351"/>
            <w:vAlign w:val="center"/>
          </w:tcPr>
          <w:p>
            <w:pPr>
              <w:spacing w:after="0"/>
              <w:jc w:val="left"/>
            </w:pPr>
            <w:r>
              <w:rPr>
                <w:rFonts w:ascii="Garamond" w:hAnsi="Garamond"/>
                <w:b w:val="0"/>
                <w:sz w:val="20"/>
              </w:rPr>
              <w:t>Non-AI</w:t>
            </w:r>
          </w:p>
        </w:tc>
      </w:tr>
      <w:tr>
        <w:tc>
          <w:tcPr>
            <w:tcW w:type="dxa" w:w="2351"/>
            <w:vAlign w:val="center"/>
          </w:tcPr>
          <w:p>
            <w:pPr>
              <w:spacing w:after="0"/>
              <w:jc w:val="left"/>
            </w:pPr>
            <w:r>
              <w:rPr>
                <w:rFonts w:ascii="Garamond" w:hAnsi="Garamond"/>
                <w:b w:val="0"/>
                <w:sz w:val="20"/>
              </w:rPr>
              <w:t>Review dashboard</w:t>
            </w:r>
          </w:p>
        </w:tc>
        <w:tc>
          <w:tcPr>
            <w:tcW w:type="dxa" w:w="2351"/>
            <w:vAlign w:val="center"/>
          </w:tcPr>
          <w:p>
            <w:pPr>
              <w:spacing w:after="0"/>
              <w:jc w:val="left"/>
            </w:pPr>
            <w:r>
              <w:rPr>
                <w:rFonts w:ascii="Garamond" w:hAnsi="Garamond"/>
                <w:b w:val="0"/>
                <w:sz w:val="20"/>
              </w:rPr>
              <w:t>KPI cards, sentiment trend, review volume, rating movement, source coverage, and filters.</w:t>
            </w:r>
          </w:p>
        </w:tc>
        <w:tc>
          <w:tcPr>
            <w:tcW w:type="dxa" w:w="2351"/>
            <w:vAlign w:val="center"/>
          </w:tcPr>
          <w:p>
            <w:pPr>
              <w:spacing w:after="0"/>
              <w:jc w:val="left"/>
            </w:pPr>
            <w:r>
              <w:rPr>
                <w:rFonts w:ascii="Garamond" w:hAnsi="Garamond"/>
                <w:b w:val="0"/>
                <w:sz w:val="20"/>
              </w:rPr>
              <w:t>Must-have</w:t>
            </w:r>
          </w:p>
        </w:tc>
        <w:tc>
          <w:tcPr>
            <w:tcW w:type="dxa" w:w="2351"/>
            <w:vAlign w:val="center"/>
          </w:tcPr>
          <w:p>
            <w:pPr>
              <w:spacing w:after="0"/>
              <w:jc w:val="left"/>
            </w:pPr>
            <w:r>
              <w:rPr>
                <w:rFonts w:ascii="Garamond" w:hAnsi="Garamond"/>
                <w:b w:val="0"/>
                <w:sz w:val="20"/>
              </w:rPr>
              <w:t>Non-AI</w:t>
            </w:r>
          </w:p>
        </w:tc>
      </w:tr>
      <w:tr>
        <w:tc>
          <w:tcPr>
            <w:tcW w:type="dxa" w:w="2351"/>
            <w:vAlign w:val="center"/>
          </w:tcPr>
          <w:p>
            <w:pPr>
              <w:spacing w:after="0"/>
              <w:jc w:val="left"/>
            </w:pPr>
            <w:r>
              <w:rPr>
                <w:rFonts w:ascii="Garamond" w:hAnsi="Garamond"/>
                <w:b w:val="0"/>
                <w:sz w:val="20"/>
              </w:rPr>
              <w:t>AI insight review</w:t>
            </w:r>
          </w:p>
        </w:tc>
        <w:tc>
          <w:tcPr>
            <w:tcW w:type="dxa" w:w="2351"/>
            <w:vAlign w:val="center"/>
          </w:tcPr>
          <w:p>
            <w:pPr>
              <w:spacing w:after="0"/>
              <w:jc w:val="left"/>
            </w:pPr>
            <w:r>
              <w:rPr>
                <w:rFonts w:ascii="Garamond" w:hAnsi="Garamond"/>
                <w:sz w:val="20"/>
              </w:rPr>
              <w:t>Draft summaries, sentiment, themes, confidence, evidence, and approval status before reports.</w:t>
            </w:r>
          </w:p>
        </w:tc>
        <w:tc>
          <w:tcPr>
            <w:tcW w:type="dxa" w:w="2351"/>
            <w:vAlign w:val="center"/>
          </w:tcPr>
          <w:p>
            <w:pPr>
              <w:spacing w:after="0"/>
              <w:jc w:val="left"/>
            </w:pPr>
            <w:r>
              <w:rPr>
                <w:rFonts w:ascii="Garamond" w:hAnsi="Garamond"/>
                <w:b w:val="0"/>
                <w:sz w:val="20"/>
              </w:rPr>
              <w:t>Must-have</w:t>
            </w:r>
          </w:p>
        </w:tc>
        <w:tc>
          <w:tcPr>
            <w:tcW w:type="dxa" w:w="2351"/>
            <w:vAlign w:val="center"/>
          </w:tcPr>
          <w:p>
            <w:pPr>
              <w:spacing w:after="0"/>
              <w:jc w:val="left"/>
            </w:pPr>
            <w:r>
              <w:rPr>
                <w:rFonts w:ascii="Garamond" w:hAnsi="Garamond"/>
                <w:b w:val="0"/>
                <w:sz w:val="20"/>
              </w:rPr>
              <w:t>AI</w:t>
            </w:r>
          </w:p>
        </w:tc>
      </w:tr>
      <w:tr>
        <w:tc>
          <w:tcPr>
            <w:tcW w:type="dxa" w:w="2351"/>
            <w:vAlign w:val="center"/>
          </w:tcPr>
          <w:p>
            <w:pPr>
              <w:spacing w:after="0"/>
              <w:jc w:val="left"/>
            </w:pPr>
            <w:r>
              <w:rPr>
                <w:rFonts w:ascii="Garamond" w:hAnsi="Garamond"/>
                <w:b w:val="0"/>
                <w:sz w:val="20"/>
              </w:rPr>
              <w:t>Report export</w:t>
            </w:r>
          </w:p>
        </w:tc>
        <w:tc>
          <w:tcPr>
            <w:tcW w:type="dxa" w:w="2351"/>
            <w:vAlign w:val="center"/>
          </w:tcPr>
          <w:p>
            <w:pPr>
              <w:spacing w:after="0"/>
              <w:jc w:val="left"/>
            </w:pPr>
            <w:r>
              <w:rPr>
                <w:rFonts w:ascii="Garamond" w:hAnsi="Garamond"/>
                <w:sz w:val="20"/>
              </w:rPr>
              <w:t>Client-ready PDF and CSV export using selected, human-reviewed insights.</w:t>
            </w:r>
          </w:p>
        </w:tc>
        <w:tc>
          <w:tcPr>
            <w:tcW w:type="dxa" w:w="2351"/>
            <w:vAlign w:val="center"/>
          </w:tcPr>
          <w:p>
            <w:pPr>
              <w:spacing w:after="0"/>
              <w:jc w:val="left"/>
            </w:pPr>
            <w:r>
              <w:rPr>
                <w:rFonts w:ascii="Garamond" w:hAnsi="Garamond"/>
                <w:b w:val="0"/>
                <w:sz w:val="20"/>
              </w:rPr>
              <w:t>Must-have</w:t>
            </w:r>
          </w:p>
        </w:tc>
        <w:tc>
          <w:tcPr>
            <w:tcW w:type="dxa" w:w="2351"/>
            <w:vAlign w:val="center"/>
          </w:tcPr>
          <w:p>
            <w:pPr>
              <w:spacing w:after="0"/>
              <w:jc w:val="left"/>
            </w:pPr>
            <w:r>
              <w:rPr>
                <w:rFonts w:ascii="Garamond" w:hAnsi="Garamond"/>
                <w:b w:val="0"/>
                <w:sz w:val="20"/>
              </w:rPr>
              <w:t>Non-AI</w:t>
            </w:r>
          </w:p>
        </w:tc>
      </w:tr>
      <w:tr>
        <w:tc>
          <w:tcPr>
            <w:tcW w:type="dxa" w:w="2351"/>
            <w:vAlign w:val="center"/>
          </w:tcPr>
          <w:p>
            <w:pPr>
              <w:spacing w:after="0"/>
              <w:jc w:val="left"/>
            </w:pPr>
            <w:r>
              <w:rPr>
                <w:rFonts w:ascii="Garamond" w:hAnsi="Garamond"/>
                <w:b w:val="0"/>
                <w:sz w:val="20"/>
              </w:rPr>
              <w:t>Competitor signal notes</w:t>
            </w:r>
          </w:p>
        </w:tc>
        <w:tc>
          <w:tcPr>
            <w:tcW w:type="dxa" w:w="2351"/>
            <w:vAlign w:val="center"/>
          </w:tcPr>
          <w:p>
            <w:pPr>
              <w:spacing w:after="0"/>
              <w:jc w:val="left"/>
            </w:pPr>
            <w:r>
              <w:rPr>
                <w:rFonts w:ascii="Garamond" w:hAnsi="Garamond"/>
                <w:b w:val="0"/>
                <w:sz w:val="20"/>
              </w:rPr>
              <w:t>Named competitor snapshots or permitted observations with source URLs and dates.</w:t>
            </w:r>
          </w:p>
        </w:tc>
        <w:tc>
          <w:tcPr>
            <w:tcW w:type="dxa" w:w="2351"/>
            <w:vAlign w:val="center"/>
          </w:tcPr>
          <w:p>
            <w:pPr>
              <w:spacing w:after="0"/>
              <w:jc w:val="left"/>
            </w:pPr>
            <w:r>
              <w:rPr>
                <w:rFonts w:ascii="Garamond" w:hAnsi="Garamond"/>
                <w:b w:val="0"/>
                <w:sz w:val="20"/>
              </w:rPr>
              <w:t>Nice-to-have</w:t>
            </w:r>
          </w:p>
        </w:tc>
        <w:tc>
          <w:tcPr>
            <w:tcW w:type="dxa" w:w="2351"/>
            <w:vAlign w:val="center"/>
          </w:tcPr>
          <w:p>
            <w:pPr>
              <w:spacing w:after="0"/>
              <w:jc w:val="left"/>
            </w:pPr>
            <w:r>
              <w:rPr>
                <w:rFonts w:ascii="Garamond" w:hAnsi="Garamond"/>
                <w:b w:val="0"/>
                <w:sz w:val="20"/>
              </w:rPr>
              <w:t>Non-AI</w:t>
            </w:r>
          </w:p>
        </w:tc>
      </w:tr>
    </w:tbl>
    <w:p>
      <w:r>
        <w:br w:type="page"/>
      </w:r>
    </w:p>
    <w:p>
      <w:pPr>
        <w:spacing w:before="200" w:after="80"/>
      </w:pPr>
      <w:r>
        <w:rPr>
          <w:rFonts w:ascii="Times New Roman" w:hAnsi="Times New Roman"/>
          <w:b/>
          <w:color w:val="003087"/>
          <w:sz w:val="24"/>
        </w:rPr>
        <w:t>7. AI Functionality</w:t>
      </w:r>
    </w:p>
    <w:p>
      <w:pPr>
        <w:spacing w:after="60"/>
        <w:ind w:left="327"/>
      </w:pPr>
      <w:r>
        <w:rPr>
          <w:rFonts w:ascii="Garamond" w:hAnsi="Garamond"/>
          <w:sz w:val="22"/>
        </w:rPr>
        <w:t xml:space="preserve">•  </w:t>
      </w:r>
      <w:r>
        <w:rPr>
          <w:rFonts w:ascii="Garamond" w:hAnsi="Garamond"/>
          <w:b/>
          <w:sz w:val="22"/>
        </w:rPr>
        <w:t>What does the AI do specifically:</w:t>
      </w:r>
      <w:r>
        <w:rPr>
          <w:rFonts w:ascii="Garamond" w:hAnsi="Garamond"/>
          <w:sz w:val="22"/>
        </w:rPr>
        <w:t xml:space="preserve"> Summarizes collected public reviews, classifies sentiment, extracts themes, drafts concise insights, and flags low confidence.</w:t>
      </w:r>
    </w:p>
    <w:p>
      <w:pPr>
        <w:spacing w:after="60"/>
        <w:ind w:left="327"/>
      </w:pPr>
      <w:r>
        <w:rPr>
          <w:rFonts w:ascii="Garamond" w:hAnsi="Garamond"/>
          <w:sz w:val="22"/>
        </w:rPr>
        <w:t xml:space="preserve">•  </w:t>
      </w:r>
      <w:r>
        <w:rPr>
          <w:rFonts w:ascii="Garamond" w:hAnsi="Garamond"/>
          <w:b/>
          <w:sz w:val="22"/>
        </w:rPr>
        <w:t>Which model/approach:</w:t>
      </w:r>
      <w:r>
        <w:rPr>
          <w:rFonts w:ascii="Garamond" w:hAnsi="Garamond"/>
          <w:sz w:val="22"/>
        </w:rPr>
        <w:t xml:space="preserve"> OpenAI API with LLM-based generation and classification; prompts must use collected evidence only.</w:t>
      </w:r>
    </w:p>
    <w:p>
      <w:pPr>
        <w:spacing w:after="60"/>
        <w:ind w:left="327"/>
      </w:pPr>
      <w:r>
        <w:rPr>
          <w:rFonts w:ascii="Garamond" w:hAnsi="Garamond"/>
          <w:sz w:val="22"/>
        </w:rPr>
        <w:t xml:space="preserve">•  </w:t>
      </w:r>
      <w:r>
        <w:rPr>
          <w:rFonts w:ascii="Garamond" w:hAnsi="Garamond"/>
          <w:b/>
          <w:sz w:val="22"/>
        </w:rPr>
        <w:t>What is the input to the AI:</w:t>
      </w:r>
      <w:r>
        <w:rPr>
          <w:rFonts w:ascii="Garamond" w:hAnsi="Garamond"/>
          <w:sz w:val="22"/>
        </w:rPr>
        <w:t xml:space="preserve"> Tenant-scoped review text, ratings, source metadata, dates, locations, and selected competitor signal notes.</w:t>
      </w:r>
    </w:p>
    <w:p>
      <w:pPr>
        <w:spacing w:after="60"/>
        <w:ind w:left="327"/>
      </w:pPr>
      <w:r>
        <w:rPr>
          <w:rFonts w:ascii="Garamond" w:hAnsi="Garamond"/>
          <w:sz w:val="22"/>
        </w:rPr>
        <w:t xml:space="preserve">•  </w:t>
      </w:r>
      <w:r>
        <w:rPr>
          <w:rFonts w:ascii="Garamond" w:hAnsi="Garamond"/>
          <w:b/>
          <w:sz w:val="22"/>
        </w:rPr>
        <w:t>What is the output from the AI:</w:t>
      </w:r>
      <w:r>
        <w:rPr>
          <w:rFonts w:ascii="Garamond" w:hAnsi="Garamond"/>
          <w:sz w:val="22"/>
        </w:rPr>
        <w:t xml:space="preserve"> Draft insight records with title, summary, sentiment or theme, confidence when available, model, timestamp, status, and source review IDs. AI supports review; it is not the final authority.</w:t>
      </w:r>
    </w:p>
    <w:p>
      <w:pPr>
        <w:spacing w:after="60"/>
        <w:ind w:left="327"/>
      </w:pPr>
      <w:r>
        <w:rPr>
          <w:rFonts w:ascii="Garamond" w:hAnsi="Garamond"/>
          <w:sz w:val="22"/>
        </w:rPr>
        <w:t xml:space="preserve">•  </w:t>
      </w:r>
      <w:r>
        <w:rPr>
          <w:rFonts w:ascii="Garamond" w:hAnsi="Garamond"/>
          <w:b/>
          <w:sz w:val="22"/>
        </w:rPr>
        <w:t>Why is AI necessary here:</w:t>
      </w:r>
      <w:r>
        <w:rPr>
          <w:rFonts w:ascii="Garamond" w:hAnsi="Garamond"/>
          <w:sz w:val="22"/>
        </w:rPr>
        <w:t xml:space="preserve"> Rules can filter and count reviews, but concise cross-review themes and explainable narrative summaries require language understanding.</w:t>
      </w:r>
    </w:p>
    <w:p>
      <w:pPr>
        <w:spacing w:before="200" w:after="80"/>
      </w:pPr>
      <w:r>
        <w:rPr>
          <w:rFonts w:ascii="Times New Roman" w:hAnsi="Times New Roman"/>
          <w:b/>
          <w:color w:val="003087"/>
          <w:sz w:val="24"/>
        </w:rPr>
        <w:t>8. Non-AI Functionality</w:t>
      </w:r>
    </w:p>
    <w:p>
      <w:pPr>
        <w:spacing w:after="60"/>
        <w:ind w:left="327"/>
      </w:pPr>
      <w:r>
        <w:rPr>
          <w:rFonts w:ascii="Garamond" w:hAnsi="Garamond"/>
          <w:sz w:val="22"/>
        </w:rPr>
        <w:t xml:space="preserve">•  </w:t>
      </w:r>
      <w:r>
        <w:rPr>
          <w:rFonts w:ascii="Garamond" w:hAnsi="Garamond"/>
          <w:b/>
          <w:sz w:val="22"/>
        </w:rPr>
        <w:t>What does the product do without AI:</w:t>
      </w:r>
      <w:r>
        <w:rPr>
          <w:rFonts w:ascii="Garamond" w:hAnsi="Garamond"/>
          <w:sz w:val="22"/>
        </w:rPr>
        <w:t xml:space="preserve"> Authenticates users, enforces agency and role access, manages clients and locations, imports reviews, filters tables, renders charts, and exports reports.</w:t>
      </w:r>
    </w:p>
    <w:p>
      <w:pPr>
        <w:spacing w:after="60"/>
        <w:ind w:left="327"/>
      </w:pPr>
      <w:r>
        <w:rPr>
          <w:rFonts w:ascii="Garamond" w:hAnsi="Garamond"/>
          <w:sz w:val="22"/>
        </w:rPr>
        <w:t xml:space="preserve">•  </w:t>
      </w:r>
      <w:r>
        <w:rPr>
          <w:rFonts w:ascii="Garamond" w:hAnsi="Garamond"/>
          <w:b/>
          <w:sz w:val="22"/>
        </w:rPr>
        <w:t>What is handled by standard logic, databases or UI:</w:t>
      </w:r>
      <w:r>
        <w:rPr>
          <w:rFonts w:ascii="Garamond" w:hAnsi="Garamond"/>
          <w:sz w:val="22"/>
        </w:rPr>
        <w:t xml:space="preserve"> Tenant checks, Prisma queries, validation, sorting, pagination, CSV/PDF generation, audit logs, source coverage, and permissions.</w:t>
      </w:r>
    </w:p>
    <w:p>
      <w:r>
        <w:br w:type="page"/>
      </w:r>
    </w:p>
    <w:p>
      <w:pPr>
        <w:spacing w:before="200" w:after="80"/>
      </w:pPr>
      <w:r>
        <w:rPr>
          <w:rFonts w:ascii="Times New Roman" w:hAnsi="Times New Roman"/>
          <w:b/>
          <w:color w:val="003087"/>
          <w:sz w:val="24"/>
        </w:rPr>
        <w:t>9. Data Inputs</w:t>
      </w:r>
    </w:p>
    <w:tbl>
      <w:tblPr>
        <w:tblStyle w:val="LightGrid-Accent1"/>
        <w:tblW w:type="auto" w:w="0"/>
        <w:tblLayout w:type="autofit"/>
        <w:tblLook w:firstColumn="1" w:firstRow="1" w:lastColumn="0" w:lastRow="0" w:noHBand="0" w:noVBand="1" w:val="04A0"/>
      </w:tblPr>
      <w:tblGrid>
        <w:gridCol w:w="2351"/>
        <w:gridCol w:w="2351"/>
        <w:gridCol w:w="2351"/>
        <w:gridCol w:w="2351"/>
      </w:tblGrid>
      <w:tr>
        <w:tc>
          <w:tcPr>
            <w:tcW w:type="dxa" w:w="2351"/>
            <w:vAlign w:val="center"/>
          </w:tcPr>
          <w:p>
            <w:pPr>
              <w:spacing w:after="0"/>
              <w:jc w:val="left"/>
            </w:pPr>
            <w:r>
              <w:rPr>
                <w:rFonts w:ascii="Garamond" w:hAnsi="Garamond"/>
                <w:b/>
                <w:sz w:val="20"/>
              </w:rPr>
              <w:t>Data type</w:t>
            </w:r>
          </w:p>
        </w:tc>
        <w:tc>
          <w:tcPr>
            <w:tcW w:type="dxa" w:w="2351"/>
            <w:vAlign w:val="center"/>
          </w:tcPr>
          <w:p>
            <w:pPr>
              <w:spacing w:after="0"/>
              <w:jc w:val="left"/>
            </w:pPr>
            <w:r>
              <w:rPr>
                <w:rFonts w:ascii="Garamond" w:hAnsi="Garamond"/>
                <w:b/>
                <w:sz w:val="20"/>
              </w:rPr>
              <w:t>Source</w:t>
            </w:r>
          </w:p>
        </w:tc>
        <w:tc>
          <w:tcPr>
            <w:tcW w:type="dxa" w:w="2351"/>
            <w:vAlign w:val="center"/>
          </w:tcPr>
          <w:p>
            <w:pPr>
              <w:spacing w:after="0"/>
              <w:jc w:val="left"/>
            </w:pPr>
            <w:r>
              <w:rPr>
                <w:rFonts w:ascii="Garamond" w:hAnsi="Garamond"/>
                <w:b/>
                <w:sz w:val="20"/>
              </w:rPr>
              <w:t>Available now?</w:t>
            </w:r>
          </w:p>
        </w:tc>
        <w:tc>
          <w:tcPr>
            <w:tcW w:type="dxa" w:w="2351"/>
            <w:vAlign w:val="center"/>
          </w:tcPr>
          <w:p>
            <w:pPr>
              <w:spacing w:after="0"/>
              <w:jc w:val="left"/>
            </w:pPr>
            <w:r>
              <w:rPr>
                <w:rFonts w:ascii="Garamond" w:hAnsi="Garamond"/>
                <w:b/>
                <w:sz w:val="20"/>
              </w:rPr>
              <w:t>Legal/privacy issues?</w:t>
            </w:r>
          </w:p>
        </w:tc>
      </w:tr>
      <w:tr>
        <w:tc>
          <w:tcPr>
            <w:tcW w:type="dxa" w:w="2351"/>
            <w:vAlign w:val="center"/>
          </w:tcPr>
          <w:p>
            <w:pPr>
              <w:spacing w:after="0"/>
              <w:jc w:val="left"/>
            </w:pPr>
            <w:r>
              <w:rPr>
                <w:rFonts w:ascii="Garamond" w:hAnsi="Garamond"/>
                <w:b w:val="0"/>
                <w:sz w:val="20"/>
              </w:rPr>
              <w:t>Restaurant reviews</w:t>
            </w:r>
          </w:p>
        </w:tc>
        <w:tc>
          <w:tcPr>
            <w:tcW w:type="dxa" w:w="2351"/>
            <w:vAlign w:val="center"/>
          </w:tcPr>
          <w:p>
            <w:pPr>
              <w:spacing w:after="0"/>
              <w:jc w:val="left"/>
            </w:pPr>
            <w:r>
              <w:rPr>
                <w:rFonts w:ascii="Garamond" w:hAnsi="Garamond"/>
                <w:b w:val="0"/>
                <w:sz w:val="20"/>
              </w:rPr>
              <w:t>Approved APIs, partner exports, CSV upload, or permitted public pages.</w:t>
            </w:r>
          </w:p>
        </w:tc>
        <w:tc>
          <w:tcPr>
            <w:tcW w:type="dxa" w:w="2351"/>
            <w:vAlign w:val="center"/>
          </w:tcPr>
          <w:p>
            <w:pPr>
              <w:spacing w:after="0"/>
              <w:jc w:val="left"/>
            </w:pPr>
            <w:r>
              <w:rPr>
                <w:rFonts w:ascii="Garamond" w:hAnsi="Garamond"/>
                <w:b w:val="0"/>
                <w:sz w:val="20"/>
              </w:rPr>
              <w:t>Seeded/demo and CSV assumed for MVP.</w:t>
            </w:r>
          </w:p>
        </w:tc>
        <w:tc>
          <w:tcPr>
            <w:tcW w:type="dxa" w:w="2351"/>
            <w:vAlign w:val="center"/>
          </w:tcPr>
          <w:p>
            <w:pPr>
              <w:spacing w:after="0"/>
              <w:jc w:val="left"/>
            </w:pPr>
            <w:r>
              <w:rPr>
                <w:rFonts w:ascii="Garamond" w:hAnsi="Garamond"/>
                <w:b w:val="0"/>
                <w:sz w:val="20"/>
              </w:rPr>
              <w:t>Use public/approved data only; avoid private or login-protected content.</w:t>
            </w:r>
          </w:p>
        </w:tc>
      </w:tr>
      <w:tr>
        <w:tc>
          <w:tcPr>
            <w:tcW w:type="dxa" w:w="2351"/>
            <w:vAlign w:val="center"/>
          </w:tcPr>
          <w:p>
            <w:pPr>
              <w:spacing w:after="0"/>
              <w:jc w:val="left"/>
            </w:pPr>
            <w:r>
              <w:rPr>
                <w:rFonts w:ascii="Garamond" w:hAnsi="Garamond"/>
                <w:b w:val="0"/>
                <w:sz w:val="20"/>
              </w:rPr>
              <w:t>Review metadata</w:t>
            </w:r>
          </w:p>
        </w:tc>
        <w:tc>
          <w:tcPr>
            <w:tcW w:type="dxa" w:w="2351"/>
            <w:vAlign w:val="center"/>
          </w:tcPr>
          <w:p>
            <w:pPr>
              <w:spacing w:after="0"/>
              <w:jc w:val="left"/>
            </w:pPr>
            <w:r>
              <w:rPr>
                <w:rFonts w:ascii="Garamond" w:hAnsi="Garamond"/>
                <w:b w:val="0"/>
                <w:sz w:val="20"/>
              </w:rPr>
              <w:t>Rating, source, URL, client, location, published date, collected date.</w:t>
            </w:r>
          </w:p>
        </w:tc>
        <w:tc>
          <w:tcPr>
            <w:tcW w:type="dxa" w:w="2351"/>
            <w:vAlign w:val="center"/>
          </w:tcPr>
          <w:p>
            <w:pPr>
              <w:spacing w:after="0"/>
              <w:jc w:val="left"/>
            </w:pPr>
            <w:r>
              <w:rPr>
                <w:rFonts w:ascii="Garamond" w:hAnsi="Garamond"/>
                <w:b w:val="0"/>
                <w:sz w:val="20"/>
              </w:rPr>
              <w:t>Planned in Prisma schema.</w:t>
            </w:r>
          </w:p>
        </w:tc>
        <w:tc>
          <w:tcPr>
            <w:tcW w:type="dxa" w:w="2351"/>
            <w:vAlign w:val="center"/>
          </w:tcPr>
          <w:p>
            <w:pPr>
              <w:spacing w:after="0"/>
              <w:jc w:val="left"/>
            </w:pPr>
            <w:r>
              <w:rPr>
                <w:rFonts w:ascii="Garamond" w:hAnsi="Garamond"/>
                <w:b w:val="0"/>
                <w:sz w:val="20"/>
              </w:rPr>
              <w:t>Store needed public metadata; scope every record by agency.</w:t>
            </w:r>
          </w:p>
        </w:tc>
      </w:tr>
      <w:tr>
        <w:tc>
          <w:tcPr>
            <w:tcW w:type="dxa" w:w="2351"/>
            <w:vAlign w:val="center"/>
          </w:tcPr>
          <w:p>
            <w:pPr>
              <w:spacing w:after="0"/>
              <w:jc w:val="left"/>
            </w:pPr>
            <w:r>
              <w:rPr>
                <w:rFonts w:ascii="Garamond" w:hAnsi="Garamond"/>
                <w:b w:val="0"/>
                <w:sz w:val="20"/>
              </w:rPr>
              <w:t>Competitor signals</w:t>
            </w:r>
          </w:p>
        </w:tc>
        <w:tc>
          <w:tcPr>
            <w:tcW w:type="dxa" w:w="2351"/>
            <w:vAlign w:val="center"/>
          </w:tcPr>
          <w:p>
            <w:pPr>
              <w:spacing w:after="0"/>
              <w:jc w:val="left"/>
            </w:pPr>
            <w:r>
              <w:rPr>
                <w:rFonts w:ascii="Garamond" w:hAnsi="Garamond"/>
                <w:b w:val="0"/>
                <w:sz w:val="20"/>
              </w:rPr>
              <w:t>Named competitors and permitted observations or manual notes.</w:t>
            </w:r>
          </w:p>
        </w:tc>
        <w:tc>
          <w:tcPr>
            <w:tcW w:type="dxa" w:w="2351"/>
            <w:vAlign w:val="center"/>
          </w:tcPr>
          <w:p>
            <w:pPr>
              <w:spacing w:after="0"/>
              <w:jc w:val="left"/>
            </w:pPr>
            <w:r>
              <w:rPr>
                <w:rFonts w:ascii="Garamond" w:hAnsi="Garamond"/>
                <w:b w:val="0"/>
                <w:sz w:val="20"/>
              </w:rPr>
              <w:t>Manual/import path assumed for MVP.</w:t>
            </w:r>
          </w:p>
        </w:tc>
        <w:tc>
          <w:tcPr>
            <w:tcW w:type="dxa" w:w="2351"/>
            <w:vAlign w:val="center"/>
          </w:tcPr>
          <w:p>
            <w:pPr>
              <w:spacing w:after="0"/>
              <w:jc w:val="left"/>
            </w:pPr>
            <w:r>
              <w:rPr>
                <w:rFonts w:ascii="Garamond" w:hAnsi="Garamond"/>
                <w:b w:val="0"/>
                <w:sz w:val="20"/>
              </w:rPr>
              <w:t>Respect terms, robots.txt, rate limits, and source permissions.</w:t>
            </w:r>
          </w:p>
        </w:tc>
      </w:tr>
      <w:tr>
        <w:tc>
          <w:tcPr>
            <w:tcW w:type="dxa" w:w="2351"/>
            <w:vAlign w:val="center"/>
          </w:tcPr>
          <w:p>
            <w:pPr>
              <w:spacing w:after="0"/>
              <w:jc w:val="left"/>
            </w:pPr>
            <w:r>
              <w:rPr>
                <w:rFonts w:ascii="Garamond" w:hAnsi="Garamond"/>
                <w:b w:val="0"/>
                <w:sz w:val="20"/>
              </w:rPr>
              <w:t>AI insight metadata</w:t>
            </w:r>
          </w:p>
        </w:tc>
        <w:tc>
          <w:tcPr>
            <w:tcW w:type="dxa" w:w="2351"/>
            <w:vAlign w:val="center"/>
          </w:tcPr>
          <w:p>
            <w:pPr>
              <w:spacing w:after="0"/>
              <w:jc w:val="left"/>
            </w:pPr>
            <w:r>
              <w:rPr>
                <w:rFonts w:ascii="Garamond" w:hAnsi="Garamond"/>
                <w:b w:val="0"/>
                <w:sz w:val="20"/>
              </w:rPr>
              <w:t>Source review IDs, model, timestamp, confidence, output, and status.</w:t>
            </w:r>
          </w:p>
        </w:tc>
        <w:tc>
          <w:tcPr>
            <w:tcW w:type="dxa" w:w="2351"/>
            <w:vAlign w:val="center"/>
          </w:tcPr>
          <w:p>
            <w:pPr>
              <w:spacing w:after="0"/>
              <w:jc w:val="left"/>
            </w:pPr>
            <w:r>
              <w:rPr>
                <w:rFonts w:ascii="Garamond" w:hAnsi="Garamond"/>
                <w:b w:val="0"/>
                <w:sz w:val="20"/>
              </w:rPr>
              <w:t>Planned in MVP.</w:t>
            </w:r>
          </w:p>
        </w:tc>
        <w:tc>
          <w:tcPr>
            <w:tcW w:type="dxa" w:w="2351"/>
            <w:vAlign w:val="center"/>
          </w:tcPr>
          <w:p>
            <w:pPr>
              <w:spacing w:after="0"/>
              <w:jc w:val="left"/>
            </w:pPr>
            <w:r>
              <w:rPr>
                <w:rFonts w:ascii="Garamond" w:hAnsi="Garamond"/>
                <w:sz w:val="20"/>
              </w:rPr>
              <w:t>Keep output traceable; require human review before report use.</w:t>
            </w:r>
          </w:p>
        </w:tc>
      </w:tr>
      <w:tr>
        <w:tc>
          <w:tcPr>
            <w:tcW w:type="dxa" w:w="2351"/>
            <w:vAlign w:val="center"/>
          </w:tcPr>
          <w:p>
            <w:pPr>
              <w:spacing w:after="0"/>
              <w:jc w:val="left"/>
            </w:pPr>
            <w:r>
              <w:rPr>
                <w:rFonts w:ascii="Garamond" w:hAnsi="Garamond"/>
                <w:b w:val="0"/>
                <w:sz w:val="20"/>
              </w:rPr>
              <w:t>User and tenant records</w:t>
            </w:r>
          </w:p>
        </w:tc>
        <w:tc>
          <w:tcPr>
            <w:tcW w:type="dxa" w:w="2351"/>
            <w:vAlign w:val="center"/>
          </w:tcPr>
          <w:p>
            <w:pPr>
              <w:spacing w:after="0"/>
              <w:jc w:val="left"/>
            </w:pPr>
            <w:r>
              <w:rPr>
                <w:rFonts w:ascii="Garamond" w:hAnsi="Garamond"/>
                <w:b w:val="0"/>
                <w:sz w:val="20"/>
              </w:rPr>
              <w:t>Agency membership, roles, clients, locations, and audit logs.</w:t>
            </w:r>
          </w:p>
        </w:tc>
        <w:tc>
          <w:tcPr>
            <w:tcW w:type="dxa" w:w="2351"/>
            <w:vAlign w:val="center"/>
          </w:tcPr>
          <w:p>
            <w:pPr>
              <w:spacing w:after="0"/>
              <w:jc w:val="left"/>
            </w:pPr>
            <w:r>
              <w:rPr>
                <w:rFonts w:ascii="Garamond" w:hAnsi="Garamond"/>
                <w:b w:val="0"/>
                <w:sz w:val="20"/>
              </w:rPr>
              <w:t>Planned in MVP.</w:t>
            </w:r>
          </w:p>
        </w:tc>
        <w:tc>
          <w:tcPr>
            <w:tcW w:type="dxa" w:w="2351"/>
            <w:vAlign w:val="center"/>
          </w:tcPr>
          <w:p>
            <w:pPr>
              <w:spacing w:after="0"/>
              <w:jc w:val="left"/>
            </w:pPr>
            <w:r>
              <w:rPr>
                <w:rFonts w:ascii="Garamond" w:hAnsi="Garamond"/>
                <w:b w:val="0"/>
                <w:sz w:val="20"/>
              </w:rPr>
              <w:t>Enforce `agency_id`; never expose cross-agency data.</w:t>
            </w:r>
          </w:p>
        </w:tc>
      </w:tr>
    </w:tbl>
    <w:p>
      <w:pPr>
        <w:spacing w:before="200" w:after="80"/>
      </w:pPr>
      <w:r>
        <w:rPr>
          <w:rFonts w:ascii="Times New Roman" w:hAnsi="Times New Roman"/>
          <w:b/>
          <w:color w:val="003087"/>
          <w:sz w:val="24"/>
        </w:rPr>
        <w:t>10. Success Metrics</w:t>
      </w:r>
    </w:p>
    <w:p>
      <w:pPr>
        <w:spacing w:after="60"/>
        <w:ind w:left="327"/>
      </w:pPr>
      <w:r>
        <w:rPr>
          <w:rFonts w:ascii="Garamond" w:hAnsi="Garamond"/>
          <w:sz w:val="22"/>
        </w:rPr>
        <w:t xml:space="preserve">•  </w:t>
      </w:r>
      <w:r>
        <w:rPr>
          <w:rFonts w:ascii="Garamond" w:hAnsi="Garamond"/>
          <w:b/>
          <w:sz w:val="22"/>
        </w:rPr>
        <w:t>Primary metric (what proves the MVP works):</w:t>
      </w:r>
      <w:r>
        <w:rPr>
          <w:rFonts w:ascii="Garamond" w:hAnsi="Garamond"/>
          <w:sz w:val="22"/>
        </w:rPr>
        <w:t xml:space="preserve"> A Manager can complete the end-to-end workflow: import approved reviews, review AI-generated insights with source evidence, approve them for use, and export a client-ready report.</w:t>
      </w:r>
    </w:p>
    <w:p>
      <w:pPr>
        <w:spacing w:after="60"/>
        <w:ind w:left="327"/>
      </w:pPr>
      <w:r>
        <w:rPr>
          <w:rFonts w:ascii="Garamond" w:hAnsi="Garamond"/>
          <w:sz w:val="22"/>
        </w:rPr>
        <w:t xml:space="preserve">•  </w:t>
      </w:r>
      <w:r>
        <w:rPr>
          <w:rFonts w:ascii="Garamond" w:hAnsi="Garamond"/>
          <w:b/>
          <w:sz w:val="22"/>
        </w:rPr>
        <w:t>Secondary metric:</w:t>
      </w:r>
      <w:r>
        <w:rPr>
          <w:rFonts w:ascii="Garamond" w:hAnsi="Garamond"/>
          <w:sz w:val="22"/>
        </w:rPr>
        <w:t xml:space="preserve"> Tenant isolation tests prove Agency A cannot read, export, or infer Agency B data.</w:t>
      </w:r>
    </w:p>
    <w:p>
      <w:pPr>
        <w:spacing w:after="60"/>
        <w:ind w:left="327"/>
      </w:pPr>
      <w:r>
        <w:rPr>
          <w:rFonts w:ascii="Garamond" w:hAnsi="Garamond"/>
          <w:sz w:val="22"/>
        </w:rPr>
        <w:t xml:space="preserve">•  </w:t>
      </w:r>
      <w:r>
        <w:rPr>
          <w:rFonts w:ascii="Garamond" w:hAnsi="Garamond"/>
          <w:b/>
          <w:sz w:val="22"/>
        </w:rPr>
        <w:t>What does failure look like:</w:t>
      </w:r>
      <w:r>
        <w:rPr>
          <w:rFonts w:ascii="Garamond" w:hAnsi="Garamond"/>
          <w:sz w:val="22"/>
        </w:rPr>
        <w:t xml:space="preserve"> The workflow breaks before report export, insights lack source evidence, unreviewed AI content reaches client-facing reports, users see data outside their agency, or the product presents unsupported claims.</w:t>
      </w:r>
    </w:p>
    <w:p>
      <w:pPr>
        <w:spacing w:before="200" w:after="80"/>
      </w:pPr>
      <w:r>
        <w:rPr>
          <w:rFonts w:ascii="Times New Roman" w:hAnsi="Times New Roman"/>
          <w:b/>
          <w:color w:val="003087"/>
          <w:sz w:val="24"/>
        </w:rPr>
        <w:t>11. MVP Scope</w:t>
      </w:r>
    </w:p>
    <w:p>
      <w:pPr>
        <w:spacing w:after="60"/>
        <w:ind w:left="327"/>
      </w:pPr>
      <w:r>
        <w:rPr>
          <w:rFonts w:ascii="Garamond" w:hAnsi="Garamond"/>
          <w:sz w:val="22"/>
        </w:rPr>
        <w:t xml:space="preserve">•  </w:t>
      </w:r>
      <w:r>
        <w:rPr>
          <w:rFonts w:ascii="Garamond" w:hAnsi="Garamond"/>
          <w:b/>
          <w:sz w:val="22"/>
        </w:rPr>
        <w:t>Primary MVP hypothesis:</w:t>
      </w:r>
      <w:r>
        <w:rPr>
          <w:rFonts w:ascii="Garamond" w:hAnsi="Garamond"/>
          <w:sz w:val="22"/>
        </w:rPr>
        <w:t xml:space="preserve"> If an agency team can import approved reviews, validate AI-drafted insights against evidence, and export a reviewed client report in one tenant-safe workflow, the MVP proves the core product value.</w:t>
      </w:r>
    </w:p>
    <w:p>
      <w:pPr>
        <w:spacing w:after="60"/>
        <w:ind w:left="327"/>
      </w:pPr>
      <w:r>
        <w:rPr>
          <w:rFonts w:ascii="Garamond" w:hAnsi="Garamond"/>
          <w:sz w:val="22"/>
        </w:rPr>
        <w:t xml:space="preserve">•  </w:t>
      </w:r>
      <w:r>
        <w:rPr>
          <w:rFonts w:ascii="Garamond" w:hAnsi="Garamond"/>
          <w:b/>
          <w:sz w:val="22"/>
        </w:rPr>
        <w:t>What is IN the MVP (3-week build):</w:t>
      </w:r>
      <w:r>
        <w:rPr>
          <w:rFonts w:ascii="Garamond" w:hAnsi="Garamond"/>
          <w:sz w:val="22"/>
        </w:rPr>
        <w:t xml:space="preserve"> Next.js app shell, agency roles, clients, locations, review import, dashboard KPIs, review filters, AI insight drafts, human approval status, PDF/CSV export, audit logging, and seeded demo data.</w:t>
      </w:r>
    </w:p>
    <w:p>
      <w:pPr>
        <w:spacing w:after="60"/>
        <w:ind w:left="327"/>
      </w:pPr>
      <w:r>
        <w:rPr>
          <w:rFonts w:ascii="Garamond" w:hAnsi="Garamond"/>
          <w:sz w:val="22"/>
        </w:rPr>
        <w:t xml:space="preserve">•  </w:t>
      </w:r>
      <w:r>
        <w:rPr>
          <w:rFonts w:ascii="Garamond" w:hAnsi="Garamond"/>
          <w:b/>
          <w:sz w:val="22"/>
        </w:rPr>
        <w:t>What is explicitly OUT of the MVP:</w:t>
      </w:r>
      <w:r>
        <w:rPr>
          <w:rFonts w:ascii="Garamond" w:hAnsi="Garamond"/>
          <w:sz w:val="22"/>
        </w:rPr>
        <w:t xml:space="preserve"> Billing, native mobile apps, unsupported scraping, direct POS/reservation/payroll/payment integrations, real-time Slack/email/SMS alerts, and automated high-impact advice without review.</w:t>
      </w:r>
    </w:p>
    <w:p>
      <w:pPr>
        <w:spacing w:after="60"/>
        <w:ind w:left="327"/>
      </w:pPr>
      <w:r>
        <w:rPr>
          <w:rFonts w:ascii="Garamond" w:hAnsi="Garamond"/>
          <w:sz w:val="22"/>
        </w:rPr>
        <w:t xml:space="preserve">•  </w:t>
      </w:r>
      <w:r>
        <w:rPr>
          <w:rFonts w:ascii="Garamond" w:hAnsi="Garamond"/>
          <w:b/>
          <w:sz w:val="22"/>
        </w:rPr>
        <w:t>What does the MVP prove or disprove:</w:t>
      </w:r>
      <w:r>
        <w:rPr>
          <w:rFonts w:ascii="Garamond" w:hAnsi="Garamond"/>
          <w:sz w:val="22"/>
        </w:rPr>
        <w:t xml:space="preserve"> Whether agency teams can move from approved review evidence to human-reviewed insight approval and client-ready reporting in one tenant-safe workflow.</w:t>
      </w:r>
    </w:p>
    <w:p>
      <w:pPr>
        <w:spacing w:before="200" w:after="80"/>
      </w:pPr>
      <w:r>
        <w:rPr>
          <w:rFonts w:ascii="Times New Roman" w:hAnsi="Times New Roman"/>
          <w:b/>
          <w:color w:val="003087"/>
          <w:sz w:val="24"/>
        </w:rPr>
        <w:t>12. Technical Assumptions</w:t>
      </w:r>
    </w:p>
    <w:p>
      <w:pPr>
        <w:spacing w:after="60"/>
        <w:ind w:left="327"/>
      </w:pPr>
      <w:r>
        <w:rPr>
          <w:rFonts w:ascii="Garamond" w:hAnsi="Garamond"/>
          <w:sz w:val="22"/>
        </w:rPr>
        <w:t xml:space="preserve">•  </w:t>
      </w:r>
      <w:r>
        <w:rPr>
          <w:rFonts w:ascii="Garamond" w:hAnsi="Garamond"/>
          <w:b/>
          <w:sz w:val="22"/>
        </w:rPr>
        <w:t>Assumption 1 (and what happens if wrong):</w:t>
      </w:r>
      <w:r>
        <w:rPr>
          <w:rFonts w:ascii="Garamond" w:hAnsi="Garamond"/>
          <w:sz w:val="22"/>
        </w:rPr>
        <w:t xml:space="preserve"> Seeded demo data and CSV import are enough for v1 validation; if wrong, a provider integration must move earlier after source permissions are confirmed.</w:t>
      </w:r>
    </w:p>
    <w:p>
      <w:pPr>
        <w:spacing w:after="60"/>
        <w:ind w:left="327"/>
      </w:pPr>
      <w:r>
        <w:rPr>
          <w:rFonts w:ascii="Garamond" w:hAnsi="Garamond"/>
          <w:sz w:val="22"/>
        </w:rPr>
        <w:t xml:space="preserve">•  </w:t>
      </w:r>
      <w:r>
        <w:rPr>
          <w:rFonts w:ascii="Garamond" w:hAnsi="Garamond"/>
          <w:b/>
          <w:sz w:val="22"/>
        </w:rPr>
        <w:t>Assumption 2 (and what happens if wrong):</w:t>
      </w:r>
      <w:r>
        <w:rPr>
          <w:rFonts w:ascii="Garamond" w:hAnsi="Garamond"/>
          <w:sz w:val="22"/>
        </w:rPr>
        <w:t xml:space="preserve"> Owner/Admin, Manager, Analyst, and Viewer/Client roles cover v1 permissions; if wrong, role logic must be expanded before client sharing.</w:t>
      </w:r>
    </w:p>
    <w:p>
      <w:pPr>
        <w:spacing w:after="60"/>
        <w:ind w:left="327"/>
      </w:pPr>
      <w:r>
        <w:rPr>
          <w:rFonts w:ascii="Garamond" w:hAnsi="Garamond"/>
          <w:sz w:val="22"/>
        </w:rPr>
        <w:t xml:space="preserve">•  </w:t>
      </w:r>
      <w:r>
        <w:rPr>
          <w:rFonts w:ascii="Garamond" w:hAnsi="Garamond"/>
          <w:b/>
          <w:sz w:val="22"/>
        </w:rPr>
        <w:t>Riskiest assumption overall:</w:t>
      </w:r>
      <w:r>
        <w:rPr>
          <w:rFonts w:ascii="Garamond" w:hAnsi="Garamond"/>
          <w:sz w:val="22"/>
        </w:rPr>
        <w:t xml:space="preserve"> Approved review sources and exports provide enough compliant evidence for useful summaries and reports without unauthorized collection.</w:t>
      </w:r>
    </w:p>
    <w:p>
      <w:pPr>
        <w:spacing w:before="200" w:after="80"/>
      </w:pPr>
      <w:r>
        <w:rPr>
          <w:rFonts w:ascii="Times New Roman" w:hAnsi="Times New Roman"/>
          <w:b/>
          <w:color w:val="003087"/>
          <w:sz w:val="24"/>
        </w:rPr>
        <w:t>13. Initial Architecture Idea</w:t>
      </w:r>
    </w:p>
    <w:p>
      <w:pPr>
        <w:spacing w:after="60"/>
        <w:ind w:left="327"/>
      </w:pPr>
      <w:r>
        <w:rPr>
          <w:rFonts w:ascii="Garamond" w:hAnsi="Garamond"/>
          <w:sz w:val="22"/>
        </w:rPr>
        <w:t xml:space="preserve">•  </w:t>
      </w:r>
      <w:r>
        <w:rPr>
          <w:rFonts w:ascii="Garamond" w:hAnsi="Garamond"/>
          <w:b/>
          <w:sz w:val="22"/>
        </w:rPr>
        <w:t>Frontend:</w:t>
      </w:r>
      <w:r>
        <w:rPr>
          <w:rFonts w:ascii="Garamond" w:hAnsi="Garamond"/>
          <w:sz w:val="22"/>
        </w:rPr>
        <w:t xml:space="preserve"> React/Next.js app with App Router screens, reusable components, Scandinavian-inspired dashboard UI, and report preview.</w:t>
      </w:r>
    </w:p>
    <w:p>
      <w:pPr>
        <w:spacing w:after="60"/>
        <w:ind w:left="327"/>
      </w:pPr>
      <w:r>
        <w:rPr>
          <w:rFonts w:ascii="Garamond" w:hAnsi="Garamond"/>
          <w:sz w:val="22"/>
        </w:rPr>
        <w:t xml:space="preserve">•  </w:t>
      </w:r>
      <w:r>
        <w:rPr>
          <w:rFonts w:ascii="Garamond" w:hAnsi="Garamond"/>
          <w:b/>
          <w:sz w:val="22"/>
        </w:rPr>
        <w:t>Backend/Logic:</w:t>
      </w:r>
      <w:r>
        <w:rPr>
          <w:rFonts w:ascii="Garamond" w:hAnsi="Garamond"/>
          <w:sz w:val="22"/>
        </w:rPr>
        <w:t xml:space="preserve"> Next.js API routes on Node.js plus background jobs for imports, source syncs, deduplication, competitor signals, AI refreshes, exports, and audit logging.</w:t>
      </w:r>
    </w:p>
    <w:p>
      <w:pPr>
        <w:spacing w:after="60"/>
        <w:ind w:left="327"/>
      </w:pPr>
      <w:r>
        <w:rPr>
          <w:rFonts w:ascii="Garamond" w:hAnsi="Garamond"/>
          <w:sz w:val="22"/>
        </w:rPr>
        <w:t xml:space="preserve">•  </w:t>
      </w:r>
      <w:r>
        <w:rPr>
          <w:rFonts w:ascii="Garamond" w:hAnsi="Garamond"/>
          <w:b/>
          <w:sz w:val="22"/>
        </w:rPr>
        <w:t>Database:</w:t>
      </w:r>
      <w:r>
        <w:rPr>
          <w:rFonts w:ascii="Garamond" w:hAnsi="Garamond"/>
          <w:sz w:val="22"/>
        </w:rPr>
        <w:t xml:space="preserve"> PostgreSQL with Prisma schema, migrations, generated client, and tenant-aware query helpers.</w:t>
      </w:r>
    </w:p>
    <w:p>
      <w:pPr>
        <w:spacing w:after="60"/>
        <w:ind w:left="327"/>
      </w:pPr>
      <w:r>
        <w:rPr>
          <w:rFonts w:ascii="Garamond" w:hAnsi="Garamond"/>
          <w:sz w:val="22"/>
        </w:rPr>
        <w:t xml:space="preserve">•  </w:t>
      </w:r>
      <w:r>
        <w:rPr>
          <w:rFonts w:ascii="Garamond" w:hAnsi="Garamond"/>
          <w:b/>
          <w:sz w:val="22"/>
        </w:rPr>
        <w:t>AI Layer:</w:t>
      </w:r>
      <w:r>
        <w:rPr>
          <w:rFonts w:ascii="Garamond" w:hAnsi="Garamond"/>
          <w:sz w:val="22"/>
        </w:rPr>
        <w:t xml:space="preserve"> OpenAI API for review summarization, sentiment classification, theme extraction, and insight generation from collected evidence only.</w:t>
      </w:r>
    </w:p>
    <w:p>
      <w:pPr>
        <w:spacing w:after="60"/>
        <w:ind w:left="327"/>
      </w:pPr>
      <w:r>
        <w:rPr>
          <w:rFonts w:ascii="Garamond" w:hAnsi="Garamond"/>
          <w:sz w:val="22"/>
        </w:rPr>
        <w:t xml:space="preserve">•  </w:t>
      </w:r>
      <w:r>
        <w:rPr>
          <w:rFonts w:ascii="Garamond" w:hAnsi="Garamond"/>
          <w:b/>
          <w:sz w:val="22"/>
        </w:rPr>
        <w:t>Key integrations needed:</w:t>
      </w:r>
      <w:r>
        <w:rPr>
          <w:rFonts w:ascii="Garamond" w:hAnsi="Garamond"/>
          <w:sz w:val="22"/>
        </w:rPr>
        <w:t xml:space="preserve"> Approved review APIs or exports, CSV upload, private file storage with signed URLs, PDF/CSV generation, and deployment on Vercel with Render or Railway for database/jobs as needed.</w:t>
      </w:r>
    </w:p>
    <w:p/>
    <w:p>
      <w:r>
        <w:rPr>
          <w:rFonts w:ascii="Garamond" w:hAnsi="Garamond"/>
          <w:i/>
          <w:sz w:val="22"/>
        </w:rPr>
        <w:t xml:space="preserve">Prepared from the official MIM AI Challenge template. Deliverable: </w:t>
      </w:r>
      <w:r>
        <w:rPr>
          <w:rFonts w:ascii="Consolas" w:hAnsi="Consolas"/>
          <w:i/>
          <w:sz w:val="22"/>
        </w:rPr>
        <w:t>PRD_RestaurantIntelligencePlatform_v1.docx</w:t>
      </w:r>
      <w:r>
        <w:rPr>
          <w:rFonts w:ascii="Garamond" w:hAnsi="Garamond"/>
          <w:i/>
          <w:sz w:val="22"/>
        </w:rPr>
        <w:t>.</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