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B7077" w:rsidRDefault="001B7077" w14:paraId="344E77CA" w14:textId="1741E0A8">
      <w:r w:rsidR="6C8B6F3E">
        <w:rPr/>
        <w:t>Financial stabilization</w:t>
      </w:r>
      <w:r w:rsidR="6C8B6F3E">
        <w:rPr/>
        <w:t xml:space="preserve"> </w:t>
      </w:r>
      <w:r w:rsidRPr="6C8B6F3E" w:rsidR="6C8B6F3E">
        <w:rPr>
          <w:b w:val="1"/>
          <w:bCs w:val="1"/>
        </w:rPr>
        <w:t>B</w:t>
      </w:r>
      <w:r w:rsidRPr="6C8B6F3E" w:rsidR="6C8B6F3E">
        <w:rPr>
          <w:b w:val="1"/>
          <w:bCs w:val="1"/>
        </w:rPr>
        <w:t>atu</w:t>
      </w:r>
    </w:p>
    <w:p w:rsidR="001B7077" w:rsidRDefault="001B7077" w14:paraId="41563FC6" w14:textId="31CF50CC">
      <w:r w:rsidR="6C8B6F3E">
        <w:rPr/>
        <w:t>Operational synergies and economies of scale</w:t>
      </w:r>
      <w:r w:rsidR="6C8B6F3E">
        <w:rPr/>
        <w:t xml:space="preserve"> </w:t>
      </w:r>
      <w:r w:rsidRPr="6C8B6F3E" w:rsidR="6C8B6F3E">
        <w:rPr>
          <w:b w:val="1"/>
          <w:bCs w:val="1"/>
        </w:rPr>
        <w:t>J</w:t>
      </w:r>
      <w:r w:rsidRPr="6C8B6F3E" w:rsidR="6C8B6F3E">
        <w:rPr>
          <w:b w:val="1"/>
          <w:bCs w:val="1"/>
        </w:rPr>
        <w:t>ulian</w:t>
      </w:r>
    </w:p>
    <w:p w:rsidR="001B7077" w:rsidRDefault="001B7077" w14:paraId="24D95C08" w14:textId="612869FF">
      <w:r w:rsidR="6C8B6F3E">
        <w:rPr/>
        <w:t>Strategic competitiveness and future viability</w:t>
      </w:r>
      <w:r w:rsidR="6C8B6F3E">
        <w:rPr/>
        <w:t xml:space="preserve"> </w:t>
      </w:r>
      <w:r w:rsidRPr="6C8B6F3E" w:rsidR="6C8B6F3E">
        <w:rPr>
          <w:b w:val="1"/>
          <w:bCs w:val="1"/>
        </w:rPr>
        <w:t>J</w:t>
      </w:r>
      <w:r w:rsidRPr="6C8B6F3E" w:rsidR="6C8B6F3E">
        <w:rPr>
          <w:b w:val="1"/>
          <w:bCs w:val="1"/>
        </w:rPr>
        <w:t>ako</w:t>
      </w:r>
      <w:r w:rsidRPr="6C8B6F3E" w:rsidR="6C8B6F3E">
        <w:rPr>
          <w:b w:val="1"/>
          <w:bCs w:val="1"/>
        </w:rPr>
        <w:t>b</w:t>
      </w:r>
    </w:p>
    <w:p w:rsidR="00B213AB" w:rsidRDefault="00B213AB" w14:paraId="0AB3369B" w14:noSpellErr="1" w14:textId="0449B8FC"/>
    <w:p w:rsidR="6C8B6F3E" w:rsidP="6C8B6F3E" w:rsidRDefault="6C8B6F3E" w14:paraId="0102CD76" w14:noSpellErr="1" w14:textId="2E784293">
      <w:pPr>
        <w:pStyle w:val="Heading2"/>
        <w:spacing w:before="0" w:beforeAutospacing="off" w:after="299" w:afterAutospacing="off"/>
      </w:pPr>
      <w:r w:rsidRPr="458E7362" w:rsidR="458E7362">
        <w:rPr>
          <w:rFonts w:ascii="Aptos" w:hAnsi="Aptos" w:eastAsia="Aptos" w:cs="Aptos"/>
          <w:b w:val="1"/>
          <w:bCs w:val="1"/>
          <w:sz w:val="36"/>
          <w:szCs w:val="36"/>
        </w:rPr>
        <w:t>PART 1 — Speech: Proposition "Financial Stabilization"</w:t>
      </w:r>
    </w:p>
    <w:p w:rsidR="6C8B6F3E" w:rsidP="6C8B6F3E" w:rsidRDefault="6C8B6F3E" w14:paraId="25D43EBA" w14:noSpellErr="1" w14:textId="27363C53">
      <w:pPr>
        <w:spacing w:before="240" w:beforeAutospacing="off" w:after="240" w:afterAutospacing="off"/>
      </w:pPr>
      <w:r w:rsidRPr="458E7362" w:rsidR="458E7362">
        <w:rPr>
          <w:rFonts w:ascii="Aptos" w:hAnsi="Aptos" w:eastAsia="Aptos" w:cs="Aptos"/>
          <w:b w:val="1"/>
          <w:bCs w:val="1"/>
          <w:sz w:val="22"/>
          <w:szCs w:val="22"/>
        </w:rPr>
        <w:t>[0:00 – Opening, ~30 sec.]</w:t>
      </w:r>
      <w:r>
        <w:br/>
      </w:r>
      <w:r w:rsidRPr="458E7362" w:rsidR="458E7362">
        <w:rPr>
          <w:rFonts w:ascii="Aptos" w:hAnsi="Aptos" w:eastAsia="Aptos" w:cs="Aptos"/>
          <w:sz w:val="22"/>
          <w:szCs w:val="22"/>
        </w:rPr>
        <w:t xml:space="preserve"> Honorable committee, let us be honest about our situation: we are a mid-sized automotive assembly company — solid, but in moderate financial distress. Our liquidity is strained, our financing costs are rising, and we operate in an industry going through the most expensive transformation in its history: the shift to electric mobility. In this situation, an acquisition offer from a market leader is on the table. And I say: we should accept it — for one decisive reason. Financial stability.</w:t>
      </w:r>
      <w:r>
        <w:rPr>
          <w:b/>
        </w:rPr>
        <w:t xml:space="preserve"> [7, 13]</w:t>
      </w:r>
    </w:p>
    <w:p w:rsidR="6C8B6F3E" w:rsidP="6C8B6F3E" w:rsidRDefault="6C8B6F3E" w14:paraId="1AB3F59E" w14:noSpellErr="1" w14:textId="101949E6">
      <w:pPr>
        <w:spacing w:before="240" w:beforeAutospacing="off" w:after="240" w:afterAutospacing="off"/>
      </w:pPr>
      <w:r w:rsidRPr="458E7362" w:rsidR="458E7362">
        <w:rPr>
          <w:rFonts w:ascii="Aptos" w:hAnsi="Aptos" w:eastAsia="Aptos" w:cs="Aptos"/>
          <w:b w:val="1"/>
          <w:bCs w:val="1"/>
          <w:sz w:val="22"/>
          <w:szCs w:val="22"/>
        </w:rPr>
        <w:t>[0:30 – Core argument 1: Immediate capital injection, ~60 sec.]</w:t>
      </w:r>
      <w:r>
        <w:br/>
      </w:r>
      <w:r w:rsidRPr="458E7362" w:rsidR="458E7362">
        <w:rPr>
          <w:rFonts w:ascii="Aptos" w:hAnsi="Aptos" w:eastAsia="Aptos" w:cs="Aptos"/>
          <w:sz w:val="22"/>
          <w:szCs w:val="22"/>
        </w:rPr>
        <w:t xml:space="preserve"> The most important effect is immediate. The market leader brings fresh capital that closes our financing gap — without forcing us to raise expensive debt on the market, at terms that, given our current credit standing, would only keep worsening. Where today we fight for every loan agreement, the acquisition instantly opens access to the resources of a financially strong group. This is not a promise for some distant future; it is relief that takes effect the moment the deal is signed.</w:t>
      </w:r>
      <w:r>
        <w:rPr>
          <w:b/>
        </w:rPr>
        <w:t xml:space="preserve"> [2, 5, 11]</w:t>
      </w:r>
    </w:p>
    <w:p w:rsidR="6C8B6F3E" w:rsidP="6C8B6F3E" w:rsidRDefault="6C8B6F3E" w14:paraId="5D78EB78" w14:noSpellErr="1" w14:textId="1E4E6072">
      <w:pPr>
        <w:spacing w:before="240" w:beforeAutospacing="off" w:after="240" w:afterAutospacing="off"/>
      </w:pPr>
      <w:r w:rsidRPr="458E7362" w:rsidR="458E7362">
        <w:rPr>
          <w:rFonts w:ascii="Aptos" w:hAnsi="Aptos" w:eastAsia="Aptos" w:cs="Aptos"/>
          <w:b w:val="1"/>
          <w:bCs w:val="1"/>
          <w:sz w:val="22"/>
          <w:szCs w:val="22"/>
        </w:rPr>
        <w:t>[1:30 – Core argument 2: Better financing conditions, ~60 sec.]</w:t>
      </w:r>
      <w:r>
        <w:br/>
      </w:r>
      <w:r w:rsidRPr="458E7362" w:rsidR="458E7362">
        <w:rPr>
          <w:rFonts w:ascii="Aptos" w:hAnsi="Aptos" w:eastAsia="Aptos" w:cs="Aptos"/>
          <w:sz w:val="22"/>
          <w:szCs w:val="22"/>
        </w:rPr>
        <w:t xml:space="preserve"> Second, the acquisition transforms our entire financing position. As part of a group with a stable credit rating, our default risk drops. What does that mean concretely? Lower interest rates, longer maturities, more reliable credit lines. The investments we urgently need for the powertrain transition suddenly become financeable. On our own, under current cost pressure, we could hardly have shouldered them.</w:t>
      </w:r>
      <w:r>
        <w:rPr>
          <w:b/>
        </w:rPr>
        <w:t xml:space="preserve"> [1, 4, 11]</w:t>
      </w:r>
    </w:p>
    <w:p w:rsidR="6C8B6F3E" w:rsidP="6C8B6F3E" w:rsidRDefault="6C8B6F3E" w14:paraId="62D27C66" w14:noSpellErr="1" w14:textId="0040E79D">
      <w:pPr>
        <w:spacing w:before="240" w:beforeAutospacing="off" w:after="240" w:afterAutospacing="off"/>
      </w:pPr>
      <w:r w:rsidRPr="458E7362" w:rsidR="458E7362">
        <w:rPr>
          <w:rFonts w:ascii="Aptos" w:hAnsi="Aptos" w:eastAsia="Aptos" w:cs="Aptos"/>
          <w:b w:val="1"/>
          <w:bCs w:val="1"/>
          <w:sz w:val="22"/>
          <w:szCs w:val="22"/>
        </w:rPr>
        <w:t>[2:30 – Core argument 3: Risk sharing, ~45 sec.]</w:t>
      </w:r>
      <w:r>
        <w:br/>
      </w:r>
      <w:r w:rsidRPr="458E7362" w:rsidR="458E7362">
        <w:rPr>
          <w:rFonts w:ascii="Aptos" w:hAnsi="Aptos" w:eastAsia="Aptos" w:cs="Aptos"/>
          <w:sz w:val="22"/>
          <w:szCs w:val="22"/>
        </w:rPr>
        <w:t xml:space="preserve"> Third — and this is often underestimated — we share the risk. The shift to new technologies carries significant uncertainty. As a standalone mid-sized company, we bear that risk alone, on a thin capital base. Within the group, it is spread across a diversified organization that can absorb setbacks in one area. We trade an existential bet for a calculable stake.</w:t>
      </w:r>
      <w:r>
        <w:rPr>
          <w:b/>
        </w:rPr>
        <w:t xml:space="preserve"> [1, 3]</w:t>
      </w:r>
    </w:p>
    <w:p w:rsidR="6C8B6F3E" w:rsidP="6C8B6F3E" w:rsidRDefault="6C8B6F3E" w14:paraId="611548A9" w14:noSpellErr="1" w14:textId="2B0E1DD0">
      <w:pPr>
        <w:spacing w:before="240" w:beforeAutospacing="off" w:after="240" w:afterAutospacing="off"/>
      </w:pPr>
      <w:r w:rsidRPr="458E7362" w:rsidR="458E7362">
        <w:rPr>
          <w:rFonts w:ascii="Aptos" w:hAnsi="Aptos" w:eastAsia="Aptos" w:cs="Aptos"/>
          <w:b w:val="1"/>
          <w:bCs w:val="1"/>
          <w:sz w:val="22"/>
          <w:szCs w:val="22"/>
        </w:rPr>
        <w:t>[3:15 – Impact, ~40 sec.]</w:t>
      </w:r>
      <w:r>
        <w:br/>
      </w:r>
      <w:r w:rsidRPr="458E7362" w:rsidR="458E7362">
        <w:rPr>
          <w:rFonts w:ascii="Aptos" w:hAnsi="Aptos" w:eastAsia="Aptos" w:cs="Aptos"/>
          <w:sz w:val="22"/>
          <w:szCs w:val="22"/>
        </w:rPr>
        <w:t xml:space="preserve"> And now the decisive question for your vote: what is the alternative? If we reject now and the distress deepens, the worst case is insolvency or a forced fire sale — then we negotiate from a position of weakness, at far worse terms, with real job losses. Whoever accepts today secures the company's survival from a position of strength.</w:t>
      </w:r>
      <w:r>
        <w:rPr>
          <w:b/>
        </w:rPr>
        <w:t xml:space="preserve"> [5, 6, 7]</w:t>
      </w:r>
    </w:p>
    <w:p w:rsidR="6C8B6F3E" w:rsidP="6C8B6F3E" w:rsidRDefault="6C8B6F3E" w14:paraId="1B199D9F" w14:noSpellErr="1" w14:textId="09A2ED76">
      <w:pPr>
        <w:spacing w:before="240" w:beforeAutospacing="off" w:after="240" w:afterAutospacing="off"/>
      </w:pPr>
      <w:r w:rsidRPr="458E7362" w:rsidR="458E7362">
        <w:rPr>
          <w:rFonts w:ascii="Aptos" w:hAnsi="Aptos" w:eastAsia="Aptos" w:cs="Aptos"/>
          <w:b w:val="1"/>
          <w:bCs w:val="1"/>
          <w:sz w:val="22"/>
          <w:szCs w:val="22"/>
        </w:rPr>
        <w:t>[3:55 – Transition, ~15 sec.]</w:t>
      </w:r>
      <w:r>
        <w:br/>
      </w:r>
      <w:r w:rsidRPr="458E7362" w:rsidR="458E7362">
        <w:rPr>
          <w:rFonts w:ascii="Aptos" w:hAnsi="Aptos" w:eastAsia="Aptos" w:cs="Aptos"/>
          <w:sz w:val="22"/>
          <w:szCs w:val="22"/>
        </w:rPr>
        <w:t xml:space="preserve"> With that, the financial foundation is secured. What we can build on this newfound stability — synergies, market access, innovation capacity — my colleague will take from here.</w:t>
      </w:r>
      <w:r>
        <w:rPr>
          <w:b/>
        </w:rPr>
        <w:t xml:space="preserve"> [10]</w:t>
      </w:r>
    </w:p>
    <w:p w:rsidR="6C8B6F3E" w:rsidP="6C8B6F3E" w:rsidRDefault="6C8B6F3E" w14:paraId="5872BD2C" w14:noSpellErr="1" w14:textId="67679A5E">
      <w:pPr>
        <w:pStyle w:val="Heading2"/>
        <w:spacing w:before="299" w:beforeAutospacing="off" w:after="299" w:afterAutospacing="off"/>
      </w:pPr>
      <w:r w:rsidRPr="458E7362" w:rsidR="458E7362">
        <w:rPr>
          <w:rFonts w:ascii="Aptos" w:hAnsi="Aptos" w:eastAsia="Aptos" w:cs="Aptos"/>
          <w:b w:val="1"/>
          <w:bCs w:val="1"/>
          <w:sz w:val="36"/>
          <w:szCs w:val="36"/>
        </w:rPr>
        <w:t>PART 2 — Responses to counterarguments against "Financial Stabilization"</w:t>
      </w:r>
    </w:p>
    <w:p w:rsidR="6C8B6F3E" w:rsidP="6C8B6F3E" w:rsidRDefault="6C8B6F3E" w14:paraId="08C95254" w14:noSpellErr="1" w14:textId="1ABAEDA4">
      <w:pPr>
        <w:spacing w:before="240" w:beforeAutospacing="off" w:after="240" w:afterAutospacing="off"/>
      </w:pPr>
      <w:r w:rsidRPr="458E7362" w:rsidR="458E7362">
        <w:rPr>
          <w:rFonts w:ascii="Aptos" w:hAnsi="Aptos" w:eastAsia="Aptos" w:cs="Aptos"/>
          <w:sz w:val="22"/>
          <w:szCs w:val="22"/>
        </w:rPr>
        <w:t>The strongest opposition attack targets the core of your claim:</w:t>
      </w:r>
    </w:p>
    <w:p w:rsidR="6C8B6F3E" w:rsidP="6C8B6F3E" w:rsidRDefault="6C8B6F3E" w14:paraId="48FC6267" w14:noSpellErr="1" w14:textId="448C1885">
      <w:pPr>
        <w:spacing w:before="240" w:beforeAutospacing="off" w:after="240" w:afterAutospacing="off"/>
      </w:pPr>
      <w:r w:rsidRPr="458E7362" w:rsidR="458E7362">
        <w:rPr>
          <w:rFonts w:ascii="Aptos" w:hAnsi="Aptos" w:eastAsia="Aptos" w:cs="Aptos"/>
          <w:b w:val="1"/>
          <w:bCs w:val="1"/>
          <w:sz w:val="22"/>
          <w:szCs w:val="22"/>
        </w:rPr>
        <w:t>"Stabilization is an illusion — you won't be rescued, you'll be dismantled."</w:t>
      </w:r>
      <w:r>
        <w:br/>
      </w:r>
      <w:r w:rsidRPr="458E7362" w:rsidR="458E7362">
        <w:rPr>
          <w:rFonts w:ascii="Aptos" w:hAnsi="Aptos" w:eastAsia="Aptos" w:cs="Aptos"/>
          <w:sz w:val="22"/>
          <w:szCs w:val="22"/>
        </w:rPr>
        <w:t xml:space="preserve"> </w:t>
      </w:r>
      <w:r w:rsidRPr="458E7362" w:rsidR="458E7362">
        <w:rPr>
          <w:rFonts w:ascii="Aptos" w:hAnsi="Aptos" w:eastAsia="Aptos" w:cs="Aptos"/>
          <w:i w:val="1"/>
          <w:iCs w:val="1"/>
          <w:sz w:val="22"/>
          <w:szCs w:val="22"/>
        </w:rPr>
        <w:t>The market leader is no white knight. It acquires a struggling competitor not out of charity, but to eliminate rivalry and consolidate capacity. Fresh capital flows in briefly, but then the acquired company is restructured — site relocated, production absorbed into the buyer's plants, R&amp;D cut, jobs eliminated. What is sold as a rescue is in fact the controlled wind-down of a competitor. The stability belongs to the buyer, not to your company or its workforce.</w:t>
      </w:r>
      <w:r>
        <w:rPr>
          <w:b/>
        </w:rPr>
        <w:t xml:space="preserve"> [6]</w:t>
      </w:r>
    </w:p>
    <w:p w:rsidR="6C8B6F3E" w:rsidP="6C8B6F3E" w:rsidRDefault="6C8B6F3E" w14:paraId="0BFA6280" w14:noSpellErr="1" w14:textId="01438CDC">
      <w:pPr>
        <w:spacing w:before="240" w:beforeAutospacing="off" w:after="240" w:afterAutospacing="off"/>
      </w:pPr>
      <w:r w:rsidRPr="458E7362" w:rsidR="458E7362">
        <w:rPr>
          <w:rFonts w:ascii="Aptos" w:hAnsi="Aptos" w:eastAsia="Aptos" w:cs="Aptos"/>
          <w:sz w:val="22"/>
          <w:szCs w:val="22"/>
        </w:rPr>
        <w:t>Your layered counter:</w:t>
      </w:r>
    </w:p>
    <w:p w:rsidR="6C8B6F3E" w:rsidP="6C8B6F3E" w:rsidRDefault="6C8B6F3E" w14:paraId="4E1C4B92" w14:noSpellErr="1" w14:textId="7A475EA9">
      <w:pPr>
        <w:spacing w:before="240" w:beforeAutospacing="off" w:after="240" w:afterAutospacing="off"/>
      </w:pPr>
      <w:r w:rsidRPr="458E7362" w:rsidR="458E7362">
        <w:rPr>
          <w:rFonts w:ascii="Aptos" w:hAnsi="Aptos" w:eastAsia="Aptos" w:cs="Aptos"/>
          <w:b w:val="1"/>
          <w:bCs w:val="1"/>
          <w:sz w:val="22"/>
          <w:szCs w:val="22"/>
        </w:rPr>
        <w:t>1. Flip the time horizon (most important counter).</w:t>
      </w:r>
      <w:r>
        <w:br/>
      </w:r>
      <w:r w:rsidRPr="458E7362" w:rsidR="458E7362">
        <w:rPr>
          <w:rFonts w:ascii="Aptos" w:hAnsi="Aptos" w:eastAsia="Aptos" w:cs="Aptos"/>
          <w:sz w:val="22"/>
          <w:szCs w:val="22"/>
        </w:rPr>
        <w:t xml:space="preserve"> The opposition compares the acquisition to an ideal, healthy company. That is the wrong benchmark. The correct comparison is acquisition </w:t>
      </w:r>
      <w:r w:rsidRPr="458E7362" w:rsidR="458E7362">
        <w:rPr>
          <w:rFonts w:ascii="Aptos" w:hAnsi="Aptos" w:eastAsia="Aptos" w:cs="Aptos"/>
          <w:i w:val="1"/>
          <w:iCs w:val="1"/>
          <w:sz w:val="22"/>
          <w:szCs w:val="22"/>
        </w:rPr>
        <w:t>versus insolvency</w:t>
      </w:r>
      <w:r w:rsidRPr="458E7362" w:rsidR="458E7362">
        <w:rPr>
          <w:rFonts w:ascii="Aptos" w:hAnsi="Aptos" w:eastAsia="Aptos" w:cs="Aptos"/>
          <w:sz w:val="22"/>
          <w:szCs w:val="22"/>
        </w:rPr>
        <w:t xml:space="preserve">. In insolvency, restructuring is not a risk — it is a guarantee, only without capital, without bargaining power, and with the total loss of every job. An acquisition that preserves </w:t>
      </w:r>
      <w:r w:rsidRPr="458E7362" w:rsidR="458E7362">
        <w:rPr>
          <w:rFonts w:ascii="Aptos" w:hAnsi="Aptos" w:eastAsia="Aptos" w:cs="Aptos"/>
          <w:i w:val="1"/>
          <w:iCs w:val="1"/>
          <w:sz w:val="22"/>
          <w:szCs w:val="22"/>
        </w:rPr>
        <w:t>part</w:t>
      </w:r>
      <w:r w:rsidRPr="458E7362" w:rsidR="458E7362">
        <w:rPr>
          <w:rFonts w:ascii="Aptos" w:hAnsi="Aptos" w:eastAsia="Aptos" w:cs="Aptos"/>
          <w:sz w:val="22"/>
          <w:szCs w:val="22"/>
        </w:rPr>
        <w:t xml:space="preserve"> beats an insolvency that preserves </w:t>
      </w:r>
      <w:r w:rsidRPr="458E7362" w:rsidR="458E7362">
        <w:rPr>
          <w:rFonts w:ascii="Aptos" w:hAnsi="Aptos" w:eastAsia="Aptos" w:cs="Aptos"/>
          <w:i w:val="1"/>
          <w:iCs w:val="1"/>
          <w:sz w:val="22"/>
          <w:szCs w:val="22"/>
        </w:rPr>
        <w:t>nothing</w:t>
      </w:r>
      <w:r w:rsidRPr="458E7362" w:rsidR="458E7362">
        <w:rPr>
          <w:rFonts w:ascii="Aptos" w:hAnsi="Aptos" w:eastAsia="Aptos" w:cs="Aptos"/>
          <w:sz w:val="22"/>
          <w:szCs w:val="22"/>
        </w:rPr>
        <w:t>.</w:t>
      </w:r>
      <w:r>
        <w:rPr>
          <w:b/>
        </w:rPr>
        <w:t xml:space="preserve"> [5, 7]</w:t>
      </w:r>
    </w:p>
    <w:p w:rsidR="6C8B6F3E" w:rsidP="6C8B6F3E" w:rsidRDefault="6C8B6F3E" w14:paraId="0CA45E5E" w14:noSpellErr="1" w14:textId="66727E19">
      <w:pPr>
        <w:spacing w:before="240" w:beforeAutospacing="off" w:after="240" w:afterAutospacing="off"/>
      </w:pPr>
      <w:r w:rsidRPr="458E7362" w:rsidR="458E7362">
        <w:rPr>
          <w:rFonts w:ascii="Aptos" w:hAnsi="Aptos" w:eastAsia="Aptos" w:cs="Aptos"/>
          <w:b w:val="1"/>
          <w:bCs w:val="1"/>
          <w:sz w:val="22"/>
          <w:szCs w:val="22"/>
        </w:rPr>
        <w:t>2. Question the buyer's incentives.</w:t>
      </w:r>
      <w:r>
        <w:br/>
      </w:r>
      <w:r w:rsidRPr="458E7362" w:rsidR="458E7362">
        <w:rPr>
          <w:rFonts w:ascii="Aptos" w:hAnsi="Aptos" w:eastAsia="Aptos" w:cs="Aptos"/>
          <w:sz w:val="22"/>
          <w:szCs w:val="22"/>
        </w:rPr>
        <w:t xml:space="preserve"> Why would a market leader inject capital into a firm only to shut it down immediately? That would be economically nonsensical. When it buys us, it buys our orders, customer relationships, skilled workforce, and functioning assembly lines. Destroying that destroys the very value it paid for. The thesis "buy in order to destroy" assumes irrational behavior.</w:t>
      </w:r>
      <w:r>
        <w:rPr>
          <w:b/>
        </w:rPr>
        <w:t xml:space="preserve"> [8, 9]</w:t>
      </w:r>
    </w:p>
    <w:p w:rsidR="6C8B6F3E" w:rsidP="6C8B6F3E" w:rsidRDefault="6C8B6F3E" w14:paraId="35F7DE64" w14:noSpellErr="1" w14:textId="679FEB2F">
      <w:pPr>
        <w:spacing w:before="240" w:beforeAutospacing="off" w:after="240" w:afterAutospacing="off"/>
      </w:pPr>
      <w:r w:rsidRPr="458E7362" w:rsidR="458E7362">
        <w:rPr>
          <w:rFonts w:ascii="Aptos" w:hAnsi="Aptos" w:eastAsia="Aptos" w:cs="Aptos"/>
          <w:b w:val="1"/>
          <w:bCs w:val="1"/>
          <w:sz w:val="22"/>
          <w:szCs w:val="22"/>
        </w:rPr>
        <w:t>3. Emphasize negotiating leverage.</w:t>
      </w:r>
      <w:r>
        <w:br/>
      </w:r>
      <w:r w:rsidRPr="458E7362" w:rsidR="458E7362">
        <w:rPr>
          <w:rFonts w:ascii="Aptos" w:hAnsi="Aptos" w:eastAsia="Aptos" w:cs="Aptos"/>
          <w:sz w:val="22"/>
          <w:szCs w:val="22"/>
        </w:rPr>
        <w:t xml:space="preserve"> With </w:t>
      </w:r>
      <w:r w:rsidRPr="458E7362" w:rsidR="458E7362">
        <w:rPr>
          <w:rFonts w:ascii="Aptos" w:hAnsi="Aptos" w:eastAsia="Aptos" w:cs="Aptos"/>
          <w:i w:val="1"/>
          <w:iCs w:val="1"/>
          <w:sz w:val="22"/>
          <w:szCs w:val="22"/>
        </w:rPr>
        <w:t>moderate</w:t>
      </w:r>
      <w:r w:rsidRPr="458E7362" w:rsidR="458E7362">
        <w:rPr>
          <w:rFonts w:ascii="Aptos" w:hAnsi="Aptos" w:eastAsia="Aptos" w:cs="Aptos"/>
          <w:sz w:val="22"/>
          <w:szCs w:val="22"/>
        </w:rPr>
        <w:t xml:space="preserve"> distress — not acute insolvency — we still have bargaining power. Site guarantees, employment protection, and investment commitments can be locked into the contract. That is precisely why we should negotiate </w:t>
      </w:r>
      <w:r w:rsidRPr="458E7362" w:rsidR="458E7362">
        <w:rPr>
          <w:rFonts w:ascii="Aptos" w:hAnsi="Aptos" w:eastAsia="Aptos" w:cs="Aptos"/>
          <w:i w:val="1"/>
          <w:iCs w:val="1"/>
          <w:sz w:val="22"/>
          <w:szCs w:val="22"/>
        </w:rPr>
        <w:t>now</w:t>
      </w:r>
      <w:r w:rsidRPr="458E7362" w:rsidR="458E7362">
        <w:rPr>
          <w:rFonts w:ascii="Aptos" w:hAnsi="Aptos" w:eastAsia="Aptos" w:cs="Aptos"/>
          <w:sz w:val="22"/>
          <w:szCs w:val="22"/>
        </w:rPr>
        <w:t>, from strength, rather than later from desperation, when we can enforce nothing.</w:t>
      </w:r>
      <w:r>
        <w:rPr>
          <w:b/>
        </w:rPr>
        <w:t xml:space="preserve"> [7, 15]</w:t>
      </w:r>
    </w:p>
    <w:p w:rsidR="6C8B6F3E" w:rsidP="6C8B6F3E" w:rsidRDefault="6C8B6F3E" w14:paraId="460C19E9" w14:noSpellErr="1" w14:textId="33049FAB">
      <w:pPr>
        <w:spacing w:before="240" w:beforeAutospacing="off" w:after="240" w:afterAutospacing="off"/>
      </w:pPr>
      <w:r w:rsidRPr="458E7362" w:rsidR="458E7362">
        <w:rPr>
          <w:rFonts w:ascii="Aptos" w:hAnsi="Aptos" w:eastAsia="Aptos" w:cs="Aptos"/>
          <w:b w:val="1"/>
          <w:bCs w:val="1"/>
          <w:sz w:val="22"/>
          <w:szCs w:val="22"/>
        </w:rPr>
        <w:t>4. Reverse the burden of proof.</w:t>
      </w:r>
      <w:r>
        <w:br/>
      </w:r>
      <w:r w:rsidRPr="458E7362" w:rsidR="458E7362">
        <w:rPr>
          <w:rFonts w:ascii="Aptos" w:hAnsi="Aptos" w:eastAsia="Aptos" w:cs="Aptos"/>
          <w:sz w:val="22"/>
          <w:szCs w:val="22"/>
        </w:rPr>
        <w:t xml:space="preserve"> The opposition works with a worst-case scenario, with no evidence that </w:t>
      </w:r>
      <w:r w:rsidRPr="458E7362" w:rsidR="458E7362">
        <w:rPr>
          <w:rFonts w:ascii="Aptos" w:hAnsi="Aptos" w:eastAsia="Aptos" w:cs="Aptos"/>
          <w:i w:val="1"/>
          <w:iCs w:val="1"/>
          <w:sz w:val="22"/>
          <w:szCs w:val="22"/>
        </w:rPr>
        <w:t>this particular</w:t>
      </w:r>
      <w:r w:rsidRPr="458E7362" w:rsidR="458E7362">
        <w:rPr>
          <w:rFonts w:ascii="Aptos" w:hAnsi="Aptos" w:eastAsia="Aptos" w:cs="Aptos"/>
          <w:sz w:val="22"/>
          <w:szCs w:val="22"/>
        </w:rPr>
        <w:t xml:space="preserve"> buyer will act that way. It must show why the alternative — staying independent with a shrinking capital base — is more survivable. If it cannot, this remains speculation against a real liquidity problem.</w:t>
      </w:r>
      <w:r>
        <w:rPr>
          <w:b/>
        </w:rPr>
        <w:t xml:space="preserve"> [7]</w:t>
      </w:r>
    </w:p>
    <w:p w:rsidR="6C8B6F3E" w:rsidP="6C8B6F3E" w:rsidRDefault="6C8B6F3E" w14:paraId="621BE68C" w14:noSpellErr="1" w14:textId="734FFEFD">
      <w:pPr>
        <w:spacing w:before="240" w:beforeAutospacing="off" w:after="240" w:afterAutospacing="off"/>
      </w:pPr>
      <w:r w:rsidRPr="458E7362" w:rsidR="458E7362">
        <w:rPr>
          <w:rFonts w:ascii="Aptos" w:hAnsi="Aptos" w:eastAsia="Aptos" w:cs="Aptos"/>
          <w:b w:val="1"/>
          <w:bCs w:val="1"/>
          <w:sz w:val="22"/>
          <w:szCs w:val="22"/>
        </w:rPr>
        <w:t>One-sentence killer for the exchange:</w:t>
      </w:r>
    </w:p>
    <w:p w:rsidR="6C8B6F3E" w:rsidP="6C8B6F3E" w:rsidRDefault="6C8B6F3E" w14:paraId="4BB88AF9" w14:noSpellErr="1" w14:textId="0E7DBBC0">
      <w:pPr>
        <w:spacing w:before="240" w:beforeAutospacing="off" w:after="240" w:afterAutospacing="off"/>
      </w:pPr>
      <w:r w:rsidRPr="458E7362" w:rsidR="458E7362">
        <w:rPr>
          <w:rFonts w:ascii="Aptos" w:hAnsi="Aptos" w:eastAsia="Aptos" w:cs="Aptos"/>
          <w:sz w:val="22"/>
          <w:szCs w:val="22"/>
        </w:rPr>
        <w:t>"My colleague describes the risks of an acquisition — I describe the certainties of an insolvency. A solvable risk beats certain collapse."</w:t>
      </w:r>
    </w:p>
    <w:p w:rsidR="6C8B6F3E" w:rsidP="6C8B6F3E" w:rsidRDefault="6C8B6F3E" w14:paraId="0F0B4677" w14:noSpellErr="1" w14:textId="1B929C6D">
      <w:pPr>
        <w:spacing w:before="240" w:beforeAutospacing="off" w:after="240" w:afterAutospacing="off"/>
      </w:pPr>
      <w:r w:rsidRPr="458E7362" w:rsidR="458E7362">
        <w:rPr>
          <w:rFonts w:ascii="Aptos" w:hAnsi="Aptos" w:eastAsia="Aptos" w:cs="Aptos"/>
          <w:sz w:val="22"/>
          <w:szCs w:val="22"/>
        </w:rPr>
        <w:t>Two more likely opposition lines specific to the financial argument:</w:t>
      </w:r>
    </w:p>
    <w:p w:rsidR="6C8B6F3E" w:rsidP="6C8B6F3E" w:rsidRDefault="6C8B6F3E" w14:paraId="284F98E0" w14:noSpellErr="1" w14:textId="6D9B0377">
      <w:pPr>
        <w:spacing w:before="240" w:beforeAutospacing="off" w:after="240" w:afterAutospacing="off"/>
      </w:pPr>
      <w:r w:rsidRPr="458E7362" w:rsidR="458E7362">
        <w:rPr>
          <w:rFonts w:ascii="Aptos" w:hAnsi="Aptos" w:eastAsia="Aptos" w:cs="Aptos"/>
          <w:b w:val="1"/>
          <w:bCs w:val="1"/>
          <w:sz w:val="22"/>
          <w:szCs w:val="22"/>
        </w:rPr>
        <w:t>"Antitrust review delays the rescue."</w:t>
      </w:r>
      <w:r w:rsidRPr="458E7362" w:rsidR="458E7362">
        <w:rPr>
          <w:rFonts w:ascii="Aptos" w:hAnsi="Aptos" w:eastAsia="Aptos" w:cs="Aptos"/>
          <w:sz w:val="22"/>
          <w:szCs w:val="22"/>
        </w:rPr>
        <w:t xml:space="preserve"> — A market leader swallowing a competitor must clear the Federal Cartel Office; that takes time and blocks exactly the capital we urgently need.</w:t>
      </w:r>
      <w:r>
        <w:br/>
      </w:r>
      <w:r w:rsidRPr="458E7362" w:rsidR="458E7362">
        <w:rPr>
          <w:rFonts w:ascii="Aptos" w:hAnsi="Aptos" w:eastAsia="Aptos" w:cs="Aptos"/>
          <w:sz w:val="22"/>
          <w:szCs w:val="22"/>
        </w:rPr>
        <w:t xml:space="preserve"> → Counter: A real point, but clearances with conditions are standard and predictable; the alternative (no deal) brings no capital at all, neither fast nor slow.</w:t>
      </w:r>
      <w:r>
        <w:rPr>
          <w:b/>
        </w:rPr>
        <w:t xml:space="preserve"> [16, 17]</w:t>
      </w:r>
    </w:p>
    <w:p w:rsidR="6C8B6F3E" w:rsidP="6C8B6F3E" w:rsidRDefault="6C8B6F3E" w14:paraId="1510E495" w14:noSpellErr="1" w14:textId="3FD98C4E">
      <w:pPr>
        <w:spacing w:before="240" w:beforeAutospacing="off" w:after="240" w:afterAutospacing="off"/>
      </w:pPr>
      <w:r w:rsidRPr="458E7362" w:rsidR="458E7362">
        <w:rPr>
          <w:rFonts w:ascii="Aptos" w:hAnsi="Aptos" w:eastAsia="Aptos" w:cs="Aptos"/>
          <w:b w:val="1"/>
          <w:bCs w:val="1"/>
          <w:sz w:val="22"/>
          <w:szCs w:val="22"/>
        </w:rPr>
        <w:t>"You're selling your entire future upside at the bottom."</w:t>
      </w:r>
      <w:r w:rsidRPr="458E7362" w:rsidR="458E7362">
        <w:rPr>
          <w:rFonts w:ascii="Aptos" w:hAnsi="Aptos" w:eastAsia="Aptos" w:cs="Aptos"/>
          <w:sz w:val="22"/>
          <w:szCs w:val="22"/>
        </w:rPr>
        <w:t xml:space="preserve"> — Whoever sells now hands the returns of the e-mobility transition to the buyer.</w:t>
      </w:r>
      <w:r>
        <w:br/>
      </w:r>
      <w:r w:rsidRPr="458E7362" w:rsidR="458E7362">
        <w:rPr>
          <w:rFonts w:ascii="Aptos" w:hAnsi="Aptos" w:eastAsia="Aptos" w:cs="Aptos"/>
          <w:sz w:val="22"/>
          <w:szCs w:val="22"/>
        </w:rPr>
        <w:t xml:space="preserve"> → Counter: Upside presupposes survival. A future gain you never realize for lack of capital is worthless — a stake in a stable group is worth more than 100% of an insolvent firm.</w:t>
      </w:r>
      <w:r>
        <w:rPr>
          <w:b/>
        </w:rPr>
        <w:t xml:space="preserve"> [1, 10]</w:t>
      </w:r>
    </w:p>
    <w:p w:rsidR="6C8B6F3E" w:rsidRDefault="6C8B6F3E" w14:paraId="5A108658" w14:textId="28D3667A"/>
    <w:p/>
    <w:p>
      <w:r>
        <w:rPr>
          <w:b/>
        </w:rPr>
        <w:t>Sources — Part 1 &amp; 2 (Financial Stabilization)</w:t>
      </w:r>
    </w:p>
    <w:p>
      <w:r>
        <w:t>[1] Lewellen, W. G. (1971): A Pure Financial Rationale for the Conglomerate Merger. Journal of Finance 26(2), 521–537.</w:t>
      </w:r>
    </w:p>
    <w:p>
      <w:r>
        <w:t>[2] Myers, S. C. / Majluf, N. S. (1984): Corporate Financing and Investment Decisions When Firms Have Information That Investors Do Not Have. Journal of Financial Economics 13(2), 187–221.</w:t>
      </w:r>
    </w:p>
    <w:p>
      <w:r>
        <w:t>[3] Markowitz, H. (1952): Portfolio Selection. Journal of Finance 7(1), 77–91.</w:t>
      </w:r>
    </w:p>
    <w:p>
      <w:r>
        <w:t>[4] Higgins, R. C. / Schall, L. D. (1975): Corporate Bankruptcy and Conglomerate Merger. Journal of Finance 30(1), 93–113.</w:t>
      </w:r>
    </w:p>
    <w:p>
      <w:r>
        <w:t>[5] Shrieves, R. E. / Stevens, D. L. (1979): Bankruptcy Avoidance as a Motive for Merger. Journal of Financial and Quantitative Analysis 14(3), 501–515.</w:t>
      </w:r>
    </w:p>
    <w:p>
      <w:r>
        <w:t>[6] Clark, K. / Ofek, E. (1994): Mergers as a Means of Restructuring Distressed Firms: An Empirical Investigation. Journal of Financial and Quantitative Analysis 29(4), 541–565.</w:t>
      </w:r>
    </w:p>
    <w:p>
      <w:r>
        <w:t>[7] Andrade, G. / Kaplan, S. N. (1998): How Costly is Financial (not Economic) Distress? Journal of Finance 53(5), 1443–1493.</w:t>
      </w:r>
    </w:p>
    <w:p>
      <w:r>
        <w:t>[8] Manne, H. G. (1965): Mergers and the Market for Corporate Control. Journal of Political Economy 73(2), 110–120.</w:t>
      </w:r>
    </w:p>
    <w:p>
      <w:r>
        <w:t>[9] Jensen, M. C. (1986): Agency Costs of Free Cash Flow, Corporate Finance, and Takeovers. American Economic Review 76(2), 323–329.</w:t>
      </w:r>
    </w:p>
    <w:p>
      <w:r>
        <w:t>[10] Damodaran, A.: The Value of Synergy. Working Paper, NYU Stern School of Business.</w:t>
      </w:r>
    </w:p>
    <w:p>
      <w:r>
        <w:t>[11] Perridon, L. / Steiner, M. / Rathgeber, A.: Finanzwirtschaft der Unternehmung. Vahlen, München.</w:t>
      </w:r>
    </w:p>
    <w:p>
      <w:r>
        <w:t>[13] Wirtz, B. W.: Mergers &amp; Acquisitions Management. Springer Gabler, Wiesbaden.</w:t>
      </w:r>
    </w:p>
    <w:p>
      <w:r>
        <w:t>[15] DePamphilis, D.: Mergers, Acquisitions, and Other Restructuring Activities. Academic Press.</w:t>
      </w:r>
    </w:p>
    <w:p>
      <w:r>
        <w:t>[16] Gesetz gegen Wettbewerbsbeschränkungen (GWB), §§ 35 ff. – Zusammenschlusskontrolle.</w:t>
      </w:r>
    </w:p>
    <w:p>
      <w:r>
        <w:t>[17] Verordnung (EG) Nr. 139/2004 des Rates (EU-Fusionskontrollverordnung).</w:t>
      </w:r>
    </w:p>
    <w:p w:rsidR="6C8B6F3E" w:rsidP="6C8B6F3E" w:rsidRDefault="6C8B6F3E" w14:paraId="2C4DA6EF" w14:textId="18DF0262">
      <w:pPr>
        <w:pStyle w:val="Heading2"/>
        <w:spacing w:before="299" w:beforeAutospacing="off" w:after="299" w:afterAutospacing="off"/>
      </w:pPr>
      <w:r w:rsidRPr="6C8B6F3E" w:rsidR="6C8B6F3E">
        <w:rPr>
          <w:rFonts w:ascii="Aptos" w:hAnsi="Aptos" w:eastAsia="Aptos" w:cs="Aptos"/>
          <w:b w:val="1"/>
          <w:bCs w:val="1"/>
          <w:sz w:val="36"/>
          <w:szCs w:val="36"/>
        </w:rPr>
        <w:t>PART 3 — Responses to general counterarguments against the acquisition</w:t>
      </w:r>
    </w:p>
    <w:p w:rsidR="6C8B6F3E" w:rsidP="6C8B6F3E" w:rsidRDefault="6C8B6F3E" w14:paraId="2187F3B6" w14:textId="5FDCAC10">
      <w:pPr>
        <w:spacing w:before="240" w:beforeAutospacing="off" w:after="240" w:afterAutospacing="off"/>
      </w:pPr>
      <w:r w:rsidRPr="6C8B6F3E" w:rsidR="6C8B6F3E">
        <w:rPr>
          <w:rFonts w:ascii="Aptos" w:hAnsi="Aptos" w:eastAsia="Aptos" w:cs="Aptos"/>
          <w:b w:val="1"/>
          <w:bCs w:val="1"/>
          <w:sz w:val="22"/>
          <w:szCs w:val="22"/>
        </w:rPr>
        <w:t>1. Control &amp; Independence</w:t>
      </w:r>
    </w:p>
    <w:p w:rsidR="6C8B6F3E" w:rsidP="6C8B6F3E" w:rsidRDefault="6C8B6F3E" w14:paraId="6766DFE0" w14:textId="0F005817">
      <w:pPr>
        <w:spacing w:before="240" w:beforeAutospacing="off" w:after="240" w:afterAutospacing="off"/>
      </w:pPr>
      <w:r w:rsidRPr="6C8B6F3E" w:rsidR="6C8B6F3E">
        <w:rPr>
          <w:rFonts w:ascii="Aptos" w:hAnsi="Aptos" w:eastAsia="Aptos" w:cs="Aptos"/>
          <w:b w:val="1"/>
          <w:bCs w:val="1"/>
          <w:sz w:val="22"/>
          <w:szCs w:val="22"/>
        </w:rPr>
        <w:t>"Loss of entrepreneurial autonomy"</w:t>
      </w:r>
      <w:r w:rsidRPr="6C8B6F3E" w:rsidR="6C8B6F3E">
        <w:rPr>
          <w:rFonts w:ascii="Aptos" w:hAnsi="Aptos" w:eastAsia="Aptos" w:cs="Aptos"/>
          <w:sz w:val="22"/>
          <w:szCs w:val="22"/>
        </w:rPr>
        <w:t xml:space="preserve"> — We hand over strategic decision-making entirely; decisions move to group headquarters, not us.</w:t>
      </w:r>
      <w:r>
        <w:br/>
      </w:r>
      <w:r w:rsidRPr="6C8B6F3E" w:rsidR="6C8B6F3E">
        <w:rPr>
          <w:rFonts w:ascii="Aptos" w:hAnsi="Aptos" w:eastAsia="Aptos" w:cs="Aptos"/>
          <w:sz w:val="22"/>
          <w:szCs w:val="22"/>
        </w:rPr>
        <w:t xml:space="preserve"> → Counter: Autonomy presupposes solvency. A company paralyzed in insolvency has </w:t>
      </w:r>
      <w:r w:rsidRPr="6C8B6F3E" w:rsidR="6C8B6F3E">
        <w:rPr>
          <w:rFonts w:ascii="Aptos" w:hAnsi="Aptos" w:eastAsia="Aptos" w:cs="Aptos"/>
          <w:i w:val="1"/>
          <w:iCs w:val="1"/>
          <w:sz w:val="22"/>
          <w:szCs w:val="22"/>
        </w:rPr>
        <w:t>no</w:t>
      </w:r>
      <w:r w:rsidRPr="6C8B6F3E" w:rsidR="6C8B6F3E">
        <w:rPr>
          <w:rFonts w:ascii="Aptos" w:hAnsi="Aptos" w:eastAsia="Aptos" w:cs="Aptos"/>
          <w:sz w:val="22"/>
          <w:szCs w:val="22"/>
        </w:rPr>
        <w:t xml:space="preserve"> decision-making power at all. We trade theoretical freedom for real survivability.</w:t>
      </w:r>
    </w:p>
    <w:p w:rsidR="6C8B6F3E" w:rsidP="6C8B6F3E" w:rsidRDefault="6C8B6F3E" w14:paraId="322AA4F2" w14:textId="7438903F">
      <w:pPr>
        <w:spacing w:before="240" w:beforeAutospacing="off" w:after="240" w:afterAutospacing="off"/>
      </w:pPr>
      <w:r w:rsidRPr="6C8B6F3E" w:rsidR="6C8B6F3E">
        <w:rPr>
          <w:rFonts w:ascii="Aptos" w:hAnsi="Aptos" w:eastAsia="Aptos" w:cs="Aptos"/>
          <w:b w:val="1"/>
          <w:bCs w:val="1"/>
          <w:sz w:val="22"/>
          <w:szCs w:val="22"/>
        </w:rPr>
        <w:t>"Loss of brand and identity"</w:t>
      </w:r>
      <w:r w:rsidRPr="6C8B6F3E" w:rsidR="6C8B6F3E">
        <w:rPr>
          <w:rFonts w:ascii="Aptos" w:hAnsi="Aptos" w:eastAsia="Aptos" w:cs="Aptos"/>
          <w:sz w:val="22"/>
          <w:szCs w:val="22"/>
        </w:rPr>
        <w:t xml:space="preserve"> — The tradition-rich name, site culture, and customer loyalty vanish into the group.</w:t>
      </w:r>
      <w:r>
        <w:br/>
      </w:r>
      <w:r w:rsidRPr="6C8B6F3E" w:rsidR="6C8B6F3E">
        <w:rPr>
          <w:rFonts w:ascii="Aptos" w:hAnsi="Aptos" w:eastAsia="Aptos" w:cs="Aptos"/>
          <w:sz w:val="22"/>
          <w:szCs w:val="22"/>
        </w:rPr>
        <w:t xml:space="preserve"> → Counter: Brands are assets the buyer paid dearly for — it has every incentive to preserve them, not destroy them. And a brand that goes into insolvency is lost anyway.</w:t>
      </w:r>
    </w:p>
    <w:p w:rsidR="6C8B6F3E" w:rsidP="6C8B6F3E" w:rsidRDefault="6C8B6F3E" w14:paraId="0DE3170E" w14:textId="5DDD57E5">
      <w:pPr>
        <w:spacing w:before="240" w:beforeAutospacing="off" w:after="240" w:afterAutospacing="off"/>
      </w:pPr>
      <w:r w:rsidRPr="6C8B6F3E" w:rsidR="6C8B6F3E">
        <w:rPr>
          <w:rFonts w:ascii="Aptos" w:hAnsi="Aptos" w:eastAsia="Aptos" w:cs="Aptos"/>
          <w:b w:val="1"/>
          <w:bCs w:val="1"/>
          <w:sz w:val="22"/>
          <w:szCs w:val="22"/>
        </w:rPr>
        <w:t>2. Workforce &amp; Site</w:t>
      </w:r>
    </w:p>
    <w:p w:rsidR="6C8B6F3E" w:rsidP="6C8B6F3E" w:rsidRDefault="6C8B6F3E" w14:paraId="78359420" w14:textId="062AD2CA">
      <w:pPr>
        <w:spacing w:before="240" w:beforeAutospacing="off" w:after="240" w:afterAutospacing="off"/>
      </w:pPr>
      <w:r w:rsidRPr="6C8B6F3E" w:rsidR="6C8B6F3E">
        <w:rPr>
          <w:rFonts w:ascii="Aptos" w:hAnsi="Aptos" w:eastAsia="Aptos" w:cs="Aptos"/>
          <w:b w:val="1"/>
          <w:bCs w:val="1"/>
          <w:sz w:val="22"/>
          <w:szCs w:val="22"/>
        </w:rPr>
        <w:t>"Job cuts through synergies"</w:t>
      </w:r>
      <w:r w:rsidRPr="6C8B6F3E" w:rsidR="6C8B6F3E">
        <w:rPr>
          <w:rFonts w:ascii="Aptos" w:hAnsi="Aptos" w:eastAsia="Aptos" w:cs="Aptos"/>
          <w:sz w:val="22"/>
          <w:szCs w:val="22"/>
        </w:rPr>
        <w:t xml:space="preserve"> — "Synergies" is a euphemism for layoffs; duplicate functions get cut.</w:t>
      </w:r>
      <w:r>
        <w:br/>
      </w:r>
      <w:r w:rsidRPr="6C8B6F3E" w:rsidR="6C8B6F3E">
        <w:rPr>
          <w:rFonts w:ascii="Aptos" w:hAnsi="Aptos" w:eastAsia="Aptos" w:cs="Aptos"/>
          <w:sz w:val="22"/>
          <w:szCs w:val="22"/>
        </w:rPr>
        <w:t xml:space="preserve"> → Counter: Insolvency costs </w:t>
      </w:r>
      <w:r w:rsidRPr="6C8B6F3E" w:rsidR="6C8B6F3E">
        <w:rPr>
          <w:rFonts w:ascii="Aptos" w:hAnsi="Aptos" w:eastAsia="Aptos" w:cs="Aptos"/>
          <w:i w:val="1"/>
          <w:iCs w:val="1"/>
          <w:sz w:val="22"/>
          <w:szCs w:val="22"/>
        </w:rPr>
        <w:t>all</w:t>
      </w:r>
      <w:r w:rsidRPr="6C8B6F3E" w:rsidR="6C8B6F3E">
        <w:rPr>
          <w:rFonts w:ascii="Aptos" w:hAnsi="Aptos" w:eastAsia="Aptos" w:cs="Aptos"/>
          <w:sz w:val="22"/>
          <w:szCs w:val="22"/>
        </w:rPr>
        <w:t xml:space="preserve"> jobs; an acquisition preserves the core. And with moderate distress, employment guarantees can be locked into the contract.</w:t>
      </w:r>
    </w:p>
    <w:p w:rsidR="6C8B6F3E" w:rsidP="6C8B6F3E" w:rsidRDefault="6C8B6F3E" w14:paraId="0317A247" w14:textId="6F69F39E">
      <w:pPr>
        <w:spacing w:before="240" w:beforeAutospacing="off" w:after="240" w:afterAutospacing="off"/>
      </w:pPr>
      <w:r w:rsidRPr="6C8B6F3E" w:rsidR="6C8B6F3E">
        <w:rPr>
          <w:rFonts w:ascii="Aptos" w:hAnsi="Aptos" w:eastAsia="Aptos" w:cs="Aptos"/>
          <w:b w:val="1"/>
          <w:bCs w:val="1"/>
          <w:sz w:val="22"/>
          <w:szCs w:val="22"/>
        </w:rPr>
        <w:t>"Site relocation / plant closure"</w:t>
      </w:r>
      <w:r w:rsidRPr="6C8B6F3E" w:rsidR="6C8B6F3E">
        <w:rPr>
          <w:rFonts w:ascii="Aptos" w:hAnsi="Aptos" w:eastAsia="Aptos" w:cs="Aptos"/>
          <w:sz w:val="22"/>
          <w:szCs w:val="22"/>
        </w:rPr>
        <w:t xml:space="preserve"> — Production moves to the buyer's existing plants.</w:t>
      </w:r>
      <w:r>
        <w:br/>
      </w:r>
      <w:r w:rsidRPr="6C8B6F3E" w:rsidR="6C8B6F3E">
        <w:rPr>
          <w:rFonts w:ascii="Aptos" w:hAnsi="Aptos" w:eastAsia="Aptos" w:cs="Aptos"/>
          <w:sz w:val="22"/>
          <w:szCs w:val="22"/>
        </w:rPr>
        <w:t xml:space="preserve"> → Counter: The buyer acquires functioning assembly lines and skilled workers — dismantling them destroys the value it paid for. Site guarantees are negotiable, as long as we negotiate from strength.</w:t>
      </w:r>
    </w:p>
    <w:p w:rsidR="6C8B6F3E" w:rsidP="6C8B6F3E" w:rsidRDefault="6C8B6F3E" w14:paraId="3812538A" w14:textId="59A2F9F5">
      <w:pPr>
        <w:spacing w:before="240" w:beforeAutospacing="off" w:after="240" w:afterAutospacing="off"/>
      </w:pPr>
      <w:r w:rsidRPr="6C8B6F3E" w:rsidR="6C8B6F3E">
        <w:rPr>
          <w:rFonts w:ascii="Aptos" w:hAnsi="Aptos" w:eastAsia="Aptos" w:cs="Aptos"/>
          <w:b w:val="1"/>
          <w:bCs w:val="1"/>
          <w:sz w:val="22"/>
          <w:szCs w:val="22"/>
        </w:rPr>
        <w:t>3. Deal Economics</w:t>
      </w:r>
    </w:p>
    <w:p w:rsidR="6C8B6F3E" w:rsidP="6C8B6F3E" w:rsidRDefault="6C8B6F3E" w14:paraId="72EA71DC" w14:textId="399435A2">
      <w:pPr>
        <w:spacing w:before="240" w:beforeAutospacing="off" w:after="240" w:afterAutospacing="off"/>
      </w:pPr>
      <w:r w:rsidRPr="6C8B6F3E" w:rsidR="6C8B6F3E">
        <w:rPr>
          <w:rFonts w:ascii="Aptos" w:hAnsi="Aptos" w:eastAsia="Aptos" w:cs="Aptos"/>
          <w:b w:val="1"/>
          <w:bCs w:val="1"/>
          <w:sz w:val="22"/>
          <w:szCs w:val="22"/>
        </w:rPr>
        <w:t>"Fire-sale price / undervaluation"</w:t>
      </w:r>
      <w:r w:rsidRPr="6C8B6F3E" w:rsidR="6C8B6F3E">
        <w:rPr>
          <w:rFonts w:ascii="Aptos" w:hAnsi="Aptos" w:eastAsia="Aptos" w:cs="Aptos"/>
          <w:sz w:val="22"/>
          <w:szCs w:val="22"/>
        </w:rPr>
        <w:t xml:space="preserve"> — In financial distress we're acquired below value.</w:t>
      </w:r>
      <w:r>
        <w:br/>
      </w:r>
      <w:r w:rsidRPr="6C8B6F3E" w:rsidR="6C8B6F3E">
        <w:rPr>
          <w:rFonts w:ascii="Aptos" w:hAnsi="Aptos" w:eastAsia="Aptos" w:cs="Aptos"/>
          <w:sz w:val="22"/>
          <w:szCs w:val="22"/>
        </w:rPr>
        <w:t xml:space="preserve"> → Counter: Precisely why we act </w:t>
      </w:r>
      <w:r w:rsidRPr="6C8B6F3E" w:rsidR="6C8B6F3E">
        <w:rPr>
          <w:rFonts w:ascii="Aptos" w:hAnsi="Aptos" w:eastAsia="Aptos" w:cs="Aptos"/>
          <w:i w:val="1"/>
          <w:iCs w:val="1"/>
          <w:sz w:val="22"/>
          <w:szCs w:val="22"/>
        </w:rPr>
        <w:t>now</w:t>
      </w:r>
      <w:r w:rsidRPr="6C8B6F3E" w:rsidR="6C8B6F3E">
        <w:rPr>
          <w:rFonts w:ascii="Aptos" w:hAnsi="Aptos" w:eastAsia="Aptos" w:cs="Aptos"/>
          <w:sz w:val="22"/>
          <w:szCs w:val="22"/>
        </w:rPr>
        <w:t xml:space="preserve"> — "moderate" distress means the negotiating position is still intact. Whoever waits sells later on even worse terms.</w:t>
      </w:r>
    </w:p>
    <w:p w:rsidR="6C8B6F3E" w:rsidP="6C8B6F3E" w:rsidRDefault="6C8B6F3E" w14:paraId="1EB8AFCA" w14:textId="18DFFE54">
      <w:pPr>
        <w:spacing w:before="240" w:beforeAutospacing="off" w:after="240" w:afterAutospacing="off"/>
      </w:pPr>
      <w:r w:rsidRPr="6C8B6F3E" w:rsidR="6C8B6F3E">
        <w:rPr>
          <w:rFonts w:ascii="Aptos" w:hAnsi="Aptos" w:eastAsia="Aptos" w:cs="Aptos"/>
          <w:b w:val="1"/>
          <w:bCs w:val="1"/>
          <w:sz w:val="22"/>
          <w:szCs w:val="22"/>
        </w:rPr>
        <w:t>"Loss of future upside"</w:t>
      </w:r>
      <w:r w:rsidRPr="6C8B6F3E" w:rsidR="6C8B6F3E">
        <w:rPr>
          <w:rFonts w:ascii="Aptos" w:hAnsi="Aptos" w:eastAsia="Aptos" w:cs="Aptos"/>
          <w:sz w:val="22"/>
          <w:szCs w:val="22"/>
        </w:rPr>
        <w:t xml:space="preserve"> — Selling at the bottom gives away the returns of the e-mobility transition to the buyer.</w:t>
      </w:r>
      <w:r>
        <w:br/>
      </w:r>
      <w:r w:rsidRPr="6C8B6F3E" w:rsidR="6C8B6F3E">
        <w:rPr>
          <w:rFonts w:ascii="Aptos" w:hAnsi="Aptos" w:eastAsia="Aptos" w:cs="Aptos"/>
          <w:sz w:val="22"/>
          <w:szCs w:val="22"/>
        </w:rPr>
        <w:t xml:space="preserve"> → Counter: Upside presupposes survival. A stake in a stable group is worth more than 100% of an insolvent firm. A gain you never realize for lack of capital is worthless.</w:t>
      </w:r>
    </w:p>
    <w:p w:rsidR="6C8B6F3E" w:rsidP="6C8B6F3E" w:rsidRDefault="6C8B6F3E" w14:paraId="0F84CF8E" w14:textId="5197EC35">
      <w:pPr>
        <w:spacing w:before="240" w:beforeAutospacing="off" w:after="240" w:afterAutospacing="off"/>
      </w:pPr>
      <w:r w:rsidRPr="6C8B6F3E" w:rsidR="6C8B6F3E">
        <w:rPr>
          <w:rFonts w:ascii="Aptos" w:hAnsi="Aptos" w:eastAsia="Aptos" w:cs="Aptos"/>
          <w:b w:val="1"/>
          <w:bCs w:val="1"/>
          <w:sz w:val="22"/>
          <w:szCs w:val="22"/>
        </w:rPr>
        <w:t>4. Execution Risks</w:t>
      </w:r>
    </w:p>
    <w:p w:rsidR="6C8B6F3E" w:rsidP="6C8B6F3E" w:rsidRDefault="6C8B6F3E" w14:paraId="087AA665" w14:textId="213CB3C9">
      <w:pPr>
        <w:spacing w:before="240" w:beforeAutospacing="off" w:after="240" w:afterAutospacing="off"/>
      </w:pPr>
      <w:r w:rsidRPr="6C8B6F3E" w:rsidR="6C8B6F3E">
        <w:rPr>
          <w:rFonts w:ascii="Aptos" w:hAnsi="Aptos" w:eastAsia="Aptos" w:cs="Aptos"/>
          <w:b w:val="1"/>
          <w:bCs w:val="1"/>
          <w:sz w:val="22"/>
          <w:szCs w:val="22"/>
        </w:rPr>
        <w:t>"M&amp;A often destroys value"</w:t>
      </w:r>
      <w:r w:rsidRPr="6C8B6F3E" w:rsidR="6C8B6F3E">
        <w:rPr>
          <w:rFonts w:ascii="Aptos" w:hAnsi="Aptos" w:eastAsia="Aptos" w:cs="Aptos"/>
          <w:sz w:val="22"/>
          <w:szCs w:val="22"/>
        </w:rPr>
        <w:t xml:space="preserve"> — Empirically, a large share of acquisitions fail on integration; cultural friction, productivity losses.</w:t>
      </w:r>
      <w:r>
        <w:br/>
      </w:r>
      <w:r w:rsidRPr="6C8B6F3E" w:rsidR="6C8B6F3E">
        <w:rPr>
          <w:rFonts w:ascii="Aptos" w:hAnsi="Aptos" w:eastAsia="Aptos" w:cs="Aptos"/>
          <w:sz w:val="22"/>
          <w:szCs w:val="22"/>
        </w:rPr>
        <w:t xml:space="preserve"> → Counter: Integration risk is real but </w:t>
      </w:r>
      <w:r w:rsidRPr="6C8B6F3E" w:rsidR="6C8B6F3E">
        <w:rPr>
          <w:rFonts w:ascii="Aptos" w:hAnsi="Aptos" w:eastAsia="Aptos" w:cs="Aptos"/>
          <w:i w:val="1"/>
          <w:iCs w:val="1"/>
          <w:sz w:val="22"/>
          <w:szCs w:val="22"/>
        </w:rPr>
        <w:t>manageable</w:t>
      </w:r>
      <w:r w:rsidRPr="6C8B6F3E" w:rsidR="6C8B6F3E">
        <w:rPr>
          <w:rFonts w:ascii="Aptos" w:hAnsi="Aptos" w:eastAsia="Aptos" w:cs="Aptos"/>
          <w:sz w:val="22"/>
          <w:szCs w:val="22"/>
        </w:rPr>
        <w:t>. Insolvency risk is not. We weigh a solvable problem against an existential one.</w:t>
      </w:r>
    </w:p>
    <w:p w:rsidR="6C8B6F3E" w:rsidP="6C8B6F3E" w:rsidRDefault="6C8B6F3E" w14:paraId="3A7E13FF" w14:textId="7CACDE3B">
      <w:pPr>
        <w:spacing w:before="240" w:beforeAutospacing="off" w:after="240" w:afterAutospacing="off"/>
      </w:pPr>
      <w:r w:rsidRPr="6C8B6F3E" w:rsidR="6C8B6F3E">
        <w:rPr>
          <w:rFonts w:ascii="Aptos" w:hAnsi="Aptos" w:eastAsia="Aptos" w:cs="Aptos"/>
          <w:b w:val="1"/>
          <w:bCs w:val="1"/>
          <w:sz w:val="22"/>
          <w:szCs w:val="22"/>
        </w:rPr>
        <w:t>"Antitrust delay"</w:t>
      </w:r>
      <w:r w:rsidRPr="6C8B6F3E" w:rsidR="6C8B6F3E">
        <w:rPr>
          <w:rFonts w:ascii="Aptos" w:hAnsi="Aptos" w:eastAsia="Aptos" w:cs="Aptos"/>
          <w:sz w:val="22"/>
          <w:szCs w:val="22"/>
        </w:rPr>
        <w:t xml:space="preserve"> — A market leader swallowing a competitor must clear the Federal Cartel Office, blocking the urgently needed capital.</w:t>
      </w:r>
      <w:r>
        <w:br/>
      </w:r>
      <w:r w:rsidRPr="6C8B6F3E" w:rsidR="6C8B6F3E">
        <w:rPr>
          <w:rFonts w:ascii="Aptos" w:hAnsi="Aptos" w:eastAsia="Aptos" w:cs="Aptos"/>
          <w:sz w:val="22"/>
          <w:szCs w:val="22"/>
        </w:rPr>
        <w:t xml:space="preserve"> → Counter: Clearances with conditions are standard and predictable. The alternative — no deal — brings no capital at all, neither fast nor slow.</w:t>
      </w:r>
    </w:p>
    <w:p w:rsidR="6C8B6F3E" w:rsidP="6C8B6F3E" w:rsidRDefault="6C8B6F3E" w14:paraId="7332A7DE" w14:textId="7AC40E40">
      <w:pPr>
        <w:spacing w:before="240" w:beforeAutospacing="off" w:after="240" w:afterAutospacing="off"/>
      </w:pPr>
      <w:r w:rsidRPr="6C8B6F3E" w:rsidR="6C8B6F3E">
        <w:rPr>
          <w:rFonts w:ascii="Aptos" w:hAnsi="Aptos" w:eastAsia="Aptos" w:cs="Aptos"/>
          <w:b w:val="1"/>
          <w:bCs w:val="1"/>
          <w:sz w:val="22"/>
          <w:szCs w:val="22"/>
        </w:rPr>
        <w:t>5. Strategic Alternatives</w:t>
      </w:r>
    </w:p>
    <w:p w:rsidR="6C8B6F3E" w:rsidP="6C8B6F3E" w:rsidRDefault="6C8B6F3E" w14:paraId="0B9D869F" w14:textId="589A6718">
      <w:pPr>
        <w:spacing w:before="240" w:beforeAutospacing="off" w:after="240" w:afterAutospacing="off"/>
      </w:pPr>
      <w:r w:rsidRPr="6C8B6F3E" w:rsidR="6C8B6F3E">
        <w:rPr>
          <w:rFonts w:ascii="Aptos" w:hAnsi="Aptos" w:eastAsia="Aptos" w:cs="Aptos"/>
          <w:b w:val="1"/>
          <w:bCs w:val="1"/>
          <w:sz w:val="22"/>
          <w:szCs w:val="22"/>
        </w:rPr>
        <w:t>"There are better alternatives"</w:t>
      </w:r>
      <w:r w:rsidRPr="6C8B6F3E" w:rsidR="6C8B6F3E">
        <w:rPr>
          <w:rFonts w:ascii="Aptos" w:hAnsi="Aptos" w:eastAsia="Aptos" w:cs="Aptos"/>
          <w:sz w:val="22"/>
          <w:szCs w:val="22"/>
        </w:rPr>
        <w:t xml:space="preserve"> — Restructuring, a financial investor (instead of a strategic buyer), a joint venture, a state guarantee.</w:t>
      </w:r>
      <w:r>
        <w:br/>
      </w:r>
      <w:r w:rsidRPr="6C8B6F3E" w:rsidR="6C8B6F3E">
        <w:rPr>
          <w:rFonts w:ascii="Aptos" w:hAnsi="Aptos" w:eastAsia="Aptos" w:cs="Aptos"/>
          <w:sz w:val="22"/>
          <w:szCs w:val="22"/>
        </w:rPr>
        <w:t xml:space="preserve"> → Counter: All are slower, less certain, and more expensive given strained credit. A financial investor brings capital but no industrial synergies; state aid is uncertain and political. The acquisition is the fastest available stabilization.</w:t>
      </w:r>
    </w:p>
    <w:p w:rsidR="6C8B6F3E" w:rsidP="6C8B6F3E" w:rsidRDefault="6C8B6F3E" w14:paraId="642ABB28" w14:textId="0C521DC1">
      <w:pPr>
        <w:spacing w:before="240" w:beforeAutospacing="off" w:after="240" w:afterAutospacing="off"/>
      </w:pPr>
      <w:r w:rsidRPr="6C8B6F3E" w:rsidR="6C8B6F3E">
        <w:rPr>
          <w:rFonts w:ascii="Aptos" w:hAnsi="Aptos" w:eastAsia="Aptos" w:cs="Aptos"/>
          <w:b w:val="1"/>
          <w:bCs w:val="1"/>
          <w:sz w:val="22"/>
          <w:szCs w:val="22"/>
        </w:rPr>
        <w:t>"Acquisition by the market leader eliminates competition"</w:t>
      </w:r>
      <w:r w:rsidRPr="6C8B6F3E" w:rsidR="6C8B6F3E">
        <w:rPr>
          <w:rFonts w:ascii="Aptos" w:hAnsi="Aptos" w:eastAsia="Aptos" w:cs="Aptos"/>
          <w:sz w:val="22"/>
          <w:szCs w:val="22"/>
        </w:rPr>
        <w:t xml:space="preserve"> — We strengthen the dominant player and harm the market.</w:t>
      </w:r>
      <w:r>
        <w:br/>
      </w:r>
      <w:r w:rsidRPr="6C8B6F3E" w:rsidR="6C8B6F3E">
        <w:rPr>
          <w:rFonts w:ascii="Aptos" w:hAnsi="Aptos" w:eastAsia="Aptos" w:cs="Aptos"/>
          <w:sz w:val="22"/>
          <w:szCs w:val="22"/>
        </w:rPr>
        <w:t xml:space="preserve"> → Counter: That is a macroeconomic argument, not a business one. The committee decides on the </w:t>
      </w:r>
      <w:r w:rsidRPr="6C8B6F3E" w:rsidR="6C8B6F3E">
        <w:rPr>
          <w:rFonts w:ascii="Aptos" w:hAnsi="Aptos" w:eastAsia="Aptos" w:cs="Aptos"/>
          <w:i w:val="1"/>
          <w:iCs w:val="1"/>
          <w:sz w:val="22"/>
          <w:szCs w:val="22"/>
        </w:rPr>
        <w:t>survival of our company</w:t>
      </w:r>
      <w:r w:rsidRPr="6C8B6F3E" w:rsidR="6C8B6F3E">
        <w:rPr>
          <w:rFonts w:ascii="Aptos" w:hAnsi="Aptos" w:eastAsia="Aptos" w:cs="Aptos"/>
          <w:sz w:val="22"/>
          <w:szCs w:val="22"/>
        </w:rPr>
        <w:t>, not on market structure — and the Cartel Office handles that anyway.</w:t>
      </w:r>
    </w:p>
    <w:p w:rsidR="6C8B6F3E" w:rsidP="6C8B6F3E" w:rsidRDefault="6C8B6F3E" w14:paraId="64F492D1" w14:textId="6E36FBF5">
      <w:pPr>
        <w:pStyle w:val="Normal"/>
        <w:spacing w:before="240" w:beforeAutospacing="off" w:after="240" w:afterAutospacing="off"/>
      </w:pPr>
      <w:r>
        <w:drawing>
          <wp:inline wp14:editId="32A74C81" wp14:anchorId="36D19C96">
            <wp:extent cx="5762625" cy="3695700"/>
            <wp:effectExtent l="0" t="0" r="0" b="0"/>
            <wp:docPr id="1505795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5795500" name="Picture 1505795500"/>
                    <pic:cNvPicPr/>
                  </pic:nvPicPr>
                  <pic:blipFill>
                    <a:blip xmlns:r="http://schemas.openxmlformats.org/officeDocument/2006/relationships" r:embed="rId239019073">
                      <a:extLst>
                        <a:ext uri="{28A0092B-C50C-407E-A947-70E740481C1C}">
                          <a14:useLocalDpi xmlns:a14="http://schemas.microsoft.com/office/drawing/2010/main"/>
                        </a:ext>
                      </a:extLst>
                    </a:blip>
                    <a:stretch>
                      <a:fillRect/>
                    </a:stretch>
                  </pic:blipFill>
                  <pic:spPr>
                    <a:xfrm>
                      <a:off x="0" y="0"/>
                      <a:ext cx="5762625" cy="3695700"/>
                    </a:xfrm>
                    <a:prstGeom prst="rect">
                      <a:avLst/>
                    </a:prstGeom>
                  </pic:spPr>
                </pic:pic>
              </a:graphicData>
            </a:graphic>
          </wp:inline>
        </w:drawing>
      </w:r>
    </w:p>
    <w:p w:rsidR="6C8B6F3E" w:rsidP="6C8B6F3E" w:rsidRDefault="6C8B6F3E" w14:paraId="4872599C" w14:textId="7282919A">
      <w:pPr>
        <w:spacing w:before="240" w:beforeAutospacing="off" w:after="240" w:afterAutospacing="off"/>
        <w:rPr>
          <w:rFonts w:ascii="Aptos" w:hAnsi="Aptos" w:eastAsia="Aptos" w:cs="Aptos"/>
          <w:sz w:val="22"/>
          <w:szCs w:val="22"/>
        </w:rPr>
      </w:pPr>
    </w:p>
    <w:p w:rsidR="6C8B6F3E" w:rsidP="6C8B6F3E" w:rsidRDefault="6C8B6F3E" w14:paraId="2705F536" w14:textId="0DE85043">
      <w:pPr>
        <w:spacing w:before="0" w:beforeAutospacing="off" w:after="240" w:afterAutospacing="off"/>
        <w:rPr>
          <w:rFonts w:ascii="Aptos" w:hAnsi="Aptos" w:eastAsia="Aptos" w:cs="Aptos"/>
          <w:sz w:val="22"/>
          <w:szCs w:val="22"/>
        </w:rPr>
      </w:pPr>
    </w:p>
    <w:p w:rsidR="6C8B6F3E" w:rsidP="6C8B6F3E" w:rsidRDefault="6C8B6F3E" w14:paraId="59B9394E" w14:textId="0C50C3A7">
      <w:pPr>
        <w:pStyle w:val="Normal"/>
        <w:rPr>
          <w:rFonts w:ascii="Aptos" w:hAnsi="Aptos" w:eastAsia="Aptos" w:cs="Aptos"/>
          <w:sz w:val="22"/>
          <w:szCs w:val="22"/>
        </w:rPr>
      </w:pPr>
    </w:p>
    <w:p w:rsidR="16F5B189" w:rsidRDefault="16F5B189" w14:paraId="7AF37EA7" w14:textId="3C07C0F9"/>
    <w:p w:rsidR="458E7362" w:rsidP="458E7362" w:rsidRDefault="458E7362" w14:paraId="675D8FC3" w14:textId="23308247">
      <w:pPr>
        <w:pStyle w:val="Normal"/>
        <w:rPr>
          <w:rFonts w:ascii="Aptos Display" w:hAnsi="Aptos Display" w:eastAsia="Aptos Display" w:cs="Aptos Display"/>
          <w:b w:val="1"/>
          <w:bCs w:val="1"/>
          <w:color w:val="1F4E79"/>
          <w:sz w:val="44"/>
          <w:szCs w:val="44"/>
        </w:rPr>
      </w:pPr>
    </w:p>
    <w:p w:rsidR="16F5B189" w:rsidP="458E7362" w:rsidRDefault="16F5B189" w14:paraId="2E32755F" w14:textId="5E375A73">
      <w:pPr>
        <w:pStyle w:val="Normal"/>
        <w:spacing w:before="0" w:beforeAutospacing="off" w:after="120" w:afterAutospacing="off" w:line="252" w:lineRule="auto"/>
      </w:pPr>
      <w:r w:rsidRPr="458E7362" w:rsidR="458E7362">
        <w:rPr>
          <w:rFonts w:ascii="Aptos Display" w:hAnsi="Aptos Display" w:eastAsia="Aptos Display" w:cs="Aptos Display"/>
          <w:b w:val="1"/>
          <w:bCs w:val="1"/>
          <w:color w:val="1F4E79"/>
          <w:sz w:val="44"/>
          <w:szCs w:val="44"/>
        </w:rPr>
        <w:t>Operational Synergies and Economies of Scale</w:t>
      </w:r>
    </w:p>
    <w:p w:rsidR="16F5B189" w:rsidP="16F5B189" w:rsidRDefault="16F5B189" w14:paraId="2A9264A1" w14:textId="07217CB8">
      <w:pPr>
        <w:spacing w:before="0" w:beforeAutospacing="off" w:after="120" w:afterAutospacing="off" w:line="252" w:lineRule="auto"/>
        <w:jc w:val="center"/>
      </w:pPr>
      <w:r w:rsidRPr="6C8B6F3E" w:rsidR="6C8B6F3E">
        <w:rPr>
          <w:rFonts w:ascii="Aptos" w:hAnsi="Aptos" w:eastAsia="Aptos" w:cs="Aptos"/>
          <w:i w:val="1"/>
          <w:iCs w:val="1"/>
          <w:color w:val="4F81BD"/>
          <w:sz w:val="26"/>
          <w:szCs w:val="26"/>
        </w:rPr>
        <w:t>Oxford Debate Argument Structure</w:t>
      </w:r>
    </w:p>
    <w:p w:rsidR="16F5B189" w:rsidP="16F5B189" w:rsidRDefault="16F5B189" w14:paraId="6E9797CC" w14:textId="1A095EEE">
      <w:pPr>
        <w:spacing w:before="0" w:beforeAutospacing="off" w:after="120" w:afterAutospacing="off" w:line="252" w:lineRule="auto"/>
      </w:pPr>
      <w:r w:rsidRPr="6C8B6F3E" w:rsidR="6C8B6F3E">
        <w:rPr>
          <w:rFonts w:ascii="Aptos" w:hAnsi="Aptos" w:eastAsia="Aptos" w:cs="Aptos"/>
          <w:sz w:val="21"/>
          <w:szCs w:val="21"/>
        </w:rPr>
        <w:t xml:space="preserve"> </w:t>
      </w:r>
    </w:p>
    <w:tbl>
      <w:tblPr>
        <w:tblStyle w:val="TableNormal"/>
        <w:bidiVisual w:val="0"/>
        <w:tblW w:w="0" w:type="auto"/>
        <w:tblLook w:val="04A0" w:firstRow="1" w:lastRow="0" w:firstColumn="1" w:lastColumn="0" w:noHBand="0" w:noVBand="1"/>
      </w:tblPr>
      <w:tblGrid>
        <w:gridCol w:w="10080"/>
      </w:tblGrid>
      <w:tr w:rsidR="16F5B189" w:rsidTr="6C8B6F3E" w14:paraId="2CA62BCB">
        <w:trPr>
          <w:trHeight w:val="300"/>
        </w:trPr>
        <w:tc>
          <w:tcPr>
            <w:tcW w:w="10080" w:type="dxa"/>
            <w:tcBorders>
              <w:top w:val="single" w:color="9EADCC" w:sz="8"/>
              <w:left w:val="single" w:color="9EADCC" w:sz="8"/>
              <w:bottom w:val="single" w:color="9EADCC" w:sz="8"/>
              <w:right w:val="single" w:color="9EADCC" w:sz="8"/>
            </w:tcBorders>
            <w:shd w:val="clear" w:color="auto" w:fill="EAF2F8"/>
            <w:tcMar>
              <w:left w:w="108" w:type="dxa"/>
              <w:right w:w="108" w:type="dxa"/>
            </w:tcMar>
            <w:vAlign w:val="top"/>
          </w:tcPr>
          <w:p w:rsidR="16F5B189" w:rsidP="16F5B189" w:rsidRDefault="16F5B189" w14:paraId="1B3E5CA7" w14:textId="01674B6B">
            <w:pPr>
              <w:spacing w:before="0" w:beforeAutospacing="off" w:after="40" w:afterAutospacing="off" w:line="276" w:lineRule="auto"/>
            </w:pPr>
            <w:r w:rsidRPr="6C8B6F3E" w:rsidR="6C8B6F3E">
              <w:rPr>
                <w:rFonts w:ascii="Aptos Display" w:hAnsi="Aptos Display" w:eastAsia="Aptos Display" w:cs="Aptos Display"/>
                <w:b w:val="1"/>
                <w:bCs w:val="1"/>
                <w:color w:val="000000" w:themeColor="text1" w:themeTint="FF" w:themeShade="FF"/>
                <w:sz w:val="22"/>
                <w:szCs w:val="22"/>
              </w:rPr>
              <w:t>Debate motion / scenario</w:t>
            </w:r>
          </w:p>
          <w:p w:rsidR="16F5B189" w:rsidP="16F5B189" w:rsidRDefault="16F5B189" w14:paraId="166F079E" w14:textId="5E77D066">
            <w:pPr>
              <w:spacing w:before="0" w:beforeAutospacing="off" w:after="0" w:afterAutospacing="off" w:line="276" w:lineRule="auto"/>
            </w:pPr>
            <w:r w:rsidRPr="6C8B6F3E" w:rsidR="6C8B6F3E">
              <w:rPr>
                <w:rFonts w:ascii="Aptos" w:hAnsi="Aptos" w:eastAsia="Aptos" w:cs="Aptos"/>
                <w:color w:val="000000" w:themeColor="text1" w:themeTint="FF" w:themeShade="FF"/>
                <w:sz w:val="20"/>
                <w:szCs w:val="20"/>
              </w:rPr>
              <w:t>A medium-sized company with an average market share operates in the German automotive assembly sector and is currently in moderate financial distress. A market leader offers to acquire the company. Should the proposal be accepted?</w:t>
            </w:r>
          </w:p>
        </w:tc>
      </w:tr>
    </w:tbl>
    <w:p w:rsidR="16F5B189" w:rsidP="16F5B189" w:rsidRDefault="16F5B189" w14:paraId="00480B4B" w14:textId="5FA8D7A6">
      <w:pPr>
        <w:bidi w:val="0"/>
        <w:spacing w:before="0" w:beforeAutospacing="off" w:after="120" w:afterAutospacing="off" w:line="252" w:lineRule="auto"/>
      </w:pPr>
      <w:r w:rsidRPr="6C8B6F3E" w:rsidR="6C8B6F3E">
        <w:rPr>
          <w:rFonts w:ascii="Aptos" w:hAnsi="Aptos" w:eastAsia="Aptos" w:cs="Aptos"/>
          <w:sz w:val="21"/>
          <w:szCs w:val="21"/>
        </w:rPr>
        <w:t xml:space="preserve"> </w:t>
      </w:r>
    </w:p>
    <w:tbl>
      <w:tblPr>
        <w:tblStyle w:val="TableNormal"/>
        <w:bidiVisual w:val="0"/>
        <w:tblW w:w="0" w:type="auto"/>
        <w:tblLook w:val="04A0" w:firstRow="1" w:lastRow="0" w:firstColumn="1" w:lastColumn="0" w:noHBand="0" w:noVBand="1"/>
      </w:tblPr>
      <w:tblGrid>
        <w:gridCol w:w="10080"/>
      </w:tblGrid>
      <w:tr w:rsidR="16F5B189" w:rsidTr="6C8B6F3E" w14:paraId="3E94700B">
        <w:trPr>
          <w:trHeight w:val="300"/>
        </w:trPr>
        <w:tc>
          <w:tcPr>
            <w:tcW w:w="10080" w:type="dxa"/>
            <w:tcBorders>
              <w:top w:val="single" w:color="9EADCC" w:sz="8"/>
              <w:left w:val="single" w:color="9EADCC" w:sz="8"/>
              <w:bottom w:val="single" w:color="9EADCC" w:sz="8"/>
              <w:right w:val="single" w:color="9EADCC" w:sz="8"/>
            </w:tcBorders>
            <w:shd w:val="clear" w:color="auto" w:fill="E2F0D9"/>
            <w:tcMar>
              <w:left w:w="108" w:type="dxa"/>
              <w:right w:w="108" w:type="dxa"/>
            </w:tcMar>
            <w:vAlign w:val="top"/>
          </w:tcPr>
          <w:p w:rsidR="16F5B189" w:rsidP="16F5B189" w:rsidRDefault="16F5B189" w14:paraId="441A259D" w14:textId="5D98E5E7">
            <w:pPr>
              <w:bidi w:val="0"/>
              <w:spacing w:before="0" w:beforeAutospacing="off" w:after="40" w:afterAutospacing="off" w:line="276" w:lineRule="auto"/>
            </w:pPr>
            <w:r w:rsidRPr="6C8B6F3E" w:rsidR="6C8B6F3E">
              <w:rPr>
                <w:rFonts w:ascii="Aptos Display" w:hAnsi="Aptos Display" w:eastAsia="Aptos Display" w:cs="Aptos Display"/>
                <w:b w:val="1"/>
                <w:bCs w:val="1"/>
                <w:color w:val="000000" w:themeColor="text1" w:themeTint="FF" w:themeShade="FF"/>
                <w:sz w:val="22"/>
                <w:szCs w:val="22"/>
              </w:rPr>
              <w:t>Core thesis</w:t>
            </w:r>
          </w:p>
          <w:p w:rsidR="16F5B189" w:rsidP="16F5B189" w:rsidRDefault="16F5B189" w14:paraId="645DF363" w14:textId="193AF771">
            <w:pPr>
              <w:bidi w:val="0"/>
              <w:spacing w:before="0" w:beforeAutospacing="off" w:after="0" w:afterAutospacing="off" w:line="276" w:lineRule="auto"/>
            </w:pPr>
            <w:r w:rsidRPr="6C8B6F3E" w:rsidR="6C8B6F3E">
              <w:rPr>
                <w:rFonts w:ascii="Aptos" w:hAnsi="Aptos" w:eastAsia="Aptos" w:cs="Aptos"/>
                <w:color w:val="000000" w:themeColor="text1" w:themeTint="FF" w:themeShade="FF"/>
                <w:sz w:val="20"/>
                <w:szCs w:val="20"/>
              </w:rPr>
              <w:t>Yes. The acquisition should be accepted because scale-driven operational synergies can lower unit costs, strengthen supplier leverage, improve capacity utilisation and turn a financially vulnerable company into a viable competitor.</w:t>
            </w:r>
          </w:p>
        </w:tc>
      </w:tr>
    </w:tbl>
    <w:p w:rsidR="16F5B189" w:rsidP="16F5B189" w:rsidRDefault="16F5B189" w14:paraId="786AC0E5" w14:textId="375F7893">
      <w:pPr>
        <w:bidi w:val="0"/>
        <w:spacing w:before="0" w:beforeAutospacing="off" w:after="120" w:afterAutospacing="off" w:line="252" w:lineRule="auto"/>
      </w:pPr>
      <w:r w:rsidRPr="6C8B6F3E" w:rsidR="6C8B6F3E">
        <w:rPr>
          <w:rFonts w:ascii="Aptos" w:hAnsi="Aptos" w:eastAsia="Aptos" w:cs="Aptos"/>
          <w:sz w:val="21"/>
          <w:szCs w:val="21"/>
        </w:rPr>
        <w:t xml:space="preserve"> </w:t>
      </w:r>
    </w:p>
    <w:p w:rsidR="16F5B189" w:rsidP="16F5B189" w:rsidRDefault="16F5B189" w14:paraId="25A1A847" w14:textId="70C59965">
      <w:pPr>
        <w:pStyle w:val="Heading1"/>
        <w:bidi w:val="0"/>
        <w:spacing w:before="160" w:beforeAutospacing="off" w:after="80" w:afterAutospacing="off" w:line="276" w:lineRule="auto"/>
      </w:pPr>
      <w:r w:rsidRPr="6C8B6F3E" w:rsidR="6C8B6F3E">
        <w:rPr>
          <w:rFonts w:ascii="Calibri" w:hAnsi="Calibri" w:eastAsia="Calibri" w:cs="Calibri"/>
          <w:b w:val="1"/>
          <w:bCs w:val="1"/>
          <w:color w:val="1F4E79"/>
          <w:sz w:val="32"/>
          <w:szCs w:val="32"/>
        </w:rPr>
        <w:t>1. The Argument in One Minute</w:t>
      </w:r>
    </w:p>
    <w:p w:rsidR="16F5B189" w:rsidP="16F5B189" w:rsidRDefault="16F5B189" w14:paraId="7246ED78" w14:textId="4BB41555">
      <w:pPr>
        <w:bidi w:val="0"/>
        <w:spacing w:before="0" w:beforeAutospacing="off" w:after="120" w:afterAutospacing="off" w:line="252" w:lineRule="auto"/>
      </w:pPr>
      <w:r w:rsidRPr="6C8B6F3E" w:rsidR="6C8B6F3E">
        <w:rPr>
          <w:rFonts w:ascii="Aptos" w:hAnsi="Aptos" w:eastAsia="Aptos" w:cs="Aptos"/>
          <w:b w:val="1"/>
          <w:bCs w:val="1"/>
          <w:sz w:val="21"/>
          <w:szCs w:val="21"/>
        </w:rPr>
        <w:t xml:space="preserve">Main claim: </w:t>
      </w:r>
      <w:r w:rsidRPr="6C8B6F3E" w:rsidR="6C8B6F3E">
        <w:rPr>
          <w:rFonts w:ascii="Aptos" w:hAnsi="Aptos" w:eastAsia="Aptos" w:cs="Aptos"/>
          <w:sz w:val="21"/>
          <w:szCs w:val="21"/>
        </w:rPr>
        <w:t>Operational synergies are not an abstract bonus; they are the practical mechanism through which this company survives. In automotive assembly, profitability depends on scale: high fixed costs, large supplier contracts, expensive logistics and continuous efficiency pressure. A mid-sized distressed firm cannot achieve those scale advantages alone. A market leader can.</w:t>
      </w:r>
    </w:p>
    <w:p w:rsidR="16F5B189" w:rsidP="16F5B189" w:rsidRDefault="16F5B189" w14:paraId="147374E9" w14:textId="0F8755FC">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GB"/>
        </w:rPr>
      </w:pPr>
      <w:r w:rsidRPr="6C8B6F3E" w:rsidR="6C8B6F3E">
        <w:rPr>
          <w:rFonts w:ascii="Aptos" w:hAnsi="Aptos" w:eastAsia="Aptos" w:cs="Aptos"/>
          <w:b w:val="1"/>
          <w:bCs w:val="1"/>
          <w:sz w:val="21"/>
          <w:szCs w:val="21"/>
        </w:rPr>
        <w:t xml:space="preserve">Procurement scale: </w:t>
      </w:r>
      <w:r w:rsidRPr="6C8B6F3E" w:rsidR="6C8B6F3E">
        <w:rPr>
          <w:rFonts w:ascii="Aptos" w:hAnsi="Aptos" w:eastAsia="Aptos" w:cs="Aptos"/>
          <w:sz w:val="21"/>
          <w:szCs w:val="21"/>
        </w:rPr>
        <w:t>larger purchasing volumes produce better supplier terms and lower input costs.</w:t>
      </w:r>
    </w:p>
    <w:p w:rsidR="16F5B189" w:rsidP="16F5B189" w:rsidRDefault="16F5B189" w14:paraId="52F3FCAC" w14:textId="0C0750B8">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GB"/>
        </w:rPr>
      </w:pPr>
      <w:r w:rsidRPr="6C8B6F3E" w:rsidR="6C8B6F3E">
        <w:rPr>
          <w:rFonts w:ascii="Aptos" w:hAnsi="Aptos" w:eastAsia="Aptos" w:cs="Aptos"/>
          <w:b w:val="1"/>
          <w:bCs w:val="1"/>
          <w:sz w:val="21"/>
          <w:szCs w:val="21"/>
        </w:rPr>
        <w:t xml:space="preserve">Production scale: </w:t>
      </w:r>
      <w:r w:rsidRPr="6C8B6F3E" w:rsidR="6C8B6F3E">
        <w:rPr>
          <w:rFonts w:ascii="Aptos" w:hAnsi="Aptos" w:eastAsia="Aptos" w:cs="Aptos"/>
          <w:sz w:val="21"/>
          <w:szCs w:val="21"/>
        </w:rPr>
        <w:t>higher capacity utilisation spreads fixed costs over more units and lowers unit costs.</w:t>
      </w:r>
    </w:p>
    <w:p w:rsidR="16F5B189" w:rsidP="16F5B189" w:rsidRDefault="16F5B189" w14:paraId="62DE1738" w14:textId="0BCD89A3">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GB"/>
        </w:rPr>
      </w:pPr>
      <w:r w:rsidRPr="6C8B6F3E" w:rsidR="6C8B6F3E">
        <w:rPr>
          <w:rFonts w:ascii="Aptos" w:hAnsi="Aptos" w:eastAsia="Aptos" w:cs="Aptos"/>
          <w:b w:val="1"/>
          <w:bCs w:val="1"/>
          <w:sz w:val="21"/>
          <w:szCs w:val="21"/>
        </w:rPr>
        <w:t xml:space="preserve">Integration scale: </w:t>
      </w:r>
      <w:r w:rsidRPr="6C8B6F3E" w:rsidR="6C8B6F3E">
        <w:rPr>
          <w:rFonts w:ascii="Aptos" w:hAnsi="Aptos" w:eastAsia="Aptos" w:cs="Aptos"/>
          <w:sz w:val="21"/>
          <w:szCs w:val="21"/>
        </w:rPr>
        <w:t>shared processes, logistics, IT systems and best practices remove duplication and accelerate the turnaround.</w:t>
      </w:r>
    </w:p>
    <w:p w:rsidR="16F5B189" w:rsidP="16F5B189" w:rsidRDefault="16F5B189" w14:paraId="531D4F13" w14:textId="59074292">
      <w:pPr>
        <w:pStyle w:val="Heading1"/>
        <w:bidi w:val="0"/>
        <w:spacing w:before="160" w:beforeAutospacing="off" w:after="80" w:afterAutospacing="off" w:line="276" w:lineRule="auto"/>
      </w:pPr>
      <w:r w:rsidRPr="6C8B6F3E" w:rsidR="6C8B6F3E">
        <w:rPr>
          <w:rFonts w:ascii="Calibri" w:hAnsi="Calibri" w:eastAsia="Calibri" w:cs="Calibri"/>
          <w:b w:val="1"/>
          <w:bCs w:val="1"/>
          <w:color w:val="1F4E79"/>
          <w:sz w:val="32"/>
          <w:szCs w:val="32"/>
        </w:rPr>
        <w:t>2. Debate-Ready Argument Map</w:t>
      </w:r>
    </w:p>
    <w:tbl>
      <w:tblPr>
        <w:tblStyle w:val="TableGrid"/>
        <w:bidiVisual w:val="0"/>
        <w:tblW w:w="0" w:type="auto"/>
        <w:tblLook w:val="04A0" w:firstRow="1" w:lastRow="0" w:firstColumn="1" w:lastColumn="0" w:noHBand="0" w:noVBand="1"/>
      </w:tblPr>
      <w:tblGrid>
        <w:gridCol w:w="2520"/>
        <w:gridCol w:w="2520"/>
        <w:gridCol w:w="2520"/>
        <w:gridCol w:w="2520"/>
      </w:tblGrid>
      <w:tr w:rsidR="16F5B189" w:rsidTr="6C8B6F3E" w14:paraId="190CDA86">
        <w:trPr>
          <w:trHeight w:val="300"/>
        </w:trPr>
        <w:tc>
          <w:tcPr>
            <w:tcW w:w="2520" w:type="dxa"/>
            <w:tcBorders>
              <w:top w:val="single" w:sz="8"/>
              <w:left w:val="single" w:sz="8"/>
              <w:bottom w:val="single" w:sz="8"/>
              <w:right w:val="single" w:sz="8"/>
            </w:tcBorders>
            <w:shd w:val="clear" w:color="auto" w:fill="D9EAF7"/>
            <w:tcMar>
              <w:left w:w="108" w:type="dxa"/>
              <w:right w:w="108" w:type="dxa"/>
            </w:tcMar>
            <w:vAlign w:val="top"/>
          </w:tcPr>
          <w:p w:rsidR="16F5B189" w:rsidP="16F5B189" w:rsidRDefault="16F5B189" w14:paraId="2DD632F2" w14:textId="62CF5F19">
            <w:pPr>
              <w:bidi w:val="0"/>
              <w:spacing w:before="0" w:beforeAutospacing="off" w:after="0" w:afterAutospacing="off"/>
            </w:pPr>
            <w:r w:rsidRPr="6C8B6F3E" w:rsidR="6C8B6F3E">
              <w:rPr>
                <w:rFonts w:ascii="Aptos" w:hAnsi="Aptos" w:eastAsia="Aptos" w:cs="Aptos"/>
                <w:b w:val="1"/>
                <w:bCs w:val="1"/>
                <w:color w:val="000000" w:themeColor="text1" w:themeTint="FF" w:themeShade="FF"/>
                <w:sz w:val="18"/>
                <w:szCs w:val="18"/>
              </w:rPr>
              <w:t>Claim</w:t>
            </w:r>
          </w:p>
        </w:tc>
        <w:tc>
          <w:tcPr>
            <w:tcW w:w="2520" w:type="dxa"/>
            <w:tcBorders>
              <w:top w:val="single" w:sz="8"/>
              <w:left w:val="single" w:sz="8"/>
              <w:bottom w:val="single" w:sz="8"/>
              <w:right w:val="single" w:sz="8"/>
            </w:tcBorders>
            <w:shd w:val="clear" w:color="auto" w:fill="D9EAF7"/>
            <w:tcMar>
              <w:left w:w="108" w:type="dxa"/>
              <w:right w:w="108" w:type="dxa"/>
            </w:tcMar>
            <w:vAlign w:val="top"/>
          </w:tcPr>
          <w:p w:rsidR="16F5B189" w:rsidP="16F5B189" w:rsidRDefault="16F5B189" w14:paraId="057994C7" w14:textId="24C1B269">
            <w:pPr>
              <w:bidi w:val="0"/>
              <w:spacing w:before="0" w:beforeAutospacing="off" w:after="0" w:afterAutospacing="off"/>
            </w:pPr>
            <w:r w:rsidRPr="6C8B6F3E" w:rsidR="6C8B6F3E">
              <w:rPr>
                <w:rFonts w:ascii="Aptos" w:hAnsi="Aptos" w:eastAsia="Aptos" w:cs="Aptos"/>
                <w:b w:val="1"/>
                <w:bCs w:val="1"/>
                <w:color w:val="000000" w:themeColor="text1" w:themeTint="FF" w:themeShade="FF"/>
                <w:sz w:val="18"/>
                <w:szCs w:val="18"/>
              </w:rPr>
              <w:t>Mechanism</w:t>
            </w:r>
          </w:p>
        </w:tc>
        <w:tc>
          <w:tcPr>
            <w:tcW w:w="2520" w:type="dxa"/>
            <w:tcBorders>
              <w:top w:val="single" w:sz="8"/>
              <w:left w:val="single" w:sz="8"/>
              <w:bottom w:val="single" w:sz="8"/>
              <w:right w:val="single" w:sz="8"/>
            </w:tcBorders>
            <w:shd w:val="clear" w:color="auto" w:fill="D9EAF7"/>
            <w:tcMar>
              <w:left w:w="108" w:type="dxa"/>
              <w:right w:w="108" w:type="dxa"/>
            </w:tcMar>
            <w:vAlign w:val="top"/>
          </w:tcPr>
          <w:p w:rsidR="16F5B189" w:rsidP="16F5B189" w:rsidRDefault="16F5B189" w14:paraId="20227617" w14:textId="4F9F83C1">
            <w:pPr>
              <w:bidi w:val="0"/>
              <w:spacing w:before="0" w:beforeAutospacing="off" w:after="0" w:afterAutospacing="off"/>
            </w:pPr>
            <w:r w:rsidRPr="6C8B6F3E" w:rsidR="6C8B6F3E">
              <w:rPr>
                <w:rFonts w:ascii="Aptos" w:hAnsi="Aptos" w:eastAsia="Aptos" w:cs="Aptos"/>
                <w:b w:val="1"/>
                <w:bCs w:val="1"/>
                <w:color w:val="000000" w:themeColor="text1" w:themeTint="FF" w:themeShade="FF"/>
                <w:sz w:val="18"/>
                <w:szCs w:val="18"/>
              </w:rPr>
              <w:t>Evidence you can cite</w:t>
            </w:r>
          </w:p>
        </w:tc>
        <w:tc>
          <w:tcPr>
            <w:tcW w:w="2520" w:type="dxa"/>
            <w:tcBorders>
              <w:top w:val="single" w:sz="8"/>
              <w:left w:val="single" w:sz="8"/>
              <w:bottom w:val="single" w:sz="8"/>
              <w:right w:val="single" w:sz="8"/>
            </w:tcBorders>
            <w:shd w:val="clear" w:color="auto" w:fill="D9EAF7"/>
            <w:tcMar>
              <w:left w:w="108" w:type="dxa"/>
              <w:right w:w="108" w:type="dxa"/>
            </w:tcMar>
            <w:vAlign w:val="top"/>
          </w:tcPr>
          <w:p w:rsidR="16F5B189" w:rsidP="16F5B189" w:rsidRDefault="16F5B189" w14:paraId="4F03A2B8" w14:textId="71B0E684">
            <w:pPr>
              <w:bidi w:val="0"/>
              <w:spacing w:before="0" w:beforeAutospacing="off" w:after="0" w:afterAutospacing="off"/>
            </w:pPr>
            <w:r w:rsidRPr="6C8B6F3E" w:rsidR="6C8B6F3E">
              <w:rPr>
                <w:rFonts w:ascii="Aptos" w:hAnsi="Aptos" w:eastAsia="Aptos" w:cs="Aptos"/>
                <w:b w:val="1"/>
                <w:bCs w:val="1"/>
                <w:color w:val="000000" w:themeColor="text1" w:themeTint="FF" w:themeShade="FF"/>
                <w:sz w:val="18"/>
                <w:szCs w:val="18"/>
              </w:rPr>
              <w:t>Debate impact</w:t>
            </w:r>
          </w:p>
        </w:tc>
      </w:tr>
      <w:tr w:rsidR="16F5B189" w:rsidTr="6C8B6F3E" w14:paraId="558C0C0B">
        <w:trPr>
          <w:trHeight w:val="300"/>
        </w:trPr>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09113538" w14:textId="0E3A1990">
            <w:pPr>
              <w:bidi w:val="0"/>
              <w:spacing w:before="0" w:beforeAutospacing="off" w:after="0" w:afterAutospacing="off"/>
            </w:pPr>
            <w:r w:rsidRPr="6C8B6F3E" w:rsidR="6C8B6F3E">
              <w:rPr>
                <w:rFonts w:ascii="Aptos" w:hAnsi="Aptos" w:eastAsia="Aptos" w:cs="Aptos"/>
                <w:sz w:val="17"/>
                <w:szCs w:val="17"/>
              </w:rPr>
              <w:t>1. Procurement leverage</w:t>
            </w:r>
          </w:p>
        </w:tc>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2C81514C" w14:textId="5C3C820A">
            <w:pPr>
              <w:bidi w:val="0"/>
              <w:spacing w:before="0" w:beforeAutospacing="off" w:after="0" w:afterAutospacing="off"/>
            </w:pPr>
            <w:r w:rsidRPr="6C8B6F3E" w:rsidR="6C8B6F3E">
              <w:rPr>
                <w:rFonts w:ascii="Aptos" w:hAnsi="Aptos" w:eastAsia="Aptos" w:cs="Aptos"/>
                <w:sz w:val="17"/>
                <w:szCs w:val="17"/>
              </w:rPr>
              <w:t>The market leader buys larger volumes of components, raw materials and logistics services, which gives it stronger bargaining power.</w:t>
            </w:r>
          </w:p>
        </w:tc>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2CDDCFDB" w14:textId="404A52FB">
            <w:pPr>
              <w:bidi w:val="0"/>
              <w:spacing w:before="0" w:beforeAutospacing="off" w:after="0" w:afterAutospacing="off"/>
            </w:pPr>
            <w:r w:rsidRPr="6C8B6F3E" w:rsidR="6C8B6F3E">
              <w:rPr>
                <w:rFonts w:ascii="Aptos" w:hAnsi="Aptos" w:eastAsia="Aptos" w:cs="Aptos"/>
                <w:sz w:val="17"/>
                <w:szCs w:val="17"/>
              </w:rPr>
              <w:t>L.E.K. reports that announced cost-synergy targets in M&amp;A commonly fall around 6-10% of target revenue. A Stellantis case study reports a 12.5% reduction in procurement costs per vehicle after supplier consolidation and ERP standardisation. [1][4]</w:t>
            </w:r>
          </w:p>
        </w:tc>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43A480B3" w14:textId="2652AF1F">
            <w:pPr>
              <w:bidi w:val="0"/>
              <w:spacing w:before="0" w:beforeAutospacing="off" w:after="0" w:afterAutospacing="off"/>
            </w:pPr>
            <w:r w:rsidRPr="6C8B6F3E" w:rsidR="6C8B6F3E">
              <w:rPr>
                <w:rFonts w:ascii="Aptos" w:hAnsi="Aptos" w:eastAsia="Aptos" w:cs="Aptos"/>
                <w:sz w:val="17"/>
                <w:szCs w:val="17"/>
              </w:rPr>
              <w:t>This directly improves margins and cash flow - exactly what a moderately distressed firm needs.</w:t>
            </w:r>
          </w:p>
        </w:tc>
      </w:tr>
      <w:tr w:rsidR="16F5B189" w:rsidTr="6C8B6F3E" w14:paraId="45576BAE">
        <w:trPr>
          <w:trHeight w:val="300"/>
        </w:trPr>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6FFF248D" w14:textId="212974F1">
            <w:pPr>
              <w:bidi w:val="0"/>
              <w:spacing w:before="0" w:beforeAutospacing="off" w:after="0" w:afterAutospacing="off"/>
            </w:pPr>
            <w:r w:rsidRPr="6C8B6F3E" w:rsidR="6C8B6F3E">
              <w:rPr>
                <w:rFonts w:ascii="Aptos" w:hAnsi="Aptos" w:eastAsia="Aptos" w:cs="Aptos"/>
                <w:sz w:val="17"/>
                <w:szCs w:val="17"/>
              </w:rPr>
              <w:t>2. Capacity utilisation</w:t>
            </w:r>
          </w:p>
        </w:tc>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205BA260" w14:textId="1F5D75B3">
            <w:pPr>
              <w:bidi w:val="0"/>
              <w:spacing w:before="0" w:beforeAutospacing="off" w:after="0" w:afterAutospacing="off"/>
            </w:pPr>
            <w:r w:rsidRPr="6C8B6F3E" w:rsidR="6C8B6F3E">
              <w:rPr>
                <w:rFonts w:ascii="Aptos" w:hAnsi="Aptos" w:eastAsia="Aptos" w:cs="Aptos"/>
                <w:sz w:val="17"/>
                <w:szCs w:val="17"/>
              </w:rPr>
              <w:t>Assembly plants have high fixed costs. If the acquirer can shift volumes, consolidate lines or fill underused capacity, each vehicle carries a lower share of overhead.</w:t>
            </w:r>
          </w:p>
        </w:tc>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00CB48FE" w14:textId="61BE145D">
            <w:pPr>
              <w:bidi w:val="0"/>
              <w:spacing w:before="0" w:beforeAutospacing="off" w:after="0" w:afterAutospacing="off"/>
            </w:pPr>
            <w:r w:rsidRPr="6C8B6F3E" w:rsidR="6C8B6F3E">
              <w:rPr>
                <w:rFonts w:ascii="Aptos" w:hAnsi="Aptos" w:eastAsia="Aptos" w:cs="Aptos"/>
                <w:sz w:val="17"/>
                <w:szCs w:val="17"/>
              </w:rPr>
              <w:t>European light-vehicle plants were reported at around 60% utilisation in 2023; around 70% is often treated as a minimum for profitability and 80-90% as more cost-effective. [5]</w:t>
            </w:r>
          </w:p>
        </w:tc>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70C22A54" w14:textId="09A60F5E">
            <w:pPr>
              <w:bidi w:val="0"/>
              <w:spacing w:before="0" w:beforeAutospacing="off" w:after="0" w:afterAutospacing="off"/>
            </w:pPr>
            <w:r w:rsidRPr="6C8B6F3E" w:rsidR="6C8B6F3E">
              <w:rPr>
                <w:rFonts w:ascii="Aptos" w:hAnsi="Aptos" w:eastAsia="Aptos" w:cs="Aptos"/>
                <w:sz w:val="17"/>
                <w:szCs w:val="17"/>
              </w:rPr>
              <w:t>Higher utilisation lowers break-even volumes and makes the target operationally viable.</w:t>
            </w:r>
          </w:p>
        </w:tc>
      </w:tr>
      <w:tr w:rsidR="16F5B189" w:rsidTr="6C8B6F3E" w14:paraId="64C7AB22">
        <w:trPr>
          <w:trHeight w:val="300"/>
        </w:trPr>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3DFC4A12" w14:textId="5893E769">
            <w:pPr>
              <w:bidi w:val="0"/>
              <w:spacing w:before="0" w:beforeAutospacing="off" w:after="0" w:afterAutospacing="off"/>
            </w:pPr>
            <w:r w:rsidRPr="6C8B6F3E" w:rsidR="6C8B6F3E">
              <w:rPr>
                <w:rFonts w:ascii="Aptos" w:hAnsi="Aptos" w:eastAsia="Aptos" w:cs="Aptos"/>
                <w:sz w:val="17"/>
                <w:szCs w:val="17"/>
              </w:rPr>
              <w:t>3. Process integration</w:t>
            </w:r>
          </w:p>
        </w:tc>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636DD7F4" w14:textId="1FD14EB4">
            <w:pPr>
              <w:bidi w:val="0"/>
              <w:spacing w:before="0" w:beforeAutospacing="off" w:after="0" w:afterAutospacing="off"/>
            </w:pPr>
            <w:r w:rsidRPr="6C8B6F3E" w:rsidR="6C8B6F3E">
              <w:rPr>
                <w:rFonts w:ascii="Aptos" w:hAnsi="Aptos" w:eastAsia="Aptos" w:cs="Aptos"/>
                <w:sz w:val="17"/>
                <w:szCs w:val="17"/>
              </w:rPr>
              <w:t>The acquirer can transfer lean manufacturing routines, logistics systems, IT platforms and management discipline.</w:t>
            </w:r>
          </w:p>
        </w:tc>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7AE2A002" w14:textId="659FB4B4">
            <w:pPr>
              <w:bidi w:val="0"/>
              <w:spacing w:before="0" w:beforeAutospacing="off" w:after="0" w:afterAutospacing="off"/>
            </w:pPr>
            <w:r w:rsidRPr="6C8B6F3E" w:rsidR="6C8B6F3E">
              <w:rPr>
                <w:rFonts w:ascii="Aptos" w:hAnsi="Aptos" w:eastAsia="Aptos" w:cs="Aptos"/>
                <w:sz w:val="17"/>
                <w:szCs w:val="17"/>
              </w:rPr>
              <w:t>BCG highlights that reducing model complexity and increasing scale can reduce manufacturing and R&amp;D costs and improve negotiating clout with suppliers. PSA/Opel is a useful turnaround example. [2]</w:t>
            </w:r>
          </w:p>
        </w:tc>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19772D5E" w14:textId="498EB730">
            <w:pPr>
              <w:bidi w:val="0"/>
              <w:spacing w:before="0" w:beforeAutospacing="off" w:after="0" w:afterAutospacing="off"/>
            </w:pPr>
            <w:r w:rsidRPr="6C8B6F3E" w:rsidR="6C8B6F3E">
              <w:rPr>
                <w:rFonts w:ascii="Aptos" w:hAnsi="Aptos" w:eastAsia="Aptos" w:cs="Aptos"/>
                <w:sz w:val="17"/>
                <w:szCs w:val="17"/>
              </w:rPr>
              <w:t>This is not just a one-off saving; it creates a more efficient operating model.</w:t>
            </w:r>
          </w:p>
        </w:tc>
      </w:tr>
      <w:tr w:rsidR="16F5B189" w:rsidTr="6C8B6F3E" w14:paraId="5873DE0E">
        <w:trPr>
          <w:trHeight w:val="300"/>
        </w:trPr>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06E42ED3" w14:textId="0AEDD021">
            <w:pPr>
              <w:bidi w:val="0"/>
              <w:spacing w:before="0" w:beforeAutospacing="off" w:after="0" w:afterAutospacing="off"/>
            </w:pPr>
            <w:r w:rsidRPr="6C8B6F3E" w:rsidR="6C8B6F3E">
              <w:rPr>
                <w:rFonts w:ascii="Aptos" w:hAnsi="Aptos" w:eastAsia="Aptos" w:cs="Aptos"/>
                <w:sz w:val="17"/>
                <w:szCs w:val="17"/>
              </w:rPr>
              <w:t>4. Faster turnaround</w:t>
            </w:r>
          </w:p>
        </w:tc>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091B0BEB" w14:textId="47B629F8">
            <w:pPr>
              <w:bidi w:val="0"/>
              <w:spacing w:before="0" w:beforeAutospacing="off" w:after="0" w:afterAutospacing="off"/>
            </w:pPr>
            <w:r w:rsidRPr="6C8B6F3E" w:rsidR="6C8B6F3E">
              <w:rPr>
                <w:rFonts w:ascii="Aptos" w:hAnsi="Aptos" w:eastAsia="Aptos" w:cs="Aptos"/>
                <w:sz w:val="17"/>
                <w:szCs w:val="17"/>
              </w:rPr>
              <w:t>A distressed company has limited time. Integration creates a structured pathway to operational recovery.</w:t>
            </w:r>
          </w:p>
        </w:tc>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0E003F9D" w14:textId="0D2E8C62">
            <w:pPr>
              <w:bidi w:val="0"/>
              <w:spacing w:before="0" w:beforeAutospacing="off" w:after="0" w:afterAutospacing="off"/>
            </w:pPr>
            <w:r w:rsidRPr="6C8B6F3E" w:rsidR="6C8B6F3E">
              <w:rPr>
                <w:rFonts w:ascii="Aptos" w:hAnsi="Aptos" w:eastAsia="Aptos" w:cs="Aptos"/>
                <w:sz w:val="17"/>
                <w:szCs w:val="17"/>
              </w:rPr>
              <w:t>BCG reports that many buyers expect full synergy run-rate within roughly two to three years. [3]</w:t>
            </w:r>
          </w:p>
        </w:tc>
        <w:tc>
          <w:tcPr>
            <w:tcW w:w="2520" w:type="dxa"/>
            <w:tcBorders>
              <w:top w:val="single" w:sz="8"/>
              <w:left w:val="single" w:sz="8"/>
              <w:bottom w:val="single" w:sz="8"/>
              <w:right w:val="single" w:sz="8"/>
            </w:tcBorders>
            <w:tcMar>
              <w:left w:w="108" w:type="dxa"/>
              <w:right w:w="108" w:type="dxa"/>
            </w:tcMar>
            <w:vAlign w:val="top"/>
          </w:tcPr>
          <w:p w:rsidR="16F5B189" w:rsidP="16F5B189" w:rsidRDefault="16F5B189" w14:paraId="262031C3" w14:textId="00801815">
            <w:pPr>
              <w:bidi w:val="0"/>
              <w:spacing w:before="0" w:beforeAutospacing="off" w:after="0" w:afterAutospacing="off"/>
            </w:pPr>
            <w:r w:rsidRPr="6C8B6F3E" w:rsidR="6C8B6F3E">
              <w:rPr>
                <w:rFonts w:ascii="Aptos" w:hAnsi="Aptos" w:eastAsia="Aptos" w:cs="Aptos"/>
                <w:sz w:val="17"/>
                <w:szCs w:val="17"/>
              </w:rPr>
              <w:t>Accepting the offer is more credible than waiting for a standalone turnaround that may never happen.</w:t>
            </w:r>
          </w:p>
        </w:tc>
      </w:tr>
    </w:tbl>
    <w:p w:rsidR="16F5B189" w:rsidP="16F5B189" w:rsidRDefault="16F5B189" w14:paraId="618C420C" w14:textId="261C0515">
      <w:pPr>
        <w:pStyle w:val="Heading1"/>
        <w:bidi w:val="0"/>
        <w:spacing w:before="160" w:beforeAutospacing="off" w:after="80" w:afterAutospacing="off" w:line="276" w:lineRule="auto"/>
      </w:pPr>
      <w:r w:rsidRPr="6C8B6F3E" w:rsidR="6C8B6F3E">
        <w:rPr>
          <w:rFonts w:ascii="Calibri" w:hAnsi="Calibri" w:eastAsia="Calibri" w:cs="Calibri"/>
          <w:b w:val="1"/>
          <w:bCs w:val="1"/>
          <w:color w:val="1F4E79"/>
          <w:sz w:val="32"/>
          <w:szCs w:val="32"/>
        </w:rPr>
        <w:t>3. Full Argument Structure</w:t>
      </w:r>
    </w:p>
    <w:p w:rsidR="16F5B189" w:rsidP="16F5B189" w:rsidRDefault="16F5B189" w14:paraId="0560C2D9" w14:textId="67BD2CA1">
      <w:pPr>
        <w:pStyle w:val="Heading2"/>
        <w:bidi w:val="0"/>
        <w:spacing w:before="160" w:beforeAutospacing="off" w:after="80" w:afterAutospacing="off" w:line="276" w:lineRule="auto"/>
      </w:pPr>
      <w:r w:rsidRPr="6C8B6F3E" w:rsidR="6C8B6F3E">
        <w:rPr>
          <w:rFonts w:ascii="Calibri" w:hAnsi="Calibri" w:eastAsia="Calibri" w:cs="Calibri"/>
          <w:b w:val="1"/>
          <w:bCs w:val="1"/>
          <w:color w:val="2F5597"/>
          <w:sz w:val="26"/>
          <w:szCs w:val="26"/>
        </w:rPr>
        <w:t>Argument 1: Procurement scale lowers input costs</w:t>
      </w:r>
    </w:p>
    <w:p w:rsidR="16F5B189" w:rsidP="16F5B189" w:rsidRDefault="16F5B189" w14:paraId="093D9E78" w14:textId="08B32058">
      <w:pPr>
        <w:bidi w:val="0"/>
        <w:spacing w:before="0" w:beforeAutospacing="off" w:after="120" w:afterAutospacing="off" w:line="252" w:lineRule="auto"/>
      </w:pPr>
      <w:r w:rsidRPr="6C8B6F3E" w:rsidR="6C8B6F3E">
        <w:rPr>
          <w:rFonts w:ascii="Aptos" w:hAnsi="Aptos" w:eastAsia="Aptos" w:cs="Aptos"/>
          <w:sz w:val="21"/>
          <w:szCs w:val="21"/>
        </w:rPr>
        <w:t>Automotive assembly is deeply dependent on purchased components, supplier contracts and logistics. A medium-sized distressed company buys at a smaller scale and therefore has less negotiating power. Once integrated into a market leader, purchasing volumes increase, supplier bases can be consolidated and contracts can be renegotiated.</w:t>
      </w:r>
    </w:p>
    <w:p w:rsidR="16F5B189" w:rsidP="16F5B189" w:rsidRDefault="16F5B189" w14:paraId="17D7BB27" w14:textId="70F7BF83">
      <w:pPr>
        <w:bidi w:val="0"/>
        <w:spacing w:before="0" w:beforeAutospacing="off" w:after="120" w:afterAutospacing="off" w:line="252" w:lineRule="auto"/>
      </w:pPr>
      <w:r w:rsidRPr="6C8B6F3E" w:rsidR="6C8B6F3E">
        <w:rPr>
          <w:rFonts w:ascii="Aptos" w:hAnsi="Aptos" w:eastAsia="Aptos" w:cs="Aptos"/>
          <w:sz w:val="21"/>
          <w:szCs w:val="21"/>
        </w:rPr>
        <w:t>This matters because procurement savings are immediate and measurable. They do not require inventing a new product or waiting for market demand to change. They reduce the cost base directly. For a company in moderate distress, that can be the difference between continued erosion and a credible turnaround.</w:t>
      </w:r>
    </w:p>
    <w:p w:rsidR="16F5B189" w:rsidP="16F5B189" w:rsidRDefault="16F5B189" w14:paraId="5033E3FC" w14:textId="3C98E673">
      <w:pPr>
        <w:bidi w:val="0"/>
        <w:spacing w:before="0" w:beforeAutospacing="off" w:after="120" w:afterAutospacing="off" w:line="252" w:lineRule="auto"/>
      </w:pPr>
      <w:r w:rsidRPr="6C8B6F3E" w:rsidR="6C8B6F3E">
        <w:rPr>
          <w:rFonts w:ascii="Aptos" w:hAnsi="Aptos" w:eastAsia="Aptos" w:cs="Aptos"/>
          <w:b w:val="1"/>
          <w:bCs w:val="1"/>
          <w:sz w:val="21"/>
          <w:szCs w:val="21"/>
        </w:rPr>
        <w:t xml:space="preserve">Debate line: </w:t>
      </w:r>
      <w:r w:rsidRPr="6C8B6F3E" w:rsidR="6C8B6F3E">
        <w:rPr>
          <w:rFonts w:ascii="Aptos" w:hAnsi="Aptos" w:eastAsia="Aptos" w:cs="Aptos"/>
          <w:sz w:val="21"/>
          <w:szCs w:val="21"/>
        </w:rPr>
        <w:t>The strongest debate line: "The acquisition turns weakness in the supply chain into bargaining power. The target stops negotiating as a vulnerable mid-sized firm and starts buying as part of a market leader."</w:t>
      </w:r>
    </w:p>
    <w:p w:rsidR="16F5B189" w:rsidP="16F5B189" w:rsidRDefault="16F5B189" w14:paraId="7E722191" w14:textId="64391C1E">
      <w:pPr>
        <w:pStyle w:val="Heading2"/>
        <w:bidi w:val="0"/>
        <w:spacing w:before="160" w:beforeAutospacing="off" w:after="80" w:afterAutospacing="off" w:line="276" w:lineRule="auto"/>
      </w:pPr>
      <w:r w:rsidRPr="6C8B6F3E" w:rsidR="6C8B6F3E">
        <w:rPr>
          <w:rFonts w:ascii="Calibri" w:hAnsi="Calibri" w:eastAsia="Calibri" w:cs="Calibri"/>
          <w:b w:val="1"/>
          <w:bCs w:val="1"/>
          <w:color w:val="2F5597"/>
          <w:sz w:val="26"/>
          <w:szCs w:val="26"/>
        </w:rPr>
        <w:t>Argument 2: Economies of scale improve production efficiency</w:t>
      </w:r>
    </w:p>
    <w:p w:rsidR="16F5B189" w:rsidP="16F5B189" w:rsidRDefault="16F5B189" w14:paraId="75FE125C" w14:textId="056E787E">
      <w:pPr>
        <w:bidi w:val="0"/>
        <w:spacing w:before="0" w:beforeAutospacing="off" w:after="120" w:afterAutospacing="off" w:line="252" w:lineRule="auto"/>
      </w:pPr>
      <w:r w:rsidRPr="6C8B6F3E" w:rsidR="6C8B6F3E">
        <w:rPr>
          <w:rFonts w:ascii="Aptos" w:hAnsi="Aptos" w:eastAsia="Aptos" w:cs="Aptos"/>
          <w:sz w:val="21"/>
          <w:szCs w:val="21"/>
        </w:rPr>
        <w:t>Automotive assembly plants have high fixed costs: buildings, machinery, tooling, maintenance, energy, management and compliance. If volume is too low, each vehicle carries a higher fixed-cost burden. A market leader can use its broader production network to improve capacity utilisation, consolidate overlapping production and allocate volumes more efficiently.</w:t>
      </w:r>
    </w:p>
    <w:p w:rsidR="16F5B189" w:rsidP="16F5B189" w:rsidRDefault="16F5B189" w14:paraId="7AEA6F9F" w14:textId="2EFDEC10">
      <w:pPr>
        <w:bidi w:val="0"/>
        <w:spacing w:before="0" w:beforeAutospacing="off" w:after="120" w:afterAutospacing="off" w:line="252" w:lineRule="auto"/>
      </w:pPr>
      <w:r w:rsidRPr="6C8B6F3E" w:rsidR="6C8B6F3E">
        <w:rPr>
          <w:rFonts w:ascii="Aptos" w:hAnsi="Aptos" w:eastAsia="Aptos" w:cs="Aptos"/>
          <w:sz w:val="21"/>
          <w:szCs w:val="21"/>
        </w:rPr>
        <w:t>This is central in the German automotive context, where costs are high and international competition is intense. Scale is not only about being bigger; it is about using assets more efficiently. A firm in financial distress often cannot fill its assets alone, while a larger group may have the demand, platforms and planning capacity to do so.</w:t>
      </w:r>
    </w:p>
    <w:p w:rsidR="16F5B189" w:rsidP="16F5B189" w:rsidRDefault="16F5B189" w14:paraId="2540514F" w14:textId="3EAD7C17">
      <w:pPr>
        <w:bidi w:val="0"/>
        <w:spacing w:before="0" w:beforeAutospacing="off" w:after="120" w:afterAutospacing="off" w:line="252" w:lineRule="auto"/>
      </w:pPr>
      <w:r w:rsidRPr="6C8B6F3E" w:rsidR="6C8B6F3E">
        <w:rPr>
          <w:rFonts w:ascii="Aptos" w:hAnsi="Aptos" w:eastAsia="Aptos" w:cs="Aptos"/>
          <w:b w:val="1"/>
          <w:bCs w:val="1"/>
          <w:sz w:val="21"/>
          <w:szCs w:val="21"/>
        </w:rPr>
        <w:t xml:space="preserve">Debate line: </w:t>
      </w:r>
      <w:r w:rsidRPr="6C8B6F3E" w:rsidR="6C8B6F3E">
        <w:rPr>
          <w:rFonts w:ascii="Aptos" w:hAnsi="Aptos" w:eastAsia="Aptos" w:cs="Aptos"/>
          <w:sz w:val="21"/>
          <w:szCs w:val="21"/>
        </w:rPr>
        <w:t>The strongest debate line: "In automotive assembly, unused capacity is not neutral. It is a cost trap. The acquisition allows fixed costs to be spread over more units and therefore lowers the cost per vehicle."</w:t>
      </w:r>
    </w:p>
    <w:p w:rsidR="16F5B189" w:rsidP="16F5B189" w:rsidRDefault="16F5B189" w14:paraId="61BF4C16" w14:textId="47E17DE2">
      <w:pPr>
        <w:pStyle w:val="Heading2"/>
        <w:bidi w:val="0"/>
        <w:spacing w:before="160" w:beforeAutospacing="off" w:after="80" w:afterAutospacing="off" w:line="276" w:lineRule="auto"/>
      </w:pPr>
      <w:r w:rsidRPr="6C8B6F3E" w:rsidR="6C8B6F3E">
        <w:rPr>
          <w:rFonts w:ascii="Calibri" w:hAnsi="Calibri" w:eastAsia="Calibri" w:cs="Calibri"/>
          <w:b w:val="1"/>
          <w:bCs w:val="1"/>
          <w:color w:val="2F5597"/>
          <w:sz w:val="26"/>
          <w:szCs w:val="26"/>
        </w:rPr>
        <w:t>Argument 3: Integration creates a disciplined operating model</w:t>
      </w:r>
    </w:p>
    <w:p w:rsidR="16F5B189" w:rsidP="16F5B189" w:rsidRDefault="16F5B189" w14:paraId="3DEB63EB" w14:textId="2DE166EB">
      <w:pPr>
        <w:bidi w:val="0"/>
        <w:spacing w:before="0" w:beforeAutospacing="off" w:after="120" w:afterAutospacing="off" w:line="252" w:lineRule="auto"/>
      </w:pPr>
      <w:r w:rsidRPr="6C8B6F3E" w:rsidR="6C8B6F3E">
        <w:rPr>
          <w:rFonts w:ascii="Aptos" w:hAnsi="Aptos" w:eastAsia="Aptos" w:cs="Aptos"/>
          <w:sz w:val="21"/>
          <w:szCs w:val="21"/>
        </w:rPr>
        <w:t>Operational synergies also come from shared systems and better processes. The acquirer can integrate ERP systems, logistics planning, procurement routines, inventory management and lean production standards. Duplicated functions can be reduced and workflows can be standardised.</w:t>
      </w:r>
    </w:p>
    <w:p w:rsidR="16F5B189" w:rsidP="16F5B189" w:rsidRDefault="16F5B189" w14:paraId="1FC2045D" w14:textId="2A32B04D">
      <w:pPr>
        <w:bidi w:val="0"/>
        <w:spacing w:before="0" w:beforeAutospacing="off" w:after="120" w:afterAutospacing="off" w:line="252" w:lineRule="auto"/>
      </w:pPr>
      <w:r w:rsidRPr="6C8B6F3E" w:rsidR="6C8B6F3E">
        <w:rPr>
          <w:rFonts w:ascii="Aptos" w:hAnsi="Aptos" w:eastAsia="Aptos" w:cs="Aptos"/>
          <w:sz w:val="21"/>
          <w:szCs w:val="21"/>
        </w:rPr>
        <w:t>This is especially persuasive because it shows that synergies are not just theoretical. They come from concrete operational mechanisms: fewer duplicated tasks, simpler product complexity, better supplier coordination, lower inventories and shorter lead times.</w:t>
      </w:r>
    </w:p>
    <w:p w:rsidR="16F5B189" w:rsidP="16F5B189" w:rsidRDefault="16F5B189" w14:paraId="261D0417" w14:textId="5CCFD05A">
      <w:pPr>
        <w:bidi w:val="0"/>
        <w:spacing w:before="0" w:beforeAutospacing="off" w:after="120" w:afterAutospacing="off" w:line="252" w:lineRule="auto"/>
      </w:pPr>
      <w:r w:rsidRPr="6C8B6F3E" w:rsidR="6C8B6F3E">
        <w:rPr>
          <w:rFonts w:ascii="Aptos" w:hAnsi="Aptos" w:eastAsia="Aptos" w:cs="Aptos"/>
          <w:b w:val="1"/>
          <w:bCs w:val="1"/>
          <w:sz w:val="21"/>
          <w:szCs w:val="21"/>
        </w:rPr>
        <w:t xml:space="preserve">Debate line: </w:t>
      </w:r>
      <w:r w:rsidRPr="6C8B6F3E" w:rsidR="6C8B6F3E">
        <w:rPr>
          <w:rFonts w:ascii="Aptos" w:hAnsi="Aptos" w:eastAsia="Aptos" w:cs="Aptos"/>
          <w:sz w:val="21"/>
          <w:szCs w:val="21"/>
        </w:rPr>
        <w:t>The strongest debate line: "The target does not only receive a new owner; it receives an operating system that is already proven at larger scale."</w:t>
      </w:r>
    </w:p>
    <w:p w:rsidR="16F5B189" w:rsidP="16F5B189" w:rsidRDefault="16F5B189" w14:paraId="5C286606" w14:textId="26144BB8">
      <w:pPr>
        <w:pStyle w:val="Heading1"/>
        <w:bidi w:val="0"/>
        <w:spacing w:before="160" w:beforeAutospacing="off" w:after="80" w:afterAutospacing="off" w:line="276" w:lineRule="auto"/>
      </w:pPr>
      <w:r w:rsidRPr="6C8B6F3E" w:rsidR="6C8B6F3E">
        <w:rPr>
          <w:rFonts w:ascii="Calibri" w:hAnsi="Calibri" w:eastAsia="Calibri" w:cs="Calibri"/>
          <w:b w:val="1"/>
          <w:bCs w:val="1"/>
          <w:color w:val="1F4E79"/>
          <w:sz w:val="32"/>
          <w:szCs w:val="32"/>
        </w:rPr>
        <w:t>4. Evidence Cards</w:t>
      </w:r>
    </w:p>
    <w:tbl>
      <w:tblPr>
        <w:tblStyle w:val="TableGrid"/>
        <w:bidiVisual w:val="0"/>
        <w:tblW w:w="0" w:type="auto"/>
        <w:tblLook w:val="04A0" w:firstRow="1" w:lastRow="0" w:firstColumn="1" w:lastColumn="0" w:noHBand="0" w:noVBand="1"/>
      </w:tblPr>
      <w:tblGrid>
        <w:gridCol w:w="10080"/>
      </w:tblGrid>
      <w:tr w:rsidR="16F5B189" w:rsidTr="6C8B6F3E" w14:paraId="6D04FA54">
        <w:trPr>
          <w:trHeight w:val="300"/>
        </w:trPr>
        <w:tc>
          <w:tcPr>
            <w:tcW w:w="10080" w:type="dxa"/>
            <w:tcBorders>
              <w:top w:val="single" w:sz="8"/>
              <w:left w:val="single" w:sz="8"/>
              <w:bottom w:val="single" w:sz="8"/>
              <w:right w:val="single" w:sz="8"/>
            </w:tcBorders>
            <w:shd w:val="clear" w:color="auto" w:fill="F6F8FA"/>
            <w:tcMar>
              <w:left w:w="108" w:type="dxa"/>
              <w:right w:w="108" w:type="dxa"/>
            </w:tcMar>
            <w:vAlign w:val="top"/>
          </w:tcPr>
          <w:p w:rsidR="16F5B189" w:rsidP="16F5B189" w:rsidRDefault="16F5B189" w14:paraId="4D1C83E4" w14:textId="229A5E53">
            <w:pPr>
              <w:bidi w:val="0"/>
              <w:spacing w:before="0" w:beforeAutospacing="off" w:after="0" w:afterAutospacing="off"/>
            </w:pPr>
            <w:r w:rsidRPr="6C8B6F3E" w:rsidR="6C8B6F3E">
              <w:rPr>
                <w:rFonts w:ascii="Aptos" w:hAnsi="Aptos" w:eastAsia="Aptos" w:cs="Aptos"/>
                <w:b w:val="1"/>
                <w:bCs w:val="1"/>
                <w:color w:val="000000" w:themeColor="text1" w:themeTint="FF" w:themeShade="FF"/>
                <w:sz w:val="19"/>
                <w:szCs w:val="19"/>
              </w:rPr>
              <w:t>Cost synergies</w:t>
            </w:r>
            <w:r>
              <w:br/>
            </w:r>
            <w:r w:rsidRPr="6C8B6F3E" w:rsidR="6C8B6F3E">
              <w:rPr>
                <w:rFonts w:ascii="Aptos" w:hAnsi="Aptos" w:eastAsia="Aptos" w:cs="Aptos"/>
                <w:color w:val="000000" w:themeColor="text1" w:themeTint="FF" w:themeShade="FF"/>
                <w:sz w:val="19"/>
                <w:szCs w:val="19"/>
              </w:rPr>
              <w:t xml:space="preserve"> Evidence: L.E.K. Consulting analysed announced M&amp;A cost synergies and reports that median acquirers across industries often target roughly 6-10% of target revenue.</w:t>
            </w:r>
            <w:r>
              <w:br/>
            </w:r>
            <w:r w:rsidRPr="6C8B6F3E" w:rsidR="6C8B6F3E">
              <w:rPr>
                <w:rFonts w:ascii="Aptos" w:hAnsi="Aptos" w:eastAsia="Aptos" w:cs="Aptos"/>
                <w:b w:val="1"/>
                <w:bCs w:val="1"/>
                <w:color w:val="000000" w:themeColor="text1" w:themeTint="FF" w:themeShade="FF"/>
                <w:sz w:val="19"/>
                <w:szCs w:val="19"/>
              </w:rPr>
              <w:t xml:space="preserve"> How to use it: </w:t>
            </w:r>
            <w:r w:rsidRPr="6C8B6F3E" w:rsidR="6C8B6F3E">
              <w:rPr>
                <w:rFonts w:ascii="Aptos" w:hAnsi="Aptos" w:eastAsia="Aptos" w:cs="Aptos"/>
                <w:color w:val="000000" w:themeColor="text1" w:themeTint="FF" w:themeShade="FF"/>
                <w:sz w:val="19"/>
                <w:szCs w:val="19"/>
              </w:rPr>
              <w:t>Use this to show that operational synergies are a recognised and quantifiable M&amp;A value driver.</w:t>
            </w:r>
          </w:p>
        </w:tc>
      </w:tr>
    </w:tbl>
    <w:p w:rsidR="16F5B189" w:rsidP="16F5B189" w:rsidRDefault="16F5B189" w14:paraId="0A2F044E" w14:textId="390123FA">
      <w:pPr>
        <w:bidi w:val="0"/>
        <w:spacing w:before="0" w:beforeAutospacing="off" w:after="120" w:afterAutospacing="off" w:line="252" w:lineRule="auto"/>
      </w:pPr>
      <w:r w:rsidRPr="6C8B6F3E" w:rsidR="6C8B6F3E">
        <w:rPr>
          <w:rFonts w:ascii="Aptos" w:hAnsi="Aptos" w:eastAsia="Aptos" w:cs="Aptos"/>
          <w:sz w:val="21"/>
          <w:szCs w:val="21"/>
        </w:rPr>
        <w:t xml:space="preserve"> </w:t>
      </w:r>
    </w:p>
    <w:tbl>
      <w:tblPr>
        <w:tblStyle w:val="TableGrid"/>
        <w:bidiVisual w:val="0"/>
        <w:tblW w:w="0" w:type="auto"/>
        <w:tblLook w:val="04A0" w:firstRow="1" w:lastRow="0" w:firstColumn="1" w:lastColumn="0" w:noHBand="0" w:noVBand="1"/>
      </w:tblPr>
      <w:tblGrid>
        <w:gridCol w:w="10080"/>
      </w:tblGrid>
      <w:tr w:rsidR="16F5B189" w:rsidTr="6C8B6F3E" w14:paraId="16575BF5">
        <w:trPr>
          <w:trHeight w:val="300"/>
        </w:trPr>
        <w:tc>
          <w:tcPr>
            <w:tcW w:w="10080" w:type="dxa"/>
            <w:tcBorders>
              <w:top w:val="single" w:sz="8"/>
              <w:left w:val="single" w:sz="8"/>
              <w:bottom w:val="single" w:sz="8"/>
              <w:right w:val="single" w:sz="8"/>
            </w:tcBorders>
            <w:shd w:val="clear" w:color="auto" w:fill="F6F8FA"/>
            <w:tcMar>
              <w:left w:w="108" w:type="dxa"/>
              <w:right w:w="108" w:type="dxa"/>
            </w:tcMar>
            <w:vAlign w:val="top"/>
          </w:tcPr>
          <w:p w:rsidR="16F5B189" w:rsidP="16F5B189" w:rsidRDefault="16F5B189" w14:paraId="3E093A36" w14:textId="6961294E">
            <w:pPr>
              <w:bidi w:val="0"/>
              <w:spacing w:before="0" w:beforeAutospacing="off" w:after="0" w:afterAutospacing="off"/>
            </w:pPr>
            <w:r w:rsidRPr="6C8B6F3E" w:rsidR="6C8B6F3E">
              <w:rPr>
                <w:rFonts w:ascii="Aptos" w:hAnsi="Aptos" w:eastAsia="Aptos" w:cs="Aptos"/>
                <w:b w:val="1"/>
                <w:bCs w:val="1"/>
                <w:color w:val="000000" w:themeColor="text1" w:themeTint="FF" w:themeShade="FF"/>
                <w:sz w:val="19"/>
                <w:szCs w:val="19"/>
              </w:rPr>
              <w:t>PSA / Opel turnaround logic</w:t>
            </w:r>
            <w:r>
              <w:br/>
            </w:r>
            <w:r w:rsidRPr="6C8B6F3E" w:rsidR="6C8B6F3E">
              <w:rPr>
                <w:rFonts w:ascii="Aptos" w:hAnsi="Aptos" w:eastAsia="Aptos" w:cs="Aptos"/>
                <w:color w:val="000000" w:themeColor="text1" w:themeTint="FF" w:themeShade="FF"/>
                <w:sz w:val="19"/>
                <w:szCs w:val="19"/>
              </w:rPr>
              <w:t xml:space="preserve"> Evidence: BCG describes the PSA transformation as involving reduced model complexity, scale across fewer models, simpler procurement and greater supplier negotiating power.</w:t>
            </w:r>
            <w:r>
              <w:br/>
            </w:r>
            <w:r w:rsidRPr="6C8B6F3E" w:rsidR="6C8B6F3E">
              <w:rPr>
                <w:rFonts w:ascii="Aptos" w:hAnsi="Aptos" w:eastAsia="Aptos" w:cs="Aptos"/>
                <w:b w:val="1"/>
                <w:bCs w:val="1"/>
                <w:color w:val="000000" w:themeColor="text1" w:themeTint="FF" w:themeShade="FF"/>
                <w:sz w:val="19"/>
                <w:szCs w:val="19"/>
              </w:rPr>
              <w:t xml:space="preserve"> How to use it: </w:t>
            </w:r>
            <w:r w:rsidRPr="6C8B6F3E" w:rsidR="6C8B6F3E">
              <w:rPr>
                <w:rFonts w:ascii="Aptos" w:hAnsi="Aptos" w:eastAsia="Aptos" w:cs="Aptos"/>
                <w:color w:val="000000" w:themeColor="text1" w:themeTint="FF" w:themeShade="FF"/>
                <w:sz w:val="19"/>
                <w:szCs w:val="19"/>
              </w:rPr>
              <w:t>Use this as an automotive example of how scale can reduce complexity and costs.</w:t>
            </w:r>
          </w:p>
        </w:tc>
      </w:tr>
    </w:tbl>
    <w:p w:rsidR="16F5B189" w:rsidP="16F5B189" w:rsidRDefault="16F5B189" w14:paraId="76612571" w14:textId="608B51F8">
      <w:pPr>
        <w:bidi w:val="0"/>
        <w:spacing w:before="0" w:beforeAutospacing="off" w:after="120" w:afterAutospacing="off" w:line="252" w:lineRule="auto"/>
      </w:pPr>
      <w:r w:rsidRPr="6C8B6F3E" w:rsidR="6C8B6F3E">
        <w:rPr>
          <w:rFonts w:ascii="Aptos" w:hAnsi="Aptos" w:eastAsia="Aptos" w:cs="Aptos"/>
          <w:sz w:val="21"/>
          <w:szCs w:val="21"/>
        </w:rPr>
        <w:t xml:space="preserve"> </w:t>
      </w:r>
    </w:p>
    <w:tbl>
      <w:tblPr>
        <w:tblStyle w:val="TableGrid"/>
        <w:bidiVisual w:val="0"/>
        <w:tblW w:w="0" w:type="auto"/>
        <w:tblLook w:val="04A0" w:firstRow="1" w:lastRow="0" w:firstColumn="1" w:lastColumn="0" w:noHBand="0" w:noVBand="1"/>
      </w:tblPr>
      <w:tblGrid>
        <w:gridCol w:w="10080"/>
      </w:tblGrid>
      <w:tr w:rsidR="16F5B189" w:rsidTr="6C8B6F3E" w14:paraId="3E0E9BCB">
        <w:trPr>
          <w:trHeight w:val="300"/>
        </w:trPr>
        <w:tc>
          <w:tcPr>
            <w:tcW w:w="10080" w:type="dxa"/>
            <w:tcBorders>
              <w:top w:val="single" w:sz="8"/>
              <w:left w:val="single" w:sz="8"/>
              <w:bottom w:val="single" w:sz="8"/>
              <w:right w:val="single" w:sz="8"/>
            </w:tcBorders>
            <w:shd w:val="clear" w:color="auto" w:fill="F6F8FA"/>
            <w:tcMar>
              <w:left w:w="108" w:type="dxa"/>
              <w:right w:w="108" w:type="dxa"/>
            </w:tcMar>
            <w:vAlign w:val="top"/>
          </w:tcPr>
          <w:p w:rsidR="16F5B189" w:rsidP="16F5B189" w:rsidRDefault="16F5B189" w14:paraId="09A1A826" w14:textId="60773B80">
            <w:pPr>
              <w:bidi w:val="0"/>
              <w:spacing w:before="0" w:beforeAutospacing="off" w:after="0" w:afterAutospacing="off"/>
            </w:pPr>
            <w:r w:rsidRPr="6C8B6F3E" w:rsidR="6C8B6F3E">
              <w:rPr>
                <w:rFonts w:ascii="Aptos" w:hAnsi="Aptos" w:eastAsia="Aptos" w:cs="Aptos"/>
                <w:b w:val="1"/>
                <w:bCs w:val="1"/>
                <w:color w:val="000000" w:themeColor="text1" w:themeTint="FF" w:themeShade="FF"/>
                <w:sz w:val="19"/>
                <w:szCs w:val="19"/>
              </w:rPr>
              <w:t>Synergy timing</w:t>
            </w:r>
            <w:r>
              <w:br/>
            </w:r>
            <w:r w:rsidRPr="6C8B6F3E" w:rsidR="6C8B6F3E">
              <w:rPr>
                <w:rFonts w:ascii="Aptos" w:hAnsi="Aptos" w:eastAsia="Aptos" w:cs="Aptos"/>
                <w:color w:val="000000" w:themeColor="text1" w:themeTint="FF" w:themeShade="FF"/>
                <w:sz w:val="19"/>
                <w:szCs w:val="19"/>
              </w:rPr>
              <w:t xml:space="preserve"> Evidence: BCG reports that many buyers estimate two to three years to reach the full run-rate of synergies.</w:t>
            </w:r>
            <w:r>
              <w:br/>
            </w:r>
            <w:r w:rsidRPr="6C8B6F3E" w:rsidR="6C8B6F3E">
              <w:rPr>
                <w:rFonts w:ascii="Aptos" w:hAnsi="Aptos" w:eastAsia="Aptos" w:cs="Aptos"/>
                <w:b w:val="1"/>
                <w:bCs w:val="1"/>
                <w:color w:val="000000" w:themeColor="text1" w:themeTint="FF" w:themeShade="FF"/>
                <w:sz w:val="19"/>
                <w:szCs w:val="19"/>
              </w:rPr>
              <w:t xml:space="preserve"> How to use it: </w:t>
            </w:r>
            <w:r w:rsidRPr="6C8B6F3E" w:rsidR="6C8B6F3E">
              <w:rPr>
                <w:rFonts w:ascii="Aptos" w:hAnsi="Aptos" w:eastAsia="Aptos" w:cs="Aptos"/>
                <w:color w:val="000000" w:themeColor="text1" w:themeTint="FF" w:themeShade="FF"/>
                <w:sz w:val="19"/>
                <w:szCs w:val="19"/>
              </w:rPr>
              <w:t>Use this to rebut the claim that synergies are too slow or unrealistic.</w:t>
            </w:r>
          </w:p>
        </w:tc>
      </w:tr>
    </w:tbl>
    <w:p w:rsidR="16F5B189" w:rsidP="16F5B189" w:rsidRDefault="16F5B189" w14:paraId="0F032779" w14:textId="32610FE9">
      <w:pPr>
        <w:bidi w:val="0"/>
        <w:spacing w:before="0" w:beforeAutospacing="off" w:after="120" w:afterAutospacing="off" w:line="252" w:lineRule="auto"/>
      </w:pPr>
      <w:r w:rsidRPr="6C8B6F3E" w:rsidR="6C8B6F3E">
        <w:rPr>
          <w:rFonts w:ascii="Aptos" w:hAnsi="Aptos" w:eastAsia="Aptos" w:cs="Aptos"/>
          <w:sz w:val="21"/>
          <w:szCs w:val="21"/>
        </w:rPr>
        <w:t xml:space="preserve"> </w:t>
      </w:r>
    </w:p>
    <w:tbl>
      <w:tblPr>
        <w:tblStyle w:val="TableGrid"/>
        <w:bidiVisual w:val="0"/>
        <w:tblW w:w="0" w:type="auto"/>
        <w:tblLook w:val="04A0" w:firstRow="1" w:lastRow="0" w:firstColumn="1" w:lastColumn="0" w:noHBand="0" w:noVBand="1"/>
      </w:tblPr>
      <w:tblGrid>
        <w:gridCol w:w="10080"/>
      </w:tblGrid>
      <w:tr w:rsidR="16F5B189" w:rsidTr="6C8B6F3E" w14:paraId="53CADB76">
        <w:trPr>
          <w:trHeight w:val="300"/>
        </w:trPr>
        <w:tc>
          <w:tcPr>
            <w:tcW w:w="10080" w:type="dxa"/>
            <w:tcBorders>
              <w:top w:val="single" w:sz="8"/>
              <w:left w:val="single" w:sz="8"/>
              <w:bottom w:val="single" w:sz="8"/>
              <w:right w:val="single" w:sz="8"/>
            </w:tcBorders>
            <w:shd w:val="clear" w:color="auto" w:fill="F6F8FA"/>
            <w:tcMar>
              <w:left w:w="108" w:type="dxa"/>
              <w:right w:w="108" w:type="dxa"/>
            </w:tcMar>
            <w:vAlign w:val="top"/>
          </w:tcPr>
          <w:p w:rsidR="16F5B189" w:rsidP="16F5B189" w:rsidRDefault="16F5B189" w14:paraId="0AAADA4E" w14:textId="0AB9A3DB">
            <w:pPr>
              <w:bidi w:val="0"/>
              <w:spacing w:before="0" w:beforeAutospacing="off" w:after="0" w:afterAutospacing="off"/>
            </w:pPr>
            <w:r w:rsidRPr="6C8B6F3E" w:rsidR="6C8B6F3E">
              <w:rPr>
                <w:rFonts w:ascii="Aptos" w:hAnsi="Aptos" w:eastAsia="Aptos" w:cs="Aptos"/>
                <w:b w:val="1"/>
                <w:bCs w:val="1"/>
                <w:color w:val="000000" w:themeColor="text1" w:themeTint="FF" w:themeShade="FF"/>
                <w:sz w:val="19"/>
                <w:szCs w:val="19"/>
              </w:rPr>
              <w:t>Stellantis supply-chain case</w:t>
            </w:r>
            <w:r>
              <w:br/>
            </w:r>
            <w:r w:rsidRPr="6C8B6F3E" w:rsidR="6C8B6F3E">
              <w:rPr>
                <w:rFonts w:ascii="Aptos" w:hAnsi="Aptos" w:eastAsia="Aptos" w:cs="Aptos"/>
                <w:color w:val="000000" w:themeColor="text1" w:themeTint="FF" w:themeShade="FF"/>
                <w:sz w:val="19"/>
                <w:szCs w:val="19"/>
              </w:rPr>
              <w:t xml:space="preserve"> Evidence: A Stellantis case study reports improvements such as lower procurement costs per vehicle, better inventory turnover and shorter lead times after integration.</w:t>
            </w:r>
            <w:r>
              <w:br/>
            </w:r>
            <w:r w:rsidRPr="6C8B6F3E" w:rsidR="6C8B6F3E">
              <w:rPr>
                <w:rFonts w:ascii="Aptos" w:hAnsi="Aptos" w:eastAsia="Aptos" w:cs="Aptos"/>
                <w:b w:val="1"/>
                <w:bCs w:val="1"/>
                <w:color w:val="000000" w:themeColor="text1" w:themeTint="FF" w:themeShade="FF"/>
                <w:sz w:val="19"/>
                <w:szCs w:val="19"/>
              </w:rPr>
              <w:t xml:space="preserve"> How to use it: </w:t>
            </w:r>
            <w:r w:rsidRPr="6C8B6F3E" w:rsidR="6C8B6F3E">
              <w:rPr>
                <w:rFonts w:ascii="Aptos" w:hAnsi="Aptos" w:eastAsia="Aptos" w:cs="Aptos"/>
                <w:color w:val="000000" w:themeColor="text1" w:themeTint="FF" w:themeShade="FF"/>
                <w:sz w:val="19"/>
                <w:szCs w:val="19"/>
              </w:rPr>
              <w:t>Use this as a concrete example of supply-chain integration benefits.</w:t>
            </w:r>
          </w:p>
        </w:tc>
      </w:tr>
    </w:tbl>
    <w:p w:rsidR="16F5B189" w:rsidP="16F5B189" w:rsidRDefault="16F5B189" w14:paraId="20659070" w14:textId="1A0D9D89">
      <w:pPr>
        <w:bidi w:val="0"/>
        <w:spacing w:before="0" w:beforeAutospacing="off" w:after="120" w:afterAutospacing="off" w:line="252" w:lineRule="auto"/>
      </w:pPr>
      <w:r w:rsidRPr="6C8B6F3E" w:rsidR="6C8B6F3E">
        <w:rPr>
          <w:rFonts w:ascii="Aptos" w:hAnsi="Aptos" w:eastAsia="Aptos" w:cs="Aptos"/>
          <w:sz w:val="21"/>
          <w:szCs w:val="21"/>
        </w:rPr>
        <w:t xml:space="preserve"> </w:t>
      </w:r>
    </w:p>
    <w:tbl>
      <w:tblPr>
        <w:tblStyle w:val="TableGrid"/>
        <w:bidiVisual w:val="0"/>
        <w:tblW w:w="0" w:type="auto"/>
        <w:tblLook w:val="04A0" w:firstRow="1" w:lastRow="0" w:firstColumn="1" w:lastColumn="0" w:noHBand="0" w:noVBand="1"/>
      </w:tblPr>
      <w:tblGrid>
        <w:gridCol w:w="10080"/>
      </w:tblGrid>
      <w:tr w:rsidR="16F5B189" w:rsidTr="6C8B6F3E" w14:paraId="1D8651B2">
        <w:trPr>
          <w:trHeight w:val="300"/>
        </w:trPr>
        <w:tc>
          <w:tcPr>
            <w:tcW w:w="10080" w:type="dxa"/>
            <w:tcBorders>
              <w:top w:val="single" w:sz="8"/>
              <w:left w:val="single" w:sz="8"/>
              <w:bottom w:val="single" w:sz="8"/>
              <w:right w:val="single" w:sz="8"/>
            </w:tcBorders>
            <w:shd w:val="clear" w:color="auto" w:fill="F6F8FA"/>
            <w:tcMar>
              <w:left w:w="108" w:type="dxa"/>
              <w:right w:w="108" w:type="dxa"/>
            </w:tcMar>
            <w:vAlign w:val="top"/>
          </w:tcPr>
          <w:p w:rsidR="16F5B189" w:rsidP="16F5B189" w:rsidRDefault="16F5B189" w14:paraId="56A7C06D" w14:textId="53F7BE4F">
            <w:pPr>
              <w:bidi w:val="0"/>
              <w:spacing w:before="0" w:beforeAutospacing="off" w:after="0" w:afterAutospacing="off"/>
            </w:pPr>
            <w:r w:rsidRPr="6C8B6F3E" w:rsidR="6C8B6F3E">
              <w:rPr>
                <w:rFonts w:ascii="Aptos" w:hAnsi="Aptos" w:eastAsia="Aptos" w:cs="Aptos"/>
                <w:b w:val="1"/>
                <w:bCs w:val="1"/>
                <w:color w:val="000000" w:themeColor="text1" w:themeTint="FF" w:themeShade="FF"/>
                <w:sz w:val="19"/>
                <w:szCs w:val="19"/>
              </w:rPr>
              <w:t>European capacity problem</w:t>
            </w:r>
            <w:r>
              <w:br/>
            </w:r>
            <w:r w:rsidRPr="6C8B6F3E" w:rsidR="6C8B6F3E">
              <w:rPr>
                <w:rFonts w:ascii="Aptos" w:hAnsi="Aptos" w:eastAsia="Aptos" w:cs="Aptos"/>
                <w:color w:val="000000" w:themeColor="text1" w:themeTint="FF" w:themeShade="FF"/>
                <w:sz w:val="19"/>
                <w:szCs w:val="19"/>
              </w:rPr>
              <w:t xml:space="preserve"> Evidence: European car factories have been reported as underutilised, with roughly 70% utilisation often treated as a profitability threshold and 80-90% as a more efficient range.</w:t>
            </w:r>
            <w:r>
              <w:br/>
            </w:r>
            <w:r w:rsidRPr="6C8B6F3E" w:rsidR="6C8B6F3E">
              <w:rPr>
                <w:rFonts w:ascii="Aptos" w:hAnsi="Aptos" w:eastAsia="Aptos" w:cs="Aptos"/>
                <w:b w:val="1"/>
                <w:bCs w:val="1"/>
                <w:color w:val="000000" w:themeColor="text1" w:themeTint="FF" w:themeShade="FF"/>
                <w:sz w:val="19"/>
                <w:szCs w:val="19"/>
              </w:rPr>
              <w:t xml:space="preserve"> How to use it: </w:t>
            </w:r>
            <w:r w:rsidRPr="6C8B6F3E" w:rsidR="6C8B6F3E">
              <w:rPr>
                <w:rFonts w:ascii="Aptos" w:hAnsi="Aptos" w:eastAsia="Aptos" w:cs="Aptos"/>
                <w:color w:val="000000" w:themeColor="text1" w:themeTint="FF" w:themeShade="FF"/>
                <w:sz w:val="19"/>
                <w:szCs w:val="19"/>
              </w:rPr>
              <w:t>Use this to explain why a mid-sized firm needs scale to improve unit economics.</w:t>
            </w:r>
          </w:p>
        </w:tc>
      </w:tr>
    </w:tbl>
    <w:p w:rsidR="16F5B189" w:rsidP="16F5B189" w:rsidRDefault="16F5B189" w14:paraId="7358EF00" w14:textId="02093062">
      <w:pPr>
        <w:bidi w:val="0"/>
        <w:spacing w:before="0" w:beforeAutospacing="off" w:after="120" w:afterAutospacing="off" w:line="252" w:lineRule="auto"/>
      </w:pPr>
      <w:r w:rsidRPr="6C8B6F3E" w:rsidR="6C8B6F3E">
        <w:rPr>
          <w:rFonts w:ascii="Aptos" w:hAnsi="Aptos" w:eastAsia="Aptos" w:cs="Aptos"/>
          <w:sz w:val="21"/>
          <w:szCs w:val="21"/>
        </w:rPr>
        <w:t xml:space="preserve"> </w:t>
      </w:r>
    </w:p>
    <w:p w:rsidR="16F5B189" w:rsidP="16F5B189" w:rsidRDefault="16F5B189" w14:paraId="640AA741" w14:textId="749523A8">
      <w:pPr>
        <w:pStyle w:val="Heading1"/>
        <w:bidi w:val="0"/>
        <w:spacing w:before="160" w:beforeAutospacing="off" w:after="80" w:afterAutospacing="off" w:line="276" w:lineRule="auto"/>
      </w:pPr>
      <w:r w:rsidRPr="6C8B6F3E" w:rsidR="6C8B6F3E">
        <w:rPr>
          <w:rFonts w:ascii="Calibri" w:hAnsi="Calibri" w:eastAsia="Calibri" w:cs="Calibri"/>
          <w:b w:val="1"/>
          <w:bCs w:val="1"/>
          <w:color w:val="1F4E79"/>
          <w:sz w:val="32"/>
          <w:szCs w:val="32"/>
        </w:rPr>
        <w:t>5. Anticipated Counterarguments and Rebuttals</w:t>
      </w:r>
    </w:p>
    <w:p w:rsidR="16F5B189" w:rsidP="16F5B189" w:rsidRDefault="16F5B189" w14:paraId="42A616C2" w14:textId="1E9271B8">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GB"/>
        </w:rPr>
      </w:pPr>
      <w:r w:rsidRPr="6C8B6F3E" w:rsidR="6C8B6F3E">
        <w:rPr>
          <w:rFonts w:ascii="Aptos" w:hAnsi="Aptos" w:eastAsia="Aptos" w:cs="Aptos"/>
          <w:b w:val="1"/>
          <w:bCs w:val="1"/>
          <w:sz w:val="21"/>
          <w:szCs w:val="21"/>
        </w:rPr>
        <w:t xml:space="preserve">Opposition: Synergies are often overestimated. </w:t>
      </w:r>
      <w:r w:rsidRPr="6C8B6F3E" w:rsidR="6C8B6F3E">
        <w:rPr>
          <w:rFonts w:ascii="Aptos" w:hAnsi="Aptos" w:eastAsia="Aptos" w:cs="Aptos"/>
          <w:sz w:val="21"/>
          <w:szCs w:val="21"/>
        </w:rPr>
        <w:t>Response: That is why our argument focuses on operational synergies, not vague strategic promises. Procurement, plant utilisation, logistics integration and process standardisation are measurable and controllable. They can be tracked through cost-per-unit, lead times, inventory turnover and capacity utilisation.</w:t>
      </w:r>
    </w:p>
    <w:p w:rsidR="16F5B189" w:rsidP="16F5B189" w:rsidRDefault="16F5B189" w14:paraId="4226971C" w14:textId="501E58F1">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GB"/>
        </w:rPr>
      </w:pPr>
      <w:r w:rsidRPr="6C8B6F3E" w:rsidR="6C8B6F3E">
        <w:rPr>
          <w:rFonts w:ascii="Aptos" w:hAnsi="Aptos" w:eastAsia="Aptos" w:cs="Aptos"/>
          <w:b w:val="1"/>
          <w:bCs w:val="1"/>
          <w:sz w:val="21"/>
          <w:szCs w:val="21"/>
        </w:rPr>
        <w:t xml:space="preserve">Opposition: Integration costs will destroy the benefit. </w:t>
      </w:r>
      <w:r w:rsidRPr="6C8B6F3E" w:rsidR="6C8B6F3E">
        <w:rPr>
          <w:rFonts w:ascii="Aptos" w:hAnsi="Aptos" w:eastAsia="Aptos" w:cs="Aptos"/>
          <w:sz w:val="21"/>
          <w:szCs w:val="21"/>
        </w:rPr>
        <w:t>Response: Integration costs are real, but they are an investment into recurring savings. For a moderately distressed company, the alternative is not a cost-free status quo; the alternative is continued deterioration, weaker supplier terms and rising risk of insolvency.</w:t>
      </w:r>
    </w:p>
    <w:p w:rsidR="16F5B189" w:rsidP="16F5B189" w:rsidRDefault="16F5B189" w14:paraId="4A18F983" w14:textId="3DA11AAE">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GB"/>
        </w:rPr>
      </w:pPr>
      <w:r w:rsidRPr="6C8B6F3E" w:rsidR="6C8B6F3E">
        <w:rPr>
          <w:rFonts w:ascii="Aptos" w:hAnsi="Aptos" w:eastAsia="Aptos" w:cs="Aptos"/>
          <w:b w:val="1"/>
          <w:bCs w:val="1"/>
          <w:sz w:val="21"/>
          <w:szCs w:val="21"/>
        </w:rPr>
        <w:t xml:space="preserve">Opposition: The market leader may close plants or cut jobs. </w:t>
      </w:r>
      <w:r w:rsidRPr="6C8B6F3E" w:rsidR="6C8B6F3E">
        <w:rPr>
          <w:rFonts w:ascii="Aptos" w:hAnsi="Aptos" w:eastAsia="Aptos" w:cs="Aptos"/>
          <w:sz w:val="21"/>
          <w:szCs w:val="21"/>
        </w:rPr>
        <w:t>Response: Standalone distress is the greater threat to jobs. A structured acquisition can preserve the viable core of the company, while collapse would risk all employees and suppliers. Efficiency does not have to mean destruction; it can mean survival.</w:t>
      </w:r>
    </w:p>
    <w:p w:rsidR="16F5B189" w:rsidP="16F5B189" w:rsidRDefault="16F5B189" w14:paraId="47828D33" w14:textId="1F1DED6A">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GB"/>
        </w:rPr>
      </w:pPr>
      <w:r w:rsidRPr="458E7362" w:rsidR="458E7362">
        <w:rPr>
          <w:rFonts w:ascii="Aptos" w:hAnsi="Aptos" w:eastAsia="Aptos" w:cs="Aptos"/>
          <w:b w:val="1"/>
          <w:bCs w:val="1"/>
          <w:sz w:val="21"/>
          <w:szCs w:val="21"/>
        </w:rPr>
        <w:t xml:space="preserve">Opposition: The company loses independence. </w:t>
      </w:r>
      <w:r w:rsidRPr="458E7362" w:rsidR="458E7362">
        <w:rPr>
          <w:rFonts w:ascii="Aptos" w:hAnsi="Aptos" w:eastAsia="Aptos" w:cs="Aptos"/>
          <w:sz w:val="21"/>
          <w:szCs w:val="21"/>
        </w:rPr>
        <w:t>Response: Independence has limited value if the firm cannot compete. The relevant question is not whether the company remains symbolically independent, but whether it remains operationally viable in a high-cost, highly competitive automotive sector.</w:t>
      </w:r>
    </w:p>
    <w:p w:rsidR="16F5B189" w:rsidP="458E7362" w:rsidRDefault="16F5B189" w14:paraId="05653A5B" w14:textId="25775781">
      <w:pPr>
        <w:pStyle w:val="Heading1"/>
        <w:suppressLineNumbers w:val="0"/>
        <w:bidi w:val="0"/>
        <w:spacing w:before="160" w:beforeAutospacing="off" w:after="80" w:afterAutospacing="off" w:line="276" w:lineRule="auto"/>
        <w:ind w:left="0" w:right="0"/>
        <w:jc w:val="left"/>
      </w:pPr>
      <w:r w:rsidRPr="458E7362" w:rsidR="458E7362">
        <w:rPr>
          <w:rFonts w:ascii="Calibri" w:hAnsi="Calibri" w:eastAsia="Calibri" w:cs="Calibri"/>
          <w:b w:val="1"/>
          <w:bCs w:val="1"/>
          <w:color w:val="1F4E79"/>
          <w:sz w:val="32"/>
          <w:szCs w:val="32"/>
        </w:rPr>
        <w:t>6. Sources Used for Evidence</w:t>
      </w:r>
    </w:p>
    <w:p w:rsidR="16F5B189" w:rsidP="16F5B189" w:rsidRDefault="16F5B189" w14:paraId="486B198A" w14:textId="4600B658">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GB"/>
        </w:rPr>
      </w:pPr>
      <w:r w:rsidRPr="6C8B6F3E" w:rsidR="6C8B6F3E">
        <w:rPr>
          <w:rFonts w:ascii="Aptos" w:hAnsi="Aptos" w:eastAsia="Aptos" w:cs="Aptos"/>
          <w:b w:val="1"/>
          <w:bCs w:val="1"/>
          <w:sz w:val="21"/>
          <w:szCs w:val="21"/>
        </w:rPr>
        <w:t>[1] L.E.K. Consulting, "Keys to Unlocking Merger Value: Cost Synergies"</w:t>
      </w:r>
      <w:r>
        <w:br/>
      </w:r>
      <w:r w:rsidRPr="6C8B6F3E" w:rsidR="6C8B6F3E">
        <w:rPr>
          <w:rFonts w:ascii="Aptos" w:hAnsi="Aptos" w:eastAsia="Aptos" w:cs="Aptos"/>
          <w:sz w:val="21"/>
          <w:szCs w:val="21"/>
        </w:rPr>
        <w:t xml:space="preserve"> Used for benchmark figures on announced cost-synergy targets in M&amp;A, especially the 6-10% of target revenue range.</w:t>
      </w:r>
      <w:r>
        <w:br/>
      </w:r>
      <w:r w:rsidRPr="6C8B6F3E" w:rsidR="6C8B6F3E">
        <w:rPr>
          <w:rFonts w:ascii="Aptos" w:hAnsi="Aptos" w:eastAsia="Aptos" w:cs="Aptos"/>
          <w:sz w:val="21"/>
          <w:szCs w:val="21"/>
        </w:rPr>
        <w:t xml:space="preserve"> </w:t>
      </w:r>
      <w:hyperlink r:id="Rc7b40fa3016849b7">
        <w:r w:rsidRPr="6C8B6F3E" w:rsidR="6C8B6F3E">
          <w:rPr>
            <w:rStyle w:val="Hyperlink"/>
          </w:rPr>
          <w:t>https://www.lek.com/insights/post-merger-integration/keys-unlocking-merger-value-cost-synergies</w:t>
        </w:r>
      </w:hyperlink>
    </w:p>
    <w:p w:rsidR="16F5B189" w:rsidP="16F5B189" w:rsidRDefault="16F5B189" w14:paraId="62D3D17E" w14:textId="29126322">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GB"/>
        </w:rPr>
      </w:pPr>
      <w:r w:rsidRPr="6C8B6F3E" w:rsidR="6C8B6F3E">
        <w:rPr>
          <w:rFonts w:ascii="Aptos" w:hAnsi="Aptos" w:eastAsia="Aptos" w:cs="Aptos"/>
          <w:b w:val="1"/>
          <w:bCs w:val="1"/>
          <w:sz w:val="21"/>
          <w:szCs w:val="21"/>
        </w:rPr>
        <w:t>[2] Boston Consulting Group, "8 Successful Mergers, Acquisitions &amp; Turnarounds"</w:t>
      </w:r>
      <w:r>
        <w:br/>
      </w:r>
      <w:r w:rsidRPr="6C8B6F3E" w:rsidR="6C8B6F3E">
        <w:rPr>
          <w:rFonts w:ascii="Aptos" w:hAnsi="Aptos" w:eastAsia="Aptos" w:cs="Aptos"/>
          <w:sz w:val="21"/>
          <w:szCs w:val="21"/>
        </w:rPr>
        <w:t xml:space="preserve"> Used for PSA/Opel-style turnaround logic: model complexity, scale, procurement power and margin improvement.</w:t>
      </w:r>
      <w:r>
        <w:br/>
      </w:r>
      <w:r w:rsidRPr="6C8B6F3E" w:rsidR="6C8B6F3E">
        <w:rPr>
          <w:rFonts w:ascii="Aptos" w:hAnsi="Aptos" w:eastAsia="Aptos" w:cs="Aptos"/>
          <w:sz w:val="21"/>
          <w:szCs w:val="21"/>
        </w:rPr>
        <w:t xml:space="preserve"> </w:t>
      </w:r>
      <w:hyperlink r:id="R8d55a9bf73ed4b07">
        <w:r w:rsidRPr="6C8B6F3E" w:rsidR="6C8B6F3E">
          <w:rPr>
            <w:rStyle w:val="Hyperlink"/>
          </w:rPr>
          <w:t>https://www.bcg.com/publications/2018/lessons-from-eight-successful-mergers-acquisitions-turnarounds</w:t>
        </w:r>
      </w:hyperlink>
    </w:p>
    <w:p w:rsidR="16F5B189" w:rsidP="16F5B189" w:rsidRDefault="16F5B189" w14:paraId="6D2CA23E" w14:textId="1F716A53">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GB"/>
        </w:rPr>
      </w:pPr>
      <w:r w:rsidRPr="6C8B6F3E" w:rsidR="6C8B6F3E">
        <w:rPr>
          <w:rFonts w:ascii="Aptos" w:hAnsi="Aptos" w:eastAsia="Aptos" w:cs="Aptos"/>
          <w:b w:val="1"/>
          <w:bCs w:val="1"/>
          <w:sz w:val="21"/>
          <w:szCs w:val="21"/>
        </w:rPr>
        <w:t>[3] Boston Consulting Group, "Lofty Valuations Put Spotlight on Synergies"</w:t>
      </w:r>
      <w:r>
        <w:br/>
      </w:r>
      <w:r w:rsidRPr="6C8B6F3E" w:rsidR="6C8B6F3E">
        <w:rPr>
          <w:rFonts w:ascii="Aptos" w:hAnsi="Aptos" w:eastAsia="Aptos" w:cs="Aptos"/>
          <w:sz w:val="21"/>
          <w:szCs w:val="21"/>
        </w:rPr>
        <w:t xml:space="preserve"> Used for timing of synergy realisation, especially the two-to-three-year full run-rate estimate.</w:t>
      </w:r>
      <w:r>
        <w:br/>
      </w:r>
      <w:r w:rsidRPr="6C8B6F3E" w:rsidR="6C8B6F3E">
        <w:rPr>
          <w:rFonts w:ascii="Aptos" w:hAnsi="Aptos" w:eastAsia="Aptos" w:cs="Aptos"/>
          <w:sz w:val="21"/>
          <w:szCs w:val="21"/>
        </w:rPr>
        <w:t xml:space="preserve"> </w:t>
      </w:r>
      <w:hyperlink r:id="Rf4f34518733a40eb">
        <w:r w:rsidRPr="6C8B6F3E" w:rsidR="6C8B6F3E">
          <w:rPr>
            <w:rStyle w:val="Hyperlink"/>
          </w:rPr>
          <w:t>https://www.bcg.com/publications/2018/lofty-valuations-put-spotlight-synergies-2018-m-and-a-report</w:t>
        </w:r>
      </w:hyperlink>
    </w:p>
    <w:p w:rsidR="16F5B189" w:rsidP="16F5B189" w:rsidRDefault="16F5B189" w14:paraId="10B0C3B3" w14:textId="29B6629E">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GB"/>
        </w:rPr>
      </w:pPr>
      <w:r w:rsidRPr="6C8B6F3E" w:rsidR="6C8B6F3E">
        <w:rPr>
          <w:rFonts w:ascii="Aptos" w:hAnsi="Aptos" w:eastAsia="Aptos" w:cs="Aptos"/>
          <w:b w:val="1"/>
          <w:bCs w:val="1"/>
          <w:sz w:val="21"/>
          <w:szCs w:val="21"/>
        </w:rPr>
        <w:t>[4] International Journal of Innovative Science and Research Technology, Stellantis supply-chain synergy case study</w:t>
      </w:r>
      <w:r>
        <w:br/>
      </w:r>
      <w:r w:rsidRPr="6C8B6F3E" w:rsidR="6C8B6F3E">
        <w:rPr>
          <w:rFonts w:ascii="Aptos" w:hAnsi="Aptos" w:eastAsia="Aptos" w:cs="Aptos"/>
          <w:sz w:val="21"/>
          <w:szCs w:val="21"/>
        </w:rPr>
        <w:t xml:space="preserve"> Used for illustrative figures on procurement costs, inventory turnover and lead-time improvements after integration.</w:t>
      </w:r>
      <w:r>
        <w:br/>
      </w:r>
      <w:r w:rsidRPr="6C8B6F3E" w:rsidR="6C8B6F3E">
        <w:rPr>
          <w:rFonts w:ascii="Aptos" w:hAnsi="Aptos" w:eastAsia="Aptos" w:cs="Aptos"/>
          <w:sz w:val="21"/>
          <w:szCs w:val="21"/>
        </w:rPr>
        <w:t xml:space="preserve"> </w:t>
      </w:r>
      <w:hyperlink r:id="R861ce20d772142db">
        <w:r w:rsidRPr="6C8B6F3E" w:rsidR="6C8B6F3E">
          <w:rPr>
            <w:rStyle w:val="Hyperlink"/>
          </w:rPr>
          <w:t>https://www.ijisrt.com/synergy-gains-in-supply-chain-for-automobile-manufacturing-in-postmerger-integration-a-case-study-of-stellantis</w:t>
        </w:r>
      </w:hyperlink>
    </w:p>
    <w:p w:rsidR="16F5B189" w:rsidP="16F5B189" w:rsidRDefault="16F5B189" w14:paraId="044AF31B" w14:textId="536EA9DC">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GB"/>
        </w:rPr>
      </w:pPr>
      <w:r w:rsidRPr="6C8B6F3E" w:rsidR="6C8B6F3E">
        <w:rPr>
          <w:rFonts w:ascii="Aptos" w:hAnsi="Aptos" w:eastAsia="Aptos" w:cs="Aptos"/>
          <w:b w:val="1"/>
          <w:bCs w:val="1"/>
          <w:sz w:val="21"/>
          <w:szCs w:val="21"/>
        </w:rPr>
        <w:t>[5] Institute for Energy Research / European factory utilisation summary</w:t>
      </w:r>
      <w:r>
        <w:br/>
      </w:r>
      <w:r w:rsidRPr="6C8B6F3E" w:rsidR="6C8B6F3E">
        <w:rPr>
          <w:rFonts w:ascii="Aptos" w:hAnsi="Aptos" w:eastAsia="Aptos" w:cs="Aptos"/>
          <w:sz w:val="21"/>
          <w:szCs w:val="21"/>
        </w:rPr>
        <w:t xml:space="preserve"> Used for the capacity-utilisation argument and the profitability threshold discussion.</w:t>
      </w:r>
      <w:r>
        <w:br/>
      </w:r>
      <w:r w:rsidRPr="6C8B6F3E" w:rsidR="6C8B6F3E">
        <w:rPr>
          <w:rFonts w:ascii="Aptos" w:hAnsi="Aptos" w:eastAsia="Aptos" w:cs="Aptos"/>
          <w:sz w:val="21"/>
          <w:szCs w:val="21"/>
        </w:rPr>
        <w:t xml:space="preserve"> </w:t>
      </w:r>
      <w:hyperlink r:id="R504d883be95b4e1c">
        <w:r w:rsidRPr="6C8B6F3E" w:rsidR="6C8B6F3E">
          <w:rPr>
            <w:rStyle w:val="Hyperlink"/>
          </w:rPr>
          <w:t>https://www.instituteforenergyresearch.org/fossil-fuels/gas-and-oil/many-of-europes-car-factories-are-underutilized/</w:t>
        </w:r>
      </w:hyperlink>
    </w:p>
    <w:p w:rsidR="16F5B189" w:rsidP="16F5B189" w:rsidRDefault="16F5B189" w14:paraId="488D1D4D" w14:textId="1960CCB8">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GB"/>
        </w:rPr>
      </w:pPr>
      <w:r w:rsidRPr="458E7362" w:rsidR="458E7362">
        <w:rPr>
          <w:rFonts w:ascii="Aptos" w:hAnsi="Aptos" w:eastAsia="Aptos" w:cs="Aptos"/>
          <w:b w:val="1"/>
          <w:bCs w:val="1"/>
          <w:sz w:val="21"/>
          <w:szCs w:val="21"/>
        </w:rPr>
        <w:t>[6] McKinsey, "A new era: An action plan for the European automotive industry"</w:t>
      </w:r>
      <w:r>
        <w:br/>
      </w:r>
      <w:r w:rsidRPr="458E7362" w:rsidR="458E7362">
        <w:rPr>
          <w:rFonts w:ascii="Aptos" w:hAnsi="Aptos" w:eastAsia="Aptos" w:cs="Aptos"/>
          <w:sz w:val="21"/>
          <w:szCs w:val="21"/>
        </w:rPr>
        <w:t xml:space="preserve"> Used for background on the scale, cost and competitive pressure facing European automotive firms.</w:t>
      </w:r>
      <w:r>
        <w:br/>
      </w:r>
      <w:r w:rsidRPr="458E7362" w:rsidR="458E7362">
        <w:rPr>
          <w:rFonts w:ascii="Aptos" w:hAnsi="Aptos" w:eastAsia="Aptos" w:cs="Aptos"/>
          <w:sz w:val="21"/>
          <w:szCs w:val="21"/>
        </w:rPr>
        <w:t xml:space="preserve"> </w:t>
      </w:r>
      <w:hyperlink r:id="R39b15a31b9054cec">
        <w:r w:rsidRPr="458E7362" w:rsidR="458E7362">
          <w:rPr>
            <w:rStyle w:val="Hyperlink"/>
          </w:rPr>
          <w:t>https://www.mckinsey.com/features/mckinsey-center-for-future-mobility/our-insights/a-new-era-an-action-plan-for-the-european-automotive-industry</w:t>
        </w:r>
      </w:hyperlink>
    </w:p>
    <w:p w:rsidR="16F5B189" w:rsidP="458E7362" w:rsidRDefault="16F5B189" w14:paraId="2EF9BB37" w14:textId="5E56ECFC">
      <w:pPr>
        <w:pStyle w:val="ListParagraph"/>
        <w:bidi w:val="0"/>
        <w:spacing w:before="0" w:beforeAutospacing="off" w:after="0" w:afterAutospacing="off" w:line="276" w:lineRule="auto"/>
        <w:ind w:left="0" w:right="0" w:hanging="0"/>
        <w:rPr>
          <w:rFonts w:ascii="Aptos" w:hAnsi="Aptos" w:eastAsia="Aptos" w:cs="Aptos"/>
          <w:noProof w:val="0"/>
          <w:sz w:val="21"/>
          <w:szCs w:val="21"/>
          <w:lang w:val="en-GB"/>
        </w:rPr>
      </w:pPr>
    </w:p>
    <w:p w:rsidR="16F5B189" w:rsidP="458E7362" w:rsidRDefault="16F5B189" w14:paraId="28048DB6" w14:textId="13DF69EA">
      <w:pPr>
        <w:pStyle w:val="Heading1"/>
        <w:spacing w:before="0" w:beforeAutospacing="off" w:after="60" w:afterAutospacing="off"/>
      </w:pPr>
      <w:r w:rsidRPr="458E7362" w:rsidR="458E7362">
        <w:rPr>
          <w:rFonts w:ascii="Calibri" w:hAnsi="Calibri" w:eastAsia="Calibri" w:cs="Calibri"/>
          <w:b w:val="1"/>
          <w:bCs w:val="1"/>
          <w:noProof w:val="0"/>
          <w:color w:val="1F3864"/>
          <w:sz w:val="30"/>
          <w:szCs w:val="30"/>
          <w:lang w:val="en-GB"/>
        </w:rPr>
        <w:t>Argument Map: Proposition 3</w:t>
      </w:r>
    </w:p>
    <w:p w:rsidR="16F5B189" w:rsidP="458E7362" w:rsidRDefault="16F5B189" w14:paraId="31ED7C24" w14:textId="52ADEDC0">
      <w:pPr>
        <w:spacing w:before="0" w:beforeAutospacing="off" w:after="40" w:afterAutospacing="off"/>
      </w:pPr>
      <w:r w:rsidRPr="458E7362" w:rsidR="458E7362">
        <w:rPr>
          <w:rFonts w:ascii="Calibri" w:hAnsi="Calibri" w:eastAsia="Calibri" w:cs="Calibri"/>
          <w:b w:val="1"/>
          <w:bCs w:val="1"/>
          <w:noProof w:val="0"/>
          <w:sz w:val="24"/>
          <w:szCs w:val="24"/>
          <w:lang w:val="en-GB"/>
        </w:rPr>
        <w:t>Strategic Competitiveness and Future Viability</w:t>
      </w:r>
    </w:p>
    <w:p w:rsidR="16F5B189" w:rsidP="458E7362" w:rsidRDefault="16F5B189" w14:paraId="293316F9" w14:textId="147C7E1C">
      <w:pPr>
        <w:spacing w:before="0" w:beforeAutospacing="off" w:after="200" w:afterAutospacing="off"/>
      </w:pPr>
      <w:r w:rsidRPr="458E7362" w:rsidR="458E7362">
        <w:rPr>
          <w:rFonts w:ascii="Calibri" w:hAnsi="Calibri" w:eastAsia="Calibri" w:cs="Calibri"/>
          <w:i w:val="1"/>
          <w:iCs w:val="1"/>
          <w:noProof w:val="0"/>
          <w:sz w:val="19"/>
          <w:szCs w:val="19"/>
          <w:lang w:val="en-GB"/>
        </w:rPr>
        <w:t>Oxford-style debate “Market leader acquisition” (PRO side). Decision under debate: Shall a mid-sized company in the German automotive assembly sector, currently in moderate financial distress, accept the acquisition proposal from a market leader? Numbers in brackets refer to the source list at the end of this document.</w:t>
      </w:r>
    </w:p>
    <w:p w:rsidR="16F5B189" w:rsidP="458E7362" w:rsidRDefault="16F5B189" w14:paraId="0A1D34B0" w14:textId="47AAA990">
      <w:pPr>
        <w:pStyle w:val="Heading2"/>
        <w:spacing w:before="260" w:beforeAutospacing="off" w:after="140" w:afterAutospacing="off"/>
      </w:pPr>
      <w:r w:rsidRPr="458E7362" w:rsidR="458E7362">
        <w:rPr>
          <w:rFonts w:ascii="Calibri" w:hAnsi="Calibri" w:eastAsia="Calibri" w:cs="Calibri"/>
          <w:b w:val="1"/>
          <w:bCs w:val="1"/>
          <w:noProof w:val="0"/>
          <w:color w:val="1F3864"/>
          <w:sz w:val="24"/>
          <w:szCs w:val="24"/>
          <w:lang w:val="en-GB"/>
        </w:rPr>
        <w:t>Core thesis</w:t>
      </w:r>
    </w:p>
    <w:p w:rsidR="16F5B189" w:rsidP="458E7362" w:rsidRDefault="16F5B189" w14:paraId="5796B6A2" w14:textId="456A6170">
      <w:pPr>
        <w:spacing w:before="0" w:beforeAutospacing="off" w:after="200" w:afterAutospacing="off"/>
      </w:pPr>
      <w:r w:rsidRPr="458E7362" w:rsidR="458E7362">
        <w:rPr>
          <w:rFonts w:ascii="Calibri" w:hAnsi="Calibri" w:eastAsia="Calibri" w:cs="Calibri"/>
          <w:noProof w:val="0"/>
          <w:sz w:val="21"/>
          <w:szCs w:val="21"/>
          <w:lang w:val="en-GB"/>
        </w:rPr>
        <w:t>For a mid-sized company in German automotive assembly in moderate financial distress, independent future viability is no longer realistically achievable amid the current structural transformation. Acquisition by the market leader is the only path that secures strategic competitiveness in the long run. The choice is not between independence and takeover, but between controlled integration today and uncontrolled loss of relevance tomorrow.</w:t>
      </w:r>
    </w:p>
    <w:p w:rsidR="16F5B189" w:rsidP="458E7362" w:rsidRDefault="16F5B189" w14:paraId="1DEB58A7" w14:textId="47C4B02E">
      <w:pPr>
        <w:pStyle w:val="Heading2"/>
        <w:spacing w:before="260" w:beforeAutospacing="off" w:after="140" w:afterAutospacing="off"/>
      </w:pPr>
      <w:r w:rsidRPr="458E7362" w:rsidR="458E7362">
        <w:rPr>
          <w:rFonts w:ascii="Calibri" w:hAnsi="Calibri" w:eastAsia="Calibri" w:cs="Calibri"/>
          <w:b w:val="1"/>
          <w:bCs w:val="1"/>
          <w:noProof w:val="0"/>
          <w:color w:val="1F3864"/>
          <w:sz w:val="24"/>
          <w:szCs w:val="24"/>
          <w:lang w:val="en-GB"/>
        </w:rPr>
        <w:t>Supporting arguments</w:t>
      </w:r>
    </w:p>
    <w:tbl>
      <w:tblPr>
        <w:tblStyle w:val="TableNormal"/>
        <w:bidiVisual w:val="0"/>
        <w:tblW w:w="0" w:type="auto"/>
        <w:tblLook w:val="04A0" w:firstRow="1" w:lastRow="0" w:firstColumn="1" w:lastColumn="0" w:noHBand="0" w:noVBand="1"/>
      </w:tblPr>
      <w:tblGrid>
        <w:gridCol w:w="308"/>
        <w:gridCol w:w="1650"/>
        <w:gridCol w:w="4539"/>
        <w:gridCol w:w="2563"/>
      </w:tblGrid>
      <w:tr w:rsidR="458E7362" w:rsidTr="458E7362" w14:paraId="2C7310DB">
        <w:trPr>
          <w:trHeight w:val="300"/>
        </w:trPr>
        <w:tc>
          <w:tcPr>
            <w:tcW w:w="308" w:type="dxa"/>
            <w:tcBorders>
              <w:top w:val="single" w:sz="8"/>
              <w:left w:val="single" w:sz="8"/>
              <w:bottom w:val="single" w:sz="8"/>
              <w:right w:val="single" w:sz="8"/>
            </w:tcBorders>
            <w:shd w:val="clear" w:color="auto" w:fill="1F3864"/>
            <w:tcMar>
              <w:top w:w="80" w:type="dxa"/>
              <w:left w:w="100" w:type="dxa"/>
              <w:bottom w:w="80" w:type="dxa"/>
              <w:right w:w="100" w:type="dxa"/>
            </w:tcMar>
            <w:vAlign w:val="top"/>
          </w:tcPr>
          <w:p w:rsidR="458E7362" w:rsidP="458E7362" w:rsidRDefault="458E7362" w14:paraId="65C4137A" w14:textId="32FF3F1D">
            <w:pPr>
              <w:spacing w:before="0" w:beforeAutospacing="off" w:after="60" w:afterAutospacing="off"/>
            </w:pPr>
            <w:r w:rsidRPr="458E7362" w:rsidR="458E7362">
              <w:rPr>
                <w:rFonts w:ascii="Calibri" w:hAnsi="Calibri" w:eastAsia="Calibri" w:cs="Calibri"/>
                <w:b w:val="1"/>
                <w:bCs w:val="1"/>
                <w:color w:val="FFFFFF" w:themeColor="background1" w:themeTint="FF" w:themeShade="FF"/>
                <w:sz w:val="20"/>
                <w:szCs w:val="20"/>
              </w:rPr>
              <w:t>#</w:t>
            </w:r>
          </w:p>
        </w:tc>
        <w:tc>
          <w:tcPr>
            <w:tcW w:w="1650" w:type="dxa"/>
            <w:tcBorders>
              <w:top w:val="single" w:sz="8"/>
              <w:left w:val="single" w:sz="8"/>
              <w:bottom w:val="single" w:sz="8"/>
              <w:right w:val="single" w:sz="8"/>
            </w:tcBorders>
            <w:shd w:val="clear" w:color="auto" w:fill="1F3864"/>
            <w:tcMar>
              <w:top w:w="80" w:type="dxa"/>
              <w:left w:w="100" w:type="dxa"/>
              <w:bottom w:w="80" w:type="dxa"/>
              <w:right w:w="100" w:type="dxa"/>
            </w:tcMar>
            <w:vAlign w:val="top"/>
          </w:tcPr>
          <w:p w:rsidR="458E7362" w:rsidP="458E7362" w:rsidRDefault="458E7362" w14:paraId="0835D9ED" w14:textId="696B2854">
            <w:pPr>
              <w:spacing w:before="0" w:beforeAutospacing="off" w:after="60" w:afterAutospacing="off"/>
            </w:pPr>
            <w:r w:rsidRPr="458E7362" w:rsidR="458E7362">
              <w:rPr>
                <w:rFonts w:ascii="Calibri" w:hAnsi="Calibri" w:eastAsia="Calibri" w:cs="Calibri"/>
                <w:b w:val="1"/>
                <w:bCs w:val="1"/>
                <w:color w:val="FFFFFF" w:themeColor="background1" w:themeTint="FF" w:themeShade="FF"/>
                <w:sz w:val="20"/>
                <w:szCs w:val="20"/>
              </w:rPr>
              <w:t>Argument</w:t>
            </w:r>
          </w:p>
        </w:tc>
        <w:tc>
          <w:tcPr>
            <w:tcW w:w="4539" w:type="dxa"/>
            <w:tcBorders>
              <w:top w:val="single" w:sz="8"/>
              <w:left w:val="single" w:sz="8"/>
              <w:bottom w:val="single" w:sz="8"/>
              <w:right w:val="single" w:sz="8"/>
            </w:tcBorders>
            <w:shd w:val="clear" w:color="auto" w:fill="1F3864"/>
            <w:tcMar>
              <w:top w:w="80" w:type="dxa"/>
              <w:left w:w="100" w:type="dxa"/>
              <w:bottom w:w="80" w:type="dxa"/>
              <w:right w:w="100" w:type="dxa"/>
            </w:tcMar>
            <w:vAlign w:val="top"/>
          </w:tcPr>
          <w:p w:rsidR="458E7362" w:rsidP="458E7362" w:rsidRDefault="458E7362" w14:paraId="438BC22C" w14:textId="1559C23B">
            <w:pPr>
              <w:spacing w:before="0" w:beforeAutospacing="off" w:after="60" w:afterAutospacing="off"/>
            </w:pPr>
            <w:r w:rsidRPr="458E7362" w:rsidR="458E7362">
              <w:rPr>
                <w:rFonts w:ascii="Calibri" w:hAnsi="Calibri" w:eastAsia="Calibri" w:cs="Calibri"/>
                <w:b w:val="1"/>
                <w:bCs w:val="1"/>
                <w:color w:val="FFFFFF" w:themeColor="background1" w:themeTint="FF" w:themeShade="FF"/>
                <w:sz w:val="20"/>
                <w:szCs w:val="20"/>
              </w:rPr>
              <w:t>Evidence and figures (source no. in brackets)</w:t>
            </w:r>
          </w:p>
        </w:tc>
        <w:tc>
          <w:tcPr>
            <w:tcW w:w="2563" w:type="dxa"/>
            <w:tcBorders>
              <w:top w:val="single" w:sz="8"/>
              <w:left w:val="single" w:sz="8"/>
              <w:bottom w:val="single" w:sz="8"/>
              <w:right w:val="single" w:sz="8"/>
            </w:tcBorders>
            <w:shd w:val="clear" w:color="auto" w:fill="1F3864"/>
            <w:tcMar>
              <w:top w:w="80" w:type="dxa"/>
              <w:left w:w="100" w:type="dxa"/>
              <w:bottom w:w="80" w:type="dxa"/>
              <w:right w:w="100" w:type="dxa"/>
            </w:tcMar>
            <w:vAlign w:val="top"/>
          </w:tcPr>
          <w:p w:rsidR="458E7362" w:rsidP="458E7362" w:rsidRDefault="458E7362" w14:paraId="042DD152" w14:textId="1D8371B0">
            <w:pPr>
              <w:spacing w:before="0" w:beforeAutospacing="off" w:after="60" w:afterAutospacing="off"/>
            </w:pPr>
            <w:r w:rsidRPr="458E7362" w:rsidR="458E7362">
              <w:rPr>
                <w:rFonts w:ascii="Calibri" w:hAnsi="Calibri" w:eastAsia="Calibri" w:cs="Calibri"/>
                <w:b w:val="1"/>
                <w:bCs w:val="1"/>
                <w:color w:val="FFFFFF" w:themeColor="background1" w:themeTint="FF" w:themeShade="FF"/>
                <w:sz w:val="20"/>
                <w:szCs w:val="20"/>
              </w:rPr>
              <w:t>Logical bridge to the thesis</w:t>
            </w:r>
          </w:p>
        </w:tc>
      </w:tr>
      <w:tr w:rsidR="458E7362" w:rsidTr="458E7362" w14:paraId="06D27F46">
        <w:trPr>
          <w:trHeight w:val="300"/>
        </w:trPr>
        <w:tc>
          <w:tcPr>
            <w:tcW w:w="308"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668C72F1" w14:textId="07CFD83D">
            <w:pPr>
              <w:spacing w:before="0" w:beforeAutospacing="off" w:after="60" w:afterAutospacing="off"/>
            </w:pPr>
            <w:r w:rsidRPr="458E7362" w:rsidR="458E7362">
              <w:rPr>
                <w:rFonts w:ascii="Calibri" w:hAnsi="Calibri" w:eastAsia="Calibri" w:cs="Calibri"/>
                <w:sz w:val="19"/>
                <w:szCs w:val="19"/>
              </w:rPr>
              <w:t>1</w:t>
            </w:r>
          </w:p>
        </w:tc>
        <w:tc>
          <w:tcPr>
            <w:tcW w:w="1650"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6B6A4451" w14:textId="6163AB30">
            <w:pPr>
              <w:spacing w:before="0" w:beforeAutospacing="off" w:after="60" w:afterAutospacing="off"/>
            </w:pPr>
            <w:r w:rsidRPr="458E7362" w:rsidR="458E7362">
              <w:rPr>
                <w:rFonts w:ascii="Calibri" w:hAnsi="Calibri" w:eastAsia="Calibri" w:cs="Calibri"/>
                <w:b w:val="1"/>
                <w:bCs w:val="1"/>
                <w:sz w:val="19"/>
                <w:szCs w:val="19"/>
              </w:rPr>
              <w:t>The crisis is structural, not cyclical. Waiting it out is not an option.</w:t>
            </w:r>
          </w:p>
        </w:tc>
        <w:tc>
          <w:tcPr>
            <w:tcW w:w="4539"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75B42340" w14:textId="0EAFECD7">
            <w:pPr>
              <w:spacing w:before="0" w:beforeAutospacing="off" w:after="60" w:afterAutospacing="off"/>
            </w:pPr>
            <w:r w:rsidRPr="458E7362" w:rsidR="458E7362">
              <w:rPr>
                <w:rFonts w:ascii="Calibri" w:hAnsi="Calibri" w:eastAsia="Calibri" w:cs="Calibri"/>
                <w:sz w:val="19"/>
                <w:szCs w:val="19"/>
              </w:rPr>
              <w:t>The challenges facing the supplier industry at the start of 2026 are no longer cyclical but structural, and they are intensifying [1].</w:t>
            </w:r>
          </w:p>
          <w:p w:rsidR="458E7362" w:rsidP="458E7362" w:rsidRDefault="458E7362" w14:paraId="52C3543F" w14:textId="5DA7BDD2">
            <w:pPr>
              <w:spacing w:before="0" w:beforeAutospacing="off" w:after="60" w:afterAutospacing="off"/>
            </w:pPr>
            <w:r w:rsidRPr="458E7362" w:rsidR="458E7362">
              <w:rPr>
                <w:rFonts w:ascii="Calibri" w:hAnsi="Calibri" w:eastAsia="Calibri" w:cs="Calibri"/>
                <w:sz w:val="19"/>
                <w:szCs w:val="19"/>
              </w:rPr>
              <w:t>2025 saw a record 59 large insolvencies among automotive suppliers (revenue above EUR 10m); between 2020 and 2025 there were 257 such cases [1].</w:t>
            </w:r>
          </w:p>
          <w:p w:rsidR="458E7362" w:rsidP="458E7362" w:rsidRDefault="458E7362" w14:paraId="57229FBE" w14:textId="00B8E410">
            <w:pPr>
              <w:spacing w:before="0" w:beforeAutospacing="off" w:after="60" w:afterAutospacing="off"/>
            </w:pPr>
            <w:r w:rsidRPr="458E7362" w:rsidR="458E7362">
              <w:rPr>
                <w:rFonts w:ascii="Calibri" w:hAnsi="Calibri" w:eastAsia="Calibri" w:cs="Calibri"/>
                <w:sz w:val="19"/>
                <w:szCs w:val="19"/>
              </w:rPr>
              <w:t>The broader base confirms the trend. Creditreform counted around 23,900 corporate insolvencies in Germany in 2025, a ten-year high and up 8.3% year on year, with manufacturing up 10.3% [3]. EY registered 39 supplier insolvency filings (firms with 50+ employees) between January and November 2025, a 14-year high, after 29 in 2024 and 21 in 2023 [4].</w:t>
            </w:r>
          </w:p>
          <w:p w:rsidR="458E7362" w:rsidP="458E7362" w:rsidRDefault="458E7362" w14:paraId="6DFADC0D" w14:textId="32C55D8E">
            <w:pPr>
              <w:spacing w:before="0" w:beforeAutospacing="off" w:after="60" w:afterAutospacing="off"/>
            </w:pPr>
            <w:r w:rsidRPr="458E7362" w:rsidR="458E7362">
              <w:rPr>
                <w:rFonts w:ascii="Calibri" w:hAnsi="Calibri" w:eastAsia="Calibri" w:cs="Calibri"/>
                <w:sz w:val="19"/>
                <w:szCs w:val="19"/>
              </w:rPr>
              <w:t>German supplier revenues fell 4% and supplier jobs 11% in 2025 alone; supplier employment reached its lowest level in at least 20 years, down 23% since 2019 [4].</w:t>
            </w:r>
          </w:p>
          <w:p w:rsidR="458E7362" w:rsidP="458E7362" w:rsidRDefault="458E7362" w14:paraId="19F2756A" w14:textId="799E8E6E">
            <w:pPr>
              <w:spacing w:before="0" w:beforeAutospacing="off" w:after="60" w:afterAutospacing="off"/>
            </w:pPr>
            <w:r w:rsidRPr="458E7362" w:rsidR="458E7362">
              <w:rPr>
                <w:rFonts w:ascii="Calibri" w:hAnsi="Calibri" w:eastAsia="Calibri" w:cs="Calibri"/>
                <w:sz w:val="19"/>
                <w:szCs w:val="19"/>
              </w:rPr>
              <w:t>No turnaround ahead. Falkensteg forecasts roughly 62 large supplier insolvencies for 2026 (+5%), with stabilization not expected before 2027 [2] [3]. IWH data show 4,573 corporate insolvencies in Q1 2026, the highest quarterly figure since Q3 2005 [6].</w:t>
            </w:r>
          </w:p>
        </w:tc>
        <w:tc>
          <w:tcPr>
            <w:tcW w:w="2563"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71D806BF" w14:textId="7BF82568">
            <w:pPr>
              <w:spacing w:before="0" w:beforeAutospacing="off" w:after="60" w:afterAutospacing="off"/>
            </w:pPr>
            <w:r w:rsidRPr="458E7362" w:rsidR="458E7362">
              <w:rPr>
                <w:rFonts w:ascii="Calibri" w:hAnsi="Calibri" w:eastAsia="Calibri" w:cs="Calibri"/>
                <w:sz w:val="19"/>
                <w:szCs w:val="19"/>
              </w:rPr>
              <w:t>A cyclical downturn can be bridged with interim financing. A structural break is only survived by firms able to actively finance the transformation. That is precisely what our company can no longer do on its own.</w:t>
            </w:r>
          </w:p>
        </w:tc>
      </w:tr>
      <w:tr w:rsidR="458E7362" w:rsidTr="458E7362" w14:paraId="6A207BDF">
        <w:trPr>
          <w:trHeight w:val="300"/>
        </w:trPr>
        <w:tc>
          <w:tcPr>
            <w:tcW w:w="308" w:type="dxa"/>
            <w:tcBorders>
              <w:top w:val="single" w:sz="8"/>
              <w:left w:val="single" w:sz="8"/>
              <w:bottom w:val="single" w:sz="8"/>
              <w:right w:val="single" w:sz="8"/>
            </w:tcBorders>
            <w:shd w:val="clear" w:color="auto" w:fill="F2F2F2" w:themeFill="background1" w:themeFillShade="F2"/>
            <w:tcMar>
              <w:top w:w="80" w:type="dxa"/>
              <w:left w:w="100" w:type="dxa"/>
              <w:bottom w:w="80" w:type="dxa"/>
              <w:right w:w="100" w:type="dxa"/>
            </w:tcMar>
            <w:vAlign w:val="top"/>
          </w:tcPr>
          <w:p w:rsidR="458E7362" w:rsidP="458E7362" w:rsidRDefault="458E7362" w14:paraId="222C96AC" w14:textId="19AAD508">
            <w:pPr>
              <w:spacing w:before="0" w:beforeAutospacing="off" w:after="60" w:afterAutospacing="off"/>
            </w:pPr>
            <w:r w:rsidRPr="458E7362" w:rsidR="458E7362">
              <w:rPr>
                <w:rFonts w:ascii="Calibri" w:hAnsi="Calibri" w:eastAsia="Calibri" w:cs="Calibri"/>
                <w:color w:val="000000" w:themeColor="text1" w:themeTint="FF" w:themeShade="FF"/>
                <w:sz w:val="19"/>
                <w:szCs w:val="19"/>
              </w:rPr>
              <w:t>2</w:t>
            </w:r>
          </w:p>
        </w:tc>
        <w:tc>
          <w:tcPr>
            <w:tcW w:w="1650" w:type="dxa"/>
            <w:tcBorders>
              <w:top w:val="single" w:sz="8"/>
              <w:left w:val="single" w:sz="8"/>
              <w:bottom w:val="single" w:sz="8"/>
              <w:right w:val="single" w:sz="8"/>
            </w:tcBorders>
            <w:shd w:val="clear" w:color="auto" w:fill="F2F2F2" w:themeFill="background1" w:themeFillShade="F2"/>
            <w:tcMar>
              <w:top w:w="80" w:type="dxa"/>
              <w:left w:w="100" w:type="dxa"/>
              <w:bottom w:w="80" w:type="dxa"/>
              <w:right w:w="100" w:type="dxa"/>
            </w:tcMar>
            <w:vAlign w:val="top"/>
          </w:tcPr>
          <w:p w:rsidR="458E7362" w:rsidP="458E7362" w:rsidRDefault="458E7362" w14:paraId="59D560D6" w14:textId="4F1A4774">
            <w:pPr>
              <w:spacing w:before="0" w:beforeAutospacing="off" w:after="60" w:afterAutospacing="off"/>
            </w:pPr>
            <w:r w:rsidRPr="458E7362" w:rsidR="458E7362">
              <w:rPr>
                <w:rFonts w:ascii="Calibri" w:hAnsi="Calibri" w:eastAsia="Calibri" w:cs="Calibri"/>
                <w:b w:val="1"/>
                <w:bCs w:val="1"/>
                <w:color w:val="000000" w:themeColor="text1" w:themeTint="FF" w:themeShade="FF"/>
                <w:sz w:val="19"/>
                <w:szCs w:val="19"/>
              </w:rPr>
              <w:t>Future technologies demand scale and R&amp;D volumes that only the market leader can provide.</w:t>
            </w:r>
          </w:p>
        </w:tc>
        <w:tc>
          <w:tcPr>
            <w:tcW w:w="4539" w:type="dxa"/>
            <w:tcBorders>
              <w:top w:val="single" w:sz="8"/>
              <w:left w:val="single" w:sz="8"/>
              <w:bottom w:val="single" w:sz="8"/>
              <w:right w:val="single" w:sz="8"/>
            </w:tcBorders>
            <w:shd w:val="clear" w:color="auto" w:fill="F2F2F2" w:themeFill="background1" w:themeFillShade="F2"/>
            <w:tcMar>
              <w:top w:w="80" w:type="dxa"/>
              <w:left w:w="100" w:type="dxa"/>
              <w:bottom w:w="80" w:type="dxa"/>
              <w:right w:w="100" w:type="dxa"/>
            </w:tcMar>
            <w:vAlign w:val="top"/>
          </w:tcPr>
          <w:p w:rsidR="458E7362" w:rsidP="458E7362" w:rsidRDefault="458E7362" w14:paraId="4A4FF3ED" w14:textId="099DD38F">
            <w:pPr>
              <w:spacing w:before="0" w:beforeAutospacing="off" w:after="60" w:afterAutospacing="off"/>
            </w:pPr>
            <w:r w:rsidRPr="458E7362" w:rsidR="458E7362">
              <w:rPr>
                <w:rFonts w:ascii="Calibri" w:hAnsi="Calibri" w:eastAsia="Calibri" w:cs="Calibri"/>
                <w:color w:val="000000" w:themeColor="text1" w:themeTint="FF" w:themeShade="FF"/>
                <w:sz w:val="19"/>
                <w:szCs w:val="19"/>
              </w:rPr>
              <w:t>EBIT margins of German suppliers were widely below 5% in 2025, beneath the level needed to fund investment from internal resources, and the duality of combustion and battery-electric technology forces parallel investment in both [1].</w:t>
            </w:r>
          </w:p>
          <w:p w:rsidR="458E7362" w:rsidP="458E7362" w:rsidRDefault="458E7362" w14:paraId="6FA77797" w14:textId="127D3EB6">
            <w:pPr>
              <w:spacing w:before="0" w:beforeAutospacing="off" w:after="60" w:afterAutospacing="off"/>
            </w:pPr>
            <w:r w:rsidRPr="458E7362" w:rsidR="458E7362">
              <w:rPr>
                <w:rFonts w:ascii="Calibri" w:hAnsi="Calibri" w:eastAsia="Calibri" w:cs="Calibri"/>
                <w:color w:val="000000" w:themeColor="text1" w:themeTint="FF" w:themeShade="FF"/>
                <w:sz w:val="19"/>
                <w:szCs w:val="19"/>
              </w:rPr>
              <w:t>The ticket size of the transformation is set by the leaders. Volkswagen alone plans investments of around EUR 160bn through 2030 and still cuts more than 35,000 jobs in Germany in parallel [10]; its planned 2026 investment ratio in the automotive division is 11 to 12% of revenue [11]. A distressed mid-cap cannot replicate spending of this order of magnitude at any margin level.</w:t>
            </w:r>
          </w:p>
          <w:p w:rsidR="458E7362" w:rsidP="458E7362" w:rsidRDefault="458E7362" w14:paraId="0754F9C2" w14:textId="48A3B064">
            <w:pPr>
              <w:spacing w:before="0" w:beforeAutospacing="off" w:after="60" w:afterAutospacing="off"/>
            </w:pPr>
            <w:r w:rsidRPr="458E7362" w:rsidR="458E7362">
              <w:rPr>
                <w:rFonts w:ascii="Calibri" w:hAnsi="Calibri" w:eastAsia="Calibri" w:cs="Calibri"/>
                <w:color w:val="000000" w:themeColor="text1" w:themeTint="FF" w:themeShade="FF"/>
                <w:sz w:val="19"/>
                <w:szCs w:val="19"/>
              </w:rPr>
              <w:t>The ability to deliver software reliably, quickly and at scale is becoming a basic prerequisite; whoever lacks it has a structural problem [7].</w:t>
            </w:r>
          </w:p>
          <w:p w:rsidR="458E7362" w:rsidP="458E7362" w:rsidRDefault="458E7362" w14:paraId="34BC96B9" w14:textId="1128CEC8">
            <w:pPr>
              <w:spacing w:before="0" w:beforeAutospacing="off" w:after="60" w:afterAutospacing="off"/>
            </w:pPr>
            <w:r w:rsidRPr="458E7362" w:rsidR="458E7362">
              <w:rPr>
                <w:rFonts w:ascii="Calibri" w:hAnsi="Calibri" w:eastAsia="Calibri" w:cs="Calibri"/>
                <w:color w:val="000000" w:themeColor="text1" w:themeTint="FF" w:themeShade="FF"/>
                <w:sz w:val="19"/>
                <w:szCs w:val="19"/>
              </w:rPr>
              <w:t>Scale economics in figures. With its SSP platform, VW targets a complexity reduction of about 50% and cost savings of 10 to 20% versus current platforms [9]. Such platform effects are only accessible inside a high-volume group.</w:t>
            </w:r>
          </w:p>
          <w:p w:rsidR="458E7362" w:rsidP="458E7362" w:rsidRDefault="458E7362" w14:paraId="3A801048" w14:textId="104C3FE0">
            <w:pPr>
              <w:spacing w:before="0" w:beforeAutospacing="off" w:after="60" w:afterAutospacing="off"/>
            </w:pPr>
            <w:r w:rsidRPr="458E7362" w:rsidR="458E7362">
              <w:rPr>
                <w:rFonts w:ascii="Calibri" w:hAnsi="Calibri" w:eastAsia="Calibri" w:cs="Calibri"/>
                <w:color w:val="000000" w:themeColor="text1" w:themeTint="FF" w:themeShade="FF"/>
                <w:sz w:val="19"/>
                <w:szCs w:val="19"/>
              </w:rPr>
              <w:t>Even giants hit their limits. ZF is selling its ADAS unit to Harman for EUR 1.5bn to cut debt and sharpen its focus [8].</w:t>
            </w:r>
          </w:p>
        </w:tc>
        <w:tc>
          <w:tcPr>
            <w:tcW w:w="2563" w:type="dxa"/>
            <w:tcBorders>
              <w:top w:val="single" w:sz="8"/>
              <w:left w:val="single" w:sz="8"/>
              <w:bottom w:val="single" w:sz="8"/>
              <w:right w:val="single" w:sz="8"/>
            </w:tcBorders>
            <w:shd w:val="clear" w:color="auto" w:fill="F2F2F2" w:themeFill="background1" w:themeFillShade="F2"/>
            <w:tcMar>
              <w:top w:w="80" w:type="dxa"/>
              <w:left w:w="100" w:type="dxa"/>
              <w:bottom w:w="80" w:type="dxa"/>
              <w:right w:w="100" w:type="dxa"/>
            </w:tcMar>
            <w:vAlign w:val="top"/>
          </w:tcPr>
          <w:p w:rsidR="458E7362" w:rsidP="458E7362" w:rsidRDefault="458E7362" w14:paraId="629C3C04" w14:textId="43C372CE">
            <w:pPr>
              <w:spacing w:before="0" w:beforeAutospacing="off" w:after="60" w:afterAutospacing="off"/>
            </w:pPr>
            <w:r w:rsidRPr="458E7362" w:rsidR="458E7362">
              <w:rPr>
                <w:rFonts w:ascii="Calibri" w:hAnsi="Calibri" w:eastAsia="Calibri" w:cs="Calibri"/>
                <w:color w:val="000000" w:themeColor="text1" w:themeTint="FF" w:themeShade="FF"/>
                <w:sz w:val="19"/>
                <w:szCs w:val="19"/>
              </w:rPr>
              <w:t>If even tier-1 groups must divest core businesses to finance the transformation, it is illusory to think a mid-sized assembler in distress could keep pace alone in E/E architectures, software-defined vehicles and electrification. As part of the market leader, the company gains access to platforms, R&amp;D budgets and purchasing volumes it could never reach independently.</w:t>
            </w:r>
          </w:p>
        </w:tc>
      </w:tr>
      <w:tr w:rsidR="458E7362" w:rsidTr="458E7362" w14:paraId="4FF1D09D">
        <w:trPr>
          <w:trHeight w:val="300"/>
        </w:trPr>
        <w:tc>
          <w:tcPr>
            <w:tcW w:w="308"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72C45083" w14:textId="7AF300D3">
            <w:pPr>
              <w:spacing w:before="0" w:beforeAutospacing="off" w:after="60" w:afterAutospacing="off"/>
            </w:pPr>
            <w:r w:rsidRPr="458E7362" w:rsidR="458E7362">
              <w:rPr>
                <w:rFonts w:ascii="Calibri" w:hAnsi="Calibri" w:eastAsia="Calibri" w:cs="Calibri"/>
                <w:sz w:val="19"/>
                <w:szCs w:val="19"/>
              </w:rPr>
              <w:t>3</w:t>
            </w:r>
          </w:p>
        </w:tc>
        <w:tc>
          <w:tcPr>
            <w:tcW w:w="1650"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47B55B65" w14:textId="0D9E4080">
            <w:pPr>
              <w:spacing w:before="0" w:beforeAutospacing="off" w:after="60" w:afterAutospacing="off"/>
            </w:pPr>
            <w:r w:rsidRPr="458E7362" w:rsidR="458E7362">
              <w:rPr>
                <w:rFonts w:ascii="Calibri" w:hAnsi="Calibri" w:eastAsia="Calibri" w:cs="Calibri"/>
                <w:b w:val="1"/>
                <w:bCs w:val="1"/>
                <w:sz w:val="19"/>
                <w:szCs w:val="19"/>
              </w:rPr>
              <w:t>Global competition is shifting against German mid-caps. Only integration into a competitive overall system secures the position.</w:t>
            </w:r>
          </w:p>
        </w:tc>
        <w:tc>
          <w:tcPr>
            <w:tcW w:w="4539"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60426077" w14:textId="2E004024">
            <w:pPr>
              <w:spacing w:before="0" w:beforeAutospacing="off" w:after="60" w:afterAutospacing="off"/>
            </w:pPr>
            <w:r w:rsidRPr="458E7362" w:rsidR="458E7362">
              <w:rPr>
                <w:rFonts w:ascii="Calibri" w:hAnsi="Calibri" w:eastAsia="Calibri" w:cs="Calibri"/>
                <w:sz w:val="19"/>
                <w:szCs w:val="19"/>
              </w:rPr>
              <w:t>German suppliers are losing ground in China, the world's most important car market, because they are no longer competitive in software, electronics and e-mobility; since 2018 the industry has lost around 120,000 jobs [5]. Bosch is close to losing its status as the world's largest automotive supplier to a Chinese company [17].</w:t>
            </w:r>
          </w:p>
          <w:p w:rsidR="458E7362" w:rsidP="458E7362" w:rsidRDefault="458E7362" w14:paraId="5B59E41C" w14:textId="2442275D">
            <w:pPr>
              <w:spacing w:before="0" w:beforeAutospacing="off" w:after="60" w:afterAutospacing="off"/>
            </w:pPr>
            <w:r w:rsidRPr="458E7362" w:rsidR="458E7362">
              <w:rPr>
                <w:rFonts w:ascii="Calibri" w:hAnsi="Calibri" w:eastAsia="Calibri" w:cs="Calibri"/>
                <w:sz w:val="19"/>
                <w:szCs w:val="19"/>
              </w:rPr>
              <w:t>Chinese manufacturers are converting this strength into European market share. Their EU registration share reached about 6% between January and April 2026, nearly double the 3.2% of the prior-year period; BYD alone grew 152.9% to more than 71,850 vehicles [12]. Across Europe (EU, EFTA, UK), Chinese brands recorded 619,353 registrations from January to May 2026, up 61.2% [13].</w:t>
            </w:r>
          </w:p>
          <w:p w:rsidR="458E7362" w:rsidP="458E7362" w:rsidRDefault="458E7362" w14:paraId="5F917FEF" w14:textId="7EF8F6B4">
            <w:pPr>
              <w:spacing w:before="0" w:beforeAutospacing="off" w:after="60" w:afterAutospacing="off"/>
            </w:pPr>
            <w:r w:rsidRPr="458E7362" w:rsidR="458E7362">
              <w:rPr>
                <w:rFonts w:ascii="Calibri" w:hAnsi="Calibri" w:eastAsia="Calibri" w:cs="Calibri"/>
                <w:sz w:val="19"/>
                <w:szCs w:val="19"/>
              </w:rPr>
              <w:t>In the battery-electric segment, the pressure is even more direct. Chinese brands took 15.2% of the Western European BEV market in April 2026, up from 9.9% a year earlier [15]. Inovev projects a double-digit European share for Chinese manufacturers by 2028 at the latest and 12 to 15% by 2030 [14].</w:t>
            </w:r>
          </w:p>
          <w:p w:rsidR="458E7362" w:rsidP="458E7362" w:rsidRDefault="458E7362" w14:paraId="5A3799CE" w14:textId="4F3FBA8F">
            <w:pPr>
              <w:spacing w:before="0" w:beforeAutospacing="off" w:after="60" w:afterAutospacing="off"/>
            </w:pPr>
            <w:r w:rsidRPr="458E7362" w:rsidR="458E7362">
              <w:rPr>
                <w:rFonts w:ascii="Calibri" w:hAnsi="Calibri" w:eastAsia="Calibri" w:cs="Calibri"/>
                <w:sz w:val="19"/>
                <w:szCs w:val="19"/>
              </w:rPr>
              <w:t>At the same time, the German production base competes with a structural cost handicap. Labour costs in the German automotive industry stood at EUR 62.40 per hour, versus EUR 43.60 in the US and EUR 24 in Japan [16]. For 2026, a further intensification of Chinese competition in Europe is expected [4].</w:t>
            </w:r>
          </w:p>
        </w:tc>
        <w:tc>
          <w:tcPr>
            <w:tcW w:w="2563"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6965AE1B" w14:textId="5CAA7265">
            <w:pPr>
              <w:spacing w:before="0" w:beforeAutospacing="off" w:after="60" w:afterAutospacing="off"/>
            </w:pPr>
            <w:r w:rsidRPr="458E7362" w:rsidR="458E7362">
              <w:rPr>
                <w:rFonts w:ascii="Calibri" w:hAnsi="Calibri" w:eastAsia="Calibri" w:cs="Calibri"/>
                <w:sz w:val="19"/>
                <w:szCs w:val="19"/>
              </w:rPr>
              <w:t>Location cost disadvantages and Chinese competitive pressure hit a stand-alone mid-sized company with full force. Within the market leader's group, it benefits from a global production network, capacity steering and bargaining power. Competitiveness will be decided at system level, not at the level of individual mid-caps.</w:t>
            </w:r>
          </w:p>
        </w:tc>
      </w:tr>
    </w:tbl>
    <w:p w:rsidR="16F5B189" w:rsidP="458E7362" w:rsidRDefault="16F5B189" w14:paraId="606733BF" w14:textId="3E4CA472">
      <w:pPr>
        <w:pStyle w:val="Heading2"/>
        <w:bidi w:val="0"/>
        <w:spacing w:before="260" w:beforeAutospacing="off" w:after="140" w:afterAutospacing="off"/>
      </w:pPr>
      <w:r w:rsidRPr="458E7362" w:rsidR="458E7362">
        <w:rPr>
          <w:rFonts w:ascii="Calibri" w:hAnsi="Calibri" w:eastAsia="Calibri" w:cs="Calibri"/>
          <w:b w:val="1"/>
          <w:bCs w:val="1"/>
          <w:noProof w:val="0"/>
          <w:color w:val="1F3864"/>
          <w:sz w:val="24"/>
          <w:szCs w:val="24"/>
          <w:lang w:val="en-GB"/>
        </w:rPr>
        <w:t>Reinforcing the thesis: comparison of alternatives</w:t>
      </w:r>
    </w:p>
    <w:p w:rsidR="16F5B189" w:rsidP="458E7362" w:rsidRDefault="16F5B189" w14:paraId="2C8A1E44" w14:textId="4EDA9433">
      <w:pPr>
        <w:bidi w:val="0"/>
        <w:spacing w:before="0" w:beforeAutospacing="off" w:after="140" w:afterAutospacing="off"/>
      </w:pPr>
      <w:r w:rsidRPr="458E7362" w:rsidR="458E7362">
        <w:rPr>
          <w:rFonts w:ascii="Calibri" w:hAnsi="Calibri" w:eastAsia="Calibri" w:cs="Calibri"/>
          <w:noProof w:val="0"/>
          <w:sz w:val="21"/>
          <w:szCs w:val="21"/>
          <w:lang w:val="en-GB"/>
        </w:rPr>
        <w:t>The question is not “acquisition, yes or no” but “acquisition compared to what”. The benchmark is brutal.</w:t>
      </w:r>
    </w:p>
    <w:tbl>
      <w:tblPr>
        <w:tblStyle w:val="TableNormal"/>
        <w:bidiVisual w:val="0"/>
        <w:tblW w:w="0" w:type="auto"/>
        <w:tblLook w:val="04A0" w:firstRow="1" w:lastRow="0" w:firstColumn="1" w:lastColumn="0" w:noHBand="0" w:noVBand="1"/>
      </w:tblPr>
      <w:tblGrid>
        <w:gridCol w:w="2361"/>
        <w:gridCol w:w="6699"/>
      </w:tblGrid>
      <w:tr w:rsidR="458E7362" w:rsidTr="458E7362" w14:paraId="7E47C9C0">
        <w:trPr>
          <w:trHeight w:val="300"/>
        </w:trPr>
        <w:tc>
          <w:tcPr>
            <w:tcW w:w="2361" w:type="dxa"/>
            <w:tcBorders>
              <w:top w:val="single" w:sz="8"/>
              <w:left w:val="single" w:sz="8"/>
              <w:bottom w:val="single" w:sz="8"/>
              <w:right w:val="single" w:sz="8"/>
            </w:tcBorders>
            <w:shd w:val="clear" w:color="auto" w:fill="1F3864"/>
            <w:tcMar>
              <w:top w:w="80" w:type="dxa"/>
              <w:left w:w="100" w:type="dxa"/>
              <w:bottom w:w="80" w:type="dxa"/>
              <w:right w:w="100" w:type="dxa"/>
            </w:tcMar>
            <w:vAlign w:val="top"/>
          </w:tcPr>
          <w:p w:rsidR="458E7362" w:rsidP="458E7362" w:rsidRDefault="458E7362" w14:paraId="129CDAF9" w14:textId="335FFD89">
            <w:pPr>
              <w:bidi w:val="0"/>
              <w:spacing w:before="0" w:beforeAutospacing="off" w:after="60" w:afterAutospacing="off"/>
            </w:pPr>
            <w:r w:rsidRPr="458E7362" w:rsidR="458E7362">
              <w:rPr>
                <w:rFonts w:ascii="Calibri" w:hAnsi="Calibri" w:eastAsia="Calibri" w:cs="Calibri"/>
                <w:b w:val="1"/>
                <w:bCs w:val="1"/>
                <w:color w:val="FFFFFF" w:themeColor="background1" w:themeTint="FF" w:themeShade="FF"/>
                <w:sz w:val="20"/>
                <w:szCs w:val="20"/>
              </w:rPr>
              <w:t>Alternative</w:t>
            </w:r>
          </w:p>
        </w:tc>
        <w:tc>
          <w:tcPr>
            <w:tcW w:w="6699" w:type="dxa"/>
            <w:tcBorders>
              <w:top w:val="single" w:sz="8"/>
              <w:left w:val="single" w:sz="8"/>
              <w:bottom w:val="single" w:sz="8"/>
              <w:right w:val="single" w:sz="8"/>
            </w:tcBorders>
            <w:shd w:val="clear" w:color="auto" w:fill="1F3864"/>
            <w:tcMar>
              <w:top w:w="80" w:type="dxa"/>
              <w:left w:w="100" w:type="dxa"/>
              <w:bottom w:w="80" w:type="dxa"/>
              <w:right w:w="100" w:type="dxa"/>
            </w:tcMar>
            <w:vAlign w:val="top"/>
          </w:tcPr>
          <w:p w:rsidR="458E7362" w:rsidP="458E7362" w:rsidRDefault="458E7362" w14:paraId="63AA8CFA" w14:textId="17E3A692">
            <w:pPr>
              <w:bidi w:val="0"/>
              <w:spacing w:before="0" w:beforeAutospacing="off" w:after="60" w:afterAutospacing="off"/>
            </w:pPr>
            <w:r w:rsidRPr="458E7362" w:rsidR="458E7362">
              <w:rPr>
                <w:rFonts w:ascii="Calibri" w:hAnsi="Calibri" w:eastAsia="Calibri" w:cs="Calibri"/>
                <w:b w:val="1"/>
                <w:bCs w:val="1"/>
                <w:color w:val="FFFFFF" w:themeColor="background1" w:themeTint="FF" w:themeShade="FF"/>
                <w:sz w:val="20"/>
                <w:szCs w:val="20"/>
              </w:rPr>
              <w:t>Realistic assessment in 2026</w:t>
            </w:r>
          </w:p>
        </w:tc>
      </w:tr>
      <w:tr w:rsidR="458E7362" w:rsidTr="458E7362" w14:paraId="48B396CE">
        <w:trPr>
          <w:trHeight w:val="300"/>
        </w:trPr>
        <w:tc>
          <w:tcPr>
            <w:tcW w:w="2361"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72FBCB8E" w14:textId="72A87E74">
            <w:pPr>
              <w:bidi w:val="0"/>
              <w:spacing w:before="0" w:beforeAutospacing="off" w:after="60" w:afterAutospacing="off"/>
            </w:pPr>
            <w:r w:rsidRPr="458E7362" w:rsidR="458E7362">
              <w:rPr>
                <w:rFonts w:ascii="Calibri" w:hAnsi="Calibri" w:eastAsia="Calibri" w:cs="Calibri"/>
                <w:b w:val="1"/>
                <w:bCs w:val="1"/>
                <w:sz w:val="19"/>
                <w:szCs w:val="19"/>
              </w:rPr>
              <w:t>Stand-alone restructuring</w:t>
            </w:r>
          </w:p>
        </w:tc>
        <w:tc>
          <w:tcPr>
            <w:tcW w:w="6699"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581F152F" w14:textId="7924C849">
            <w:pPr>
              <w:bidi w:val="0"/>
              <w:spacing w:before="0" w:beforeAutospacing="off" w:after="60" w:afterAutospacing="off"/>
            </w:pPr>
            <w:r w:rsidRPr="458E7362" w:rsidR="458E7362">
              <w:rPr>
                <w:rFonts w:ascii="Calibri" w:hAnsi="Calibri" w:eastAsia="Calibri" w:cs="Calibri"/>
                <w:sz w:val="19"/>
                <w:szCs w:val="19"/>
              </w:rPr>
              <w:t>Margins are insufficient to finance the transformation [1], and banks are responding to rising insolvencies with tighter lending standards, more collateral requirements and higher terms, at precisely the moment when investment in the business model overhaul is most urgent [6].</w:t>
            </w:r>
          </w:p>
        </w:tc>
      </w:tr>
      <w:tr w:rsidR="458E7362" w:rsidTr="458E7362" w14:paraId="6B4EF53E">
        <w:trPr>
          <w:trHeight w:val="300"/>
        </w:trPr>
        <w:tc>
          <w:tcPr>
            <w:tcW w:w="2361" w:type="dxa"/>
            <w:tcBorders>
              <w:top w:val="single" w:sz="8"/>
              <w:left w:val="single" w:sz="8"/>
              <w:bottom w:val="single" w:sz="8"/>
              <w:right w:val="single" w:sz="8"/>
            </w:tcBorders>
            <w:shd w:val="clear" w:color="auto" w:fill="F2F2F2" w:themeFill="background1" w:themeFillShade="F2"/>
            <w:tcMar>
              <w:top w:w="80" w:type="dxa"/>
              <w:left w:w="100" w:type="dxa"/>
              <w:bottom w:w="80" w:type="dxa"/>
              <w:right w:w="100" w:type="dxa"/>
            </w:tcMar>
            <w:vAlign w:val="top"/>
          </w:tcPr>
          <w:p w:rsidR="458E7362" w:rsidP="458E7362" w:rsidRDefault="458E7362" w14:paraId="0928CC2E" w14:textId="338B550E">
            <w:pPr>
              <w:bidi w:val="0"/>
              <w:spacing w:before="0" w:beforeAutospacing="off" w:after="60" w:afterAutospacing="off"/>
            </w:pPr>
            <w:r w:rsidRPr="458E7362" w:rsidR="458E7362">
              <w:rPr>
                <w:rFonts w:ascii="Calibri" w:hAnsi="Calibri" w:eastAsia="Calibri" w:cs="Calibri"/>
                <w:b w:val="1"/>
                <w:bCs w:val="1"/>
                <w:color w:val="000000" w:themeColor="text1" w:themeTint="FF" w:themeShade="FF"/>
                <w:sz w:val="19"/>
                <w:szCs w:val="19"/>
              </w:rPr>
              <w:t>Sale to a financial investor</w:t>
            </w:r>
          </w:p>
        </w:tc>
        <w:tc>
          <w:tcPr>
            <w:tcW w:w="6699" w:type="dxa"/>
            <w:tcBorders>
              <w:top w:val="single" w:sz="8"/>
              <w:left w:val="single" w:sz="8"/>
              <w:bottom w:val="single" w:sz="8"/>
              <w:right w:val="single" w:sz="8"/>
            </w:tcBorders>
            <w:shd w:val="clear" w:color="auto" w:fill="F2F2F2" w:themeFill="background1" w:themeFillShade="F2"/>
            <w:tcMar>
              <w:top w:w="80" w:type="dxa"/>
              <w:left w:w="100" w:type="dxa"/>
              <w:bottom w:w="80" w:type="dxa"/>
              <w:right w:w="100" w:type="dxa"/>
            </w:tcMar>
            <w:vAlign w:val="top"/>
          </w:tcPr>
          <w:p w:rsidR="458E7362" w:rsidP="458E7362" w:rsidRDefault="458E7362" w14:paraId="2D6D1941" w14:textId="3682C83C">
            <w:pPr>
              <w:bidi w:val="0"/>
              <w:spacing w:before="0" w:beforeAutospacing="off" w:after="60" w:afterAutospacing="off"/>
            </w:pPr>
            <w:r w:rsidRPr="458E7362" w:rsidR="458E7362">
              <w:rPr>
                <w:rFonts w:ascii="Calibri" w:hAnsi="Calibri" w:eastAsia="Calibri" w:cs="Calibri"/>
                <w:color w:val="000000" w:themeColor="text1" w:themeTint="FF" w:themeShade="FF"/>
                <w:sz w:val="19"/>
                <w:szCs w:val="19"/>
              </w:rPr>
              <w:t>Private equity and financial investors have practically disappeared from the market, and Chinese investors have been almost entirely absent in recent years. The remaining investors are mostly strategic [1].</w:t>
            </w:r>
          </w:p>
        </w:tc>
      </w:tr>
      <w:tr w:rsidR="458E7362" w:rsidTr="458E7362" w14:paraId="1CB5C7E5">
        <w:trPr>
          <w:trHeight w:val="300"/>
        </w:trPr>
        <w:tc>
          <w:tcPr>
            <w:tcW w:w="2361"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08116735" w14:textId="63BA4B0D">
            <w:pPr>
              <w:bidi w:val="0"/>
              <w:spacing w:before="0" w:beforeAutospacing="off" w:after="60" w:afterAutospacing="off"/>
            </w:pPr>
            <w:r w:rsidRPr="458E7362" w:rsidR="458E7362">
              <w:rPr>
                <w:rFonts w:ascii="Calibri" w:hAnsi="Calibri" w:eastAsia="Calibri" w:cs="Calibri"/>
                <w:b w:val="1"/>
                <w:bCs w:val="1"/>
                <w:sz w:val="19"/>
                <w:szCs w:val="19"/>
              </w:rPr>
              <w:t>Waiting until insolvency</w:t>
            </w:r>
          </w:p>
        </w:tc>
        <w:tc>
          <w:tcPr>
            <w:tcW w:w="6699"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0E382777" w14:textId="1F583995">
            <w:pPr>
              <w:bidi w:val="0"/>
              <w:spacing w:before="0" w:beforeAutospacing="off" w:after="60" w:afterAutospacing="off"/>
            </w:pPr>
            <w:r w:rsidRPr="458E7362" w:rsidR="458E7362">
              <w:rPr>
                <w:rFonts w:ascii="Calibri" w:hAnsi="Calibri" w:eastAsia="Calibri" w:cs="Calibri"/>
                <w:sz w:val="19"/>
                <w:szCs w:val="19"/>
              </w:rPr>
              <w:t>Sales of insolvent suppliers are becoming increasingly difficult; proceedings take longer and a growing share end in a shutdown of operations [1]. Concrete example: AE Group, a specialist in aluminium die casting, found no buyer despite an intensive search [3].</w:t>
            </w:r>
          </w:p>
        </w:tc>
      </w:tr>
    </w:tbl>
    <w:p w:rsidR="16F5B189" w:rsidP="458E7362" w:rsidRDefault="16F5B189" w14:paraId="315A769A" w14:textId="27AC0711">
      <w:pPr>
        <w:bidi w:val="0"/>
        <w:spacing w:before="0" w:beforeAutospacing="off" w:after="40" w:afterAutospacing="off"/>
      </w:pPr>
      <w:r w:rsidRPr="458E7362" w:rsidR="458E7362">
        <w:rPr>
          <w:rFonts w:ascii="Calibri" w:hAnsi="Calibri" w:eastAsia="Calibri" w:cs="Calibri"/>
          <w:noProof w:val="0"/>
          <w:sz w:val="21"/>
          <w:szCs w:val="21"/>
          <w:lang w:val="en-GB"/>
        </w:rPr>
        <w:t xml:space="preserve"> </w:t>
      </w:r>
    </w:p>
    <w:p w:rsidR="16F5B189" w:rsidP="458E7362" w:rsidRDefault="16F5B189" w14:paraId="66F412C1" w14:textId="2E27BA5E">
      <w:pPr>
        <w:bidi w:val="0"/>
        <w:spacing w:before="0" w:beforeAutospacing="off" w:after="200" w:afterAutospacing="off"/>
      </w:pPr>
      <w:r w:rsidRPr="458E7362" w:rsidR="458E7362">
        <w:rPr>
          <w:rFonts w:ascii="Calibri" w:hAnsi="Calibri" w:eastAsia="Calibri" w:cs="Calibri"/>
          <w:b w:val="1"/>
          <w:bCs w:val="1"/>
          <w:noProof w:val="0"/>
          <w:sz w:val="21"/>
          <w:szCs w:val="21"/>
          <w:lang w:val="en-GB"/>
        </w:rPr>
        <w:t>Key point: the market leader's offer is a closing window. In moderate distress, the company still negotiates from a position in which it can set conditions. In 12 to 18 months, it may be the insolvency administrator who negotiates instead [1] [2].</w:t>
      </w:r>
    </w:p>
    <w:p w:rsidR="16F5B189" w:rsidP="458E7362" w:rsidRDefault="16F5B189" w14:paraId="703EC458" w14:textId="13EED568">
      <w:pPr>
        <w:pStyle w:val="Heading2"/>
        <w:bidi w:val="0"/>
        <w:spacing w:before="260" w:beforeAutospacing="off" w:after="140" w:afterAutospacing="off"/>
      </w:pPr>
      <w:r w:rsidRPr="458E7362" w:rsidR="458E7362">
        <w:rPr>
          <w:rFonts w:ascii="Calibri" w:hAnsi="Calibri" w:eastAsia="Calibri" w:cs="Calibri"/>
          <w:b w:val="1"/>
          <w:bCs w:val="1"/>
          <w:noProof w:val="0"/>
          <w:color w:val="1F3864"/>
          <w:sz w:val="24"/>
          <w:szCs w:val="24"/>
          <w:lang w:val="en-GB"/>
        </w:rPr>
        <w:t>Anticipated counterarguments and rebuttals</w:t>
      </w:r>
    </w:p>
    <w:tbl>
      <w:tblPr>
        <w:tblStyle w:val="TableNormal"/>
        <w:bidiVisual w:val="0"/>
        <w:tblW w:w="0" w:type="auto"/>
        <w:tblLook w:val="04A0" w:firstRow="1" w:lastRow="0" w:firstColumn="1" w:lastColumn="0" w:noHBand="0" w:noVBand="1"/>
      </w:tblPr>
      <w:tblGrid>
        <w:gridCol w:w="2361"/>
        <w:gridCol w:w="6699"/>
      </w:tblGrid>
      <w:tr w:rsidR="458E7362" w:rsidTr="458E7362" w14:paraId="0016501E">
        <w:trPr>
          <w:trHeight w:val="300"/>
        </w:trPr>
        <w:tc>
          <w:tcPr>
            <w:tcW w:w="2361" w:type="dxa"/>
            <w:tcBorders>
              <w:top w:val="single" w:sz="8"/>
              <w:left w:val="single" w:sz="8"/>
              <w:bottom w:val="single" w:sz="8"/>
              <w:right w:val="single" w:sz="8"/>
            </w:tcBorders>
            <w:shd w:val="clear" w:color="auto" w:fill="1F3864"/>
            <w:tcMar>
              <w:top w:w="80" w:type="dxa"/>
              <w:left w:w="100" w:type="dxa"/>
              <w:bottom w:w="80" w:type="dxa"/>
              <w:right w:w="100" w:type="dxa"/>
            </w:tcMar>
            <w:vAlign w:val="top"/>
          </w:tcPr>
          <w:p w:rsidR="458E7362" w:rsidP="458E7362" w:rsidRDefault="458E7362" w14:paraId="1D8F7509" w14:textId="6A7C7D1E">
            <w:pPr>
              <w:bidi w:val="0"/>
              <w:spacing w:before="0" w:beforeAutospacing="off" w:after="60" w:afterAutospacing="off"/>
            </w:pPr>
            <w:r w:rsidRPr="458E7362" w:rsidR="458E7362">
              <w:rPr>
                <w:rFonts w:ascii="Calibri" w:hAnsi="Calibri" w:eastAsia="Calibri" w:cs="Calibri"/>
                <w:b w:val="1"/>
                <w:bCs w:val="1"/>
                <w:color w:val="FFFFFF" w:themeColor="background1" w:themeTint="FF" w:themeShade="FF"/>
                <w:sz w:val="20"/>
                <w:szCs w:val="20"/>
              </w:rPr>
              <w:t>Anticipated counterargument (opposition)</w:t>
            </w:r>
          </w:p>
        </w:tc>
        <w:tc>
          <w:tcPr>
            <w:tcW w:w="6699" w:type="dxa"/>
            <w:tcBorders>
              <w:top w:val="single" w:sz="8"/>
              <w:left w:val="single" w:sz="8"/>
              <w:bottom w:val="single" w:sz="8"/>
              <w:right w:val="single" w:sz="8"/>
            </w:tcBorders>
            <w:shd w:val="clear" w:color="auto" w:fill="1F3864"/>
            <w:tcMar>
              <w:top w:w="80" w:type="dxa"/>
              <w:left w:w="100" w:type="dxa"/>
              <w:bottom w:w="80" w:type="dxa"/>
              <w:right w:w="100" w:type="dxa"/>
            </w:tcMar>
            <w:vAlign w:val="top"/>
          </w:tcPr>
          <w:p w:rsidR="458E7362" w:rsidP="458E7362" w:rsidRDefault="458E7362" w14:paraId="08578388" w14:textId="2FC103FE">
            <w:pPr>
              <w:bidi w:val="0"/>
              <w:spacing w:before="0" w:beforeAutospacing="off" w:after="60" w:afterAutospacing="off"/>
            </w:pPr>
            <w:r w:rsidRPr="458E7362" w:rsidR="458E7362">
              <w:rPr>
                <w:rFonts w:ascii="Calibri" w:hAnsi="Calibri" w:eastAsia="Calibri" w:cs="Calibri"/>
                <w:b w:val="1"/>
                <w:bCs w:val="1"/>
                <w:color w:val="FFFFFF" w:themeColor="background1" w:themeTint="FF" w:themeShade="FF"/>
                <w:sz w:val="20"/>
                <w:szCs w:val="20"/>
              </w:rPr>
              <w:t>Rebuttal</w:t>
            </w:r>
          </w:p>
        </w:tc>
      </w:tr>
      <w:tr w:rsidR="458E7362" w:rsidTr="458E7362" w14:paraId="045C87D0">
        <w:trPr>
          <w:trHeight w:val="300"/>
        </w:trPr>
        <w:tc>
          <w:tcPr>
            <w:tcW w:w="2361"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0DD8B179" w14:textId="4DE994B7">
            <w:pPr>
              <w:bidi w:val="0"/>
              <w:spacing w:before="0" w:beforeAutospacing="off" w:after="60" w:afterAutospacing="off"/>
            </w:pPr>
            <w:r w:rsidRPr="458E7362" w:rsidR="458E7362">
              <w:rPr>
                <w:rFonts w:ascii="Calibri" w:hAnsi="Calibri" w:eastAsia="Calibri" w:cs="Calibri"/>
                <w:b w:val="1"/>
                <w:bCs w:val="1"/>
                <w:sz w:val="19"/>
                <w:szCs w:val="19"/>
              </w:rPr>
              <w:t>“Loss of independence, identity and entrepreneurial control”</w:t>
            </w:r>
          </w:p>
        </w:tc>
        <w:tc>
          <w:tcPr>
            <w:tcW w:w="6699"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0E0F2535" w14:textId="78E9B85E">
            <w:pPr>
              <w:bidi w:val="0"/>
              <w:spacing w:before="0" w:beforeAutospacing="off" w:after="60" w:afterAutospacing="off"/>
            </w:pPr>
            <w:r w:rsidRPr="458E7362" w:rsidR="458E7362">
              <w:rPr>
                <w:rFonts w:ascii="Calibri" w:hAnsi="Calibri" w:eastAsia="Calibri" w:cs="Calibri"/>
                <w:sz w:val="19"/>
                <w:szCs w:val="19"/>
              </w:rPr>
              <w:t>Independence without viability is worthless. The choice is between a negotiated integration with a say in the outcome (site guarantees and employment commitments as deal conditions) and a forced break-up without any say. Whoever negotiates today shapes the outcome. Whoever waits gets wound down [1] [3].</w:t>
            </w:r>
          </w:p>
        </w:tc>
      </w:tr>
      <w:tr w:rsidR="458E7362" w:rsidTr="458E7362" w14:paraId="54B6221D">
        <w:trPr>
          <w:trHeight w:val="300"/>
        </w:trPr>
        <w:tc>
          <w:tcPr>
            <w:tcW w:w="2361" w:type="dxa"/>
            <w:tcBorders>
              <w:top w:val="single" w:sz="8"/>
              <w:left w:val="single" w:sz="8"/>
              <w:bottom w:val="single" w:sz="8"/>
              <w:right w:val="single" w:sz="8"/>
            </w:tcBorders>
            <w:shd w:val="clear" w:color="auto" w:fill="F2F2F2" w:themeFill="background1" w:themeFillShade="F2"/>
            <w:tcMar>
              <w:top w:w="80" w:type="dxa"/>
              <w:left w:w="100" w:type="dxa"/>
              <w:bottom w:w="80" w:type="dxa"/>
              <w:right w:w="100" w:type="dxa"/>
            </w:tcMar>
            <w:vAlign w:val="top"/>
          </w:tcPr>
          <w:p w:rsidR="458E7362" w:rsidP="458E7362" w:rsidRDefault="458E7362" w14:paraId="20114F2F" w14:textId="79767BA2">
            <w:pPr>
              <w:bidi w:val="0"/>
              <w:spacing w:before="0" w:beforeAutospacing="off" w:after="60" w:afterAutospacing="off"/>
            </w:pPr>
            <w:r w:rsidRPr="458E7362" w:rsidR="458E7362">
              <w:rPr>
                <w:rFonts w:ascii="Calibri" w:hAnsi="Calibri" w:eastAsia="Calibri" w:cs="Calibri"/>
                <w:b w:val="1"/>
                <w:bCs w:val="1"/>
                <w:color w:val="000000" w:themeColor="text1" w:themeTint="FF" w:themeShade="FF"/>
                <w:sz w:val="19"/>
                <w:szCs w:val="19"/>
              </w:rPr>
              <w:t>“Selling in a crisis means selling too cheaply; better to restructure first, then sell”</w:t>
            </w:r>
          </w:p>
        </w:tc>
        <w:tc>
          <w:tcPr>
            <w:tcW w:w="6699" w:type="dxa"/>
            <w:tcBorders>
              <w:top w:val="single" w:sz="8"/>
              <w:left w:val="single" w:sz="8"/>
              <w:bottom w:val="single" w:sz="8"/>
              <w:right w:val="single" w:sz="8"/>
            </w:tcBorders>
            <w:shd w:val="clear" w:color="auto" w:fill="F2F2F2" w:themeFill="background1" w:themeFillShade="F2"/>
            <w:tcMar>
              <w:top w:w="80" w:type="dxa"/>
              <w:left w:w="100" w:type="dxa"/>
              <w:bottom w:w="80" w:type="dxa"/>
              <w:right w:w="100" w:type="dxa"/>
            </w:tcMar>
            <w:vAlign w:val="top"/>
          </w:tcPr>
          <w:p w:rsidR="458E7362" w:rsidP="458E7362" w:rsidRDefault="458E7362" w14:paraId="4CB796D8" w14:textId="2DB9463A">
            <w:pPr>
              <w:bidi w:val="0"/>
              <w:spacing w:before="0" w:beforeAutospacing="off" w:after="60" w:afterAutospacing="off"/>
            </w:pPr>
            <w:r w:rsidRPr="458E7362" w:rsidR="458E7362">
              <w:rPr>
                <w:rFonts w:ascii="Calibri" w:hAnsi="Calibri" w:eastAsia="Calibri" w:cs="Calibri"/>
                <w:color w:val="000000" w:themeColor="text1" w:themeTint="FF" w:themeShade="FF"/>
                <w:sz w:val="19"/>
                <w:szCs w:val="19"/>
              </w:rPr>
              <w:t>This assumes the negotiating position will improve. All forecasts point the other way; experts expect no turnaround in 2026 but a worsening of the situation [2] [4]. At the same time, the buyer universe is shrinking [1]. Every month of waiting lowers the price and the number of bidders.</w:t>
            </w:r>
          </w:p>
        </w:tc>
      </w:tr>
      <w:tr w:rsidR="458E7362" w:rsidTr="458E7362" w14:paraId="1A54715C">
        <w:trPr>
          <w:trHeight w:val="300"/>
        </w:trPr>
        <w:tc>
          <w:tcPr>
            <w:tcW w:w="2361"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5141AC49" w14:textId="69952CC9">
            <w:pPr>
              <w:bidi w:val="0"/>
              <w:spacing w:before="0" w:beforeAutospacing="off" w:after="60" w:afterAutospacing="off"/>
            </w:pPr>
            <w:r w:rsidRPr="458E7362" w:rsidR="458E7362">
              <w:rPr>
                <w:rFonts w:ascii="Calibri" w:hAnsi="Calibri" w:eastAsia="Calibri" w:cs="Calibri"/>
                <w:b w:val="1"/>
                <w:bCs w:val="1"/>
                <w:sz w:val="19"/>
                <w:szCs w:val="19"/>
              </w:rPr>
              <w:t>“Dependence on a single owner increases risk”</w:t>
            </w:r>
          </w:p>
        </w:tc>
        <w:tc>
          <w:tcPr>
            <w:tcW w:w="6699"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42B543D1" w14:textId="5DB999E2">
            <w:pPr>
              <w:bidi w:val="0"/>
              <w:spacing w:before="0" w:beforeAutospacing="off" w:after="60" w:afterAutospacing="off"/>
            </w:pPr>
            <w:r w:rsidRPr="458E7362" w:rsidR="458E7362">
              <w:rPr>
                <w:rFonts w:ascii="Calibri" w:hAnsi="Calibri" w:eastAsia="Calibri" w:cs="Calibri"/>
                <w:sz w:val="19"/>
                <w:szCs w:val="19"/>
              </w:rPr>
              <w:t>The opposite is true. As a stand-alone assembler, the company already depends on a handful of OEM customers today, yet bears all transformation and financing risks alone. The manufacturers hold the longer financial lever, and for many suppliers the air is getting thinner [4]. Integration internalizes this dependence and removes the concentration risk in financing. Moreover, OEM customers actively encourage strategic investors to acquire distressed suppliers in order to secure supply [1]. The acquisition therefore matches the preference of our own customer base.</w:t>
            </w:r>
          </w:p>
        </w:tc>
      </w:tr>
      <w:tr w:rsidR="458E7362" w:rsidTr="458E7362" w14:paraId="66D39142">
        <w:trPr>
          <w:trHeight w:val="300"/>
        </w:trPr>
        <w:tc>
          <w:tcPr>
            <w:tcW w:w="2361" w:type="dxa"/>
            <w:tcBorders>
              <w:top w:val="single" w:sz="8"/>
              <w:left w:val="single" w:sz="8"/>
              <w:bottom w:val="single" w:sz="8"/>
              <w:right w:val="single" w:sz="8"/>
            </w:tcBorders>
            <w:shd w:val="clear" w:color="auto" w:fill="F2F2F2" w:themeFill="background1" w:themeFillShade="F2"/>
            <w:tcMar>
              <w:top w:w="80" w:type="dxa"/>
              <w:left w:w="100" w:type="dxa"/>
              <w:bottom w:w="80" w:type="dxa"/>
              <w:right w:w="100" w:type="dxa"/>
            </w:tcMar>
            <w:vAlign w:val="top"/>
          </w:tcPr>
          <w:p w:rsidR="458E7362" w:rsidP="458E7362" w:rsidRDefault="458E7362" w14:paraId="30CEA0DC" w14:textId="52461391">
            <w:pPr>
              <w:bidi w:val="0"/>
              <w:spacing w:before="0" w:beforeAutospacing="off" w:after="60" w:afterAutospacing="off"/>
            </w:pPr>
            <w:r w:rsidRPr="458E7362" w:rsidR="458E7362">
              <w:rPr>
                <w:rFonts w:ascii="Calibri" w:hAnsi="Calibri" w:eastAsia="Calibri" w:cs="Calibri"/>
                <w:b w:val="1"/>
                <w:bCs w:val="1"/>
                <w:color w:val="000000" w:themeColor="text1" w:themeTint="FF" w:themeShade="FF"/>
                <w:sz w:val="19"/>
                <w:szCs w:val="19"/>
              </w:rPr>
              <w:t>“Antitrust concerns and market concentration argue against the deal”</w:t>
            </w:r>
          </w:p>
        </w:tc>
        <w:tc>
          <w:tcPr>
            <w:tcW w:w="6699" w:type="dxa"/>
            <w:tcBorders>
              <w:top w:val="single" w:sz="8"/>
              <w:left w:val="single" w:sz="8"/>
              <w:bottom w:val="single" w:sz="8"/>
              <w:right w:val="single" w:sz="8"/>
            </w:tcBorders>
            <w:shd w:val="clear" w:color="auto" w:fill="F2F2F2" w:themeFill="background1" w:themeFillShade="F2"/>
            <w:tcMar>
              <w:top w:w="80" w:type="dxa"/>
              <w:left w:w="100" w:type="dxa"/>
              <w:bottom w:w="80" w:type="dxa"/>
              <w:right w:w="100" w:type="dxa"/>
            </w:tcMar>
            <w:vAlign w:val="top"/>
          </w:tcPr>
          <w:p w:rsidR="458E7362" w:rsidP="458E7362" w:rsidRDefault="458E7362" w14:paraId="6567621F" w14:textId="197249F5">
            <w:pPr>
              <w:bidi w:val="0"/>
              <w:spacing w:before="0" w:beforeAutospacing="off" w:after="60" w:afterAutospacing="off"/>
            </w:pPr>
            <w:r w:rsidRPr="458E7362" w:rsidR="458E7362">
              <w:rPr>
                <w:rFonts w:ascii="Calibri" w:hAnsi="Calibri" w:eastAsia="Calibri" w:cs="Calibri"/>
                <w:color w:val="000000" w:themeColor="text1" w:themeTint="FF" w:themeShade="FF"/>
                <w:sz w:val="19"/>
                <w:szCs w:val="19"/>
              </w:rPr>
              <w:t>That is an objection at market level, not at the level of the company's own decision. In addition, the failing-firm logic of competition authorities regularly applies to distressed targets. The alternative to concentration here is not more competition but the company's exit from the market, a pattern visible in the growing share of insolvency proceedings ending in shutdown [1].</w:t>
            </w:r>
          </w:p>
        </w:tc>
      </w:tr>
      <w:tr w:rsidR="458E7362" w:rsidTr="458E7362" w14:paraId="04419170">
        <w:trPr>
          <w:trHeight w:val="300"/>
        </w:trPr>
        <w:tc>
          <w:tcPr>
            <w:tcW w:w="2361"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7A29F9F1" w14:textId="5AE8FCD5">
            <w:pPr>
              <w:bidi w:val="0"/>
              <w:spacing w:before="0" w:beforeAutospacing="off" w:after="60" w:afterAutospacing="off"/>
            </w:pPr>
            <w:r w:rsidRPr="458E7362" w:rsidR="458E7362">
              <w:rPr>
                <w:rFonts w:ascii="Calibri" w:hAnsi="Calibri" w:eastAsia="Calibri" w:cs="Calibri"/>
                <w:b w:val="1"/>
                <w:bCs w:val="1"/>
                <w:sz w:val="19"/>
                <w:szCs w:val="19"/>
              </w:rPr>
              <w:t>“The market leader is only buying capacity and will cut it later”</w:t>
            </w:r>
          </w:p>
        </w:tc>
        <w:tc>
          <w:tcPr>
            <w:tcW w:w="6699" w:type="dxa"/>
            <w:tcBorders>
              <w:top w:val="single" w:sz="8"/>
              <w:left w:val="single" w:sz="8"/>
              <w:bottom w:val="single" w:sz="8"/>
              <w:right w:val="single" w:sz="8"/>
            </w:tcBorders>
            <w:tcMar>
              <w:top w:w="80" w:type="dxa"/>
              <w:left w:w="100" w:type="dxa"/>
              <w:bottom w:w="80" w:type="dxa"/>
              <w:right w:w="100" w:type="dxa"/>
            </w:tcMar>
            <w:vAlign w:val="top"/>
          </w:tcPr>
          <w:p w:rsidR="458E7362" w:rsidP="458E7362" w:rsidRDefault="458E7362" w14:paraId="50AD014B" w14:textId="46F3982F">
            <w:pPr>
              <w:bidi w:val="0"/>
              <w:spacing w:before="0" w:beforeAutospacing="off" w:after="60" w:afterAutospacing="off"/>
            </w:pPr>
            <w:r w:rsidRPr="458E7362" w:rsidR="458E7362">
              <w:rPr>
                <w:rFonts w:ascii="Calibri" w:hAnsi="Calibri" w:eastAsia="Calibri" w:cs="Calibri"/>
                <w:sz w:val="19"/>
                <w:szCs w:val="19"/>
              </w:rPr>
              <w:t>Possible, but negotiable, and in the counterfactual the cuts come anyway, only in a disorderly fashion. The Eissmann case shows both sides: the takeover by a strategic buyer secured around 3,200 jobs worldwide, while the Gera site was closed [3]. Partial preservation through a strategic buyer beats total loss without a buyer.</w:t>
            </w:r>
          </w:p>
        </w:tc>
      </w:tr>
    </w:tbl>
    <w:p w:rsidR="16F5B189" w:rsidP="458E7362" w:rsidRDefault="16F5B189" w14:paraId="33F649E6" w14:textId="4702B07A">
      <w:pPr>
        <w:pStyle w:val="Heading2"/>
        <w:bidi w:val="0"/>
        <w:spacing w:before="260" w:beforeAutospacing="off" w:after="140" w:afterAutospacing="off"/>
      </w:pPr>
      <w:r w:rsidRPr="458E7362" w:rsidR="458E7362">
        <w:rPr>
          <w:rFonts w:ascii="Calibri" w:hAnsi="Calibri" w:eastAsia="Calibri" w:cs="Calibri"/>
          <w:b w:val="1"/>
          <w:bCs w:val="1"/>
          <w:noProof w:val="0"/>
          <w:color w:val="1F3864"/>
          <w:sz w:val="24"/>
          <w:szCs w:val="24"/>
          <w:lang w:val="en-GB"/>
        </w:rPr>
        <w:t>Demarcation within the team</w:t>
      </w:r>
    </w:p>
    <w:p w:rsidR="16F5B189" w:rsidP="458E7362" w:rsidRDefault="16F5B189" w14:paraId="07117BCB" w14:textId="38EA6B46">
      <w:pPr>
        <w:bidi w:val="0"/>
        <w:spacing w:before="0" w:beforeAutospacing="off" w:after="200" w:afterAutospacing="off"/>
      </w:pPr>
      <w:r w:rsidRPr="458E7362" w:rsidR="458E7362">
        <w:rPr>
          <w:rFonts w:ascii="Calibri" w:hAnsi="Calibri" w:eastAsia="Calibri" w:cs="Calibri"/>
          <w:noProof w:val="0"/>
          <w:sz w:val="21"/>
          <w:szCs w:val="21"/>
          <w:lang w:val="en-GB"/>
        </w:rPr>
        <w:t>Financing constraints are used here only as evidence for why a stand-alone transformation fails (future viability), not as a separate stabilization argument (Proposition 1). Scale effects are cited only as access to technology and platforms, not as cost synergies (Proposition 2). The unifying frame of this proposition is the time argument: the structural transformation punishes hesitation, and 2026 is widely regarded across the industry as the year that decides between consolidation winners and losers [17].</w:t>
      </w:r>
    </w:p>
    <w:p w:rsidR="16F5B189" w:rsidP="458E7362" w:rsidRDefault="16F5B189" w14:paraId="698F5AC4" w14:textId="0D8D31B0">
      <w:pPr>
        <w:pStyle w:val="Heading2"/>
        <w:bidi w:val="0"/>
        <w:spacing w:before="260" w:beforeAutospacing="off" w:after="140" w:afterAutospacing="off"/>
      </w:pPr>
      <w:r w:rsidRPr="458E7362" w:rsidR="458E7362">
        <w:rPr>
          <w:rFonts w:ascii="Calibri" w:hAnsi="Calibri" w:eastAsia="Calibri" w:cs="Calibri"/>
          <w:b w:val="1"/>
          <w:bCs w:val="1"/>
          <w:noProof w:val="0"/>
          <w:color w:val="1F3864"/>
          <w:sz w:val="24"/>
          <w:szCs w:val="24"/>
          <w:lang w:val="en-GB"/>
        </w:rPr>
        <w:t>Sources</w:t>
      </w:r>
    </w:p>
    <w:p w:rsidR="16F5B189" w:rsidP="458E7362" w:rsidRDefault="16F5B189" w14:paraId="57E774F8" w14:textId="1791242F">
      <w:pPr>
        <w:bidi w:val="0"/>
        <w:spacing w:before="0" w:beforeAutospacing="off" w:after="80" w:afterAutospacing="off"/>
      </w:pPr>
      <w:r w:rsidRPr="458E7362" w:rsidR="458E7362">
        <w:rPr>
          <w:rFonts w:ascii="Calibri" w:hAnsi="Calibri" w:eastAsia="Calibri" w:cs="Calibri"/>
          <w:noProof w:val="0"/>
          <w:sz w:val="19"/>
          <w:szCs w:val="19"/>
          <w:lang w:val="en-GB"/>
        </w:rPr>
        <w:t xml:space="preserve">[1] Oliver Wyman, Automobilzuliefererstudie 2026: Zwischen Schock und Gestaltungsspielraum, March 2026. </w:t>
      </w:r>
      <w:hyperlink r:id="R169b38987a5a4d18">
        <w:r w:rsidRPr="458E7362" w:rsidR="458E7362">
          <w:rPr>
            <w:rStyle w:val="Hyperlink"/>
            <w:strike w:val="0"/>
            <w:dstrike w:val="0"/>
            <w:noProof w:val="0"/>
            <w:color w:val="0563C1"/>
            <w:u w:val="single"/>
            <w:lang w:val="en-GB"/>
          </w:rPr>
          <w:t>https://www.oliverwyman.de/unsere-expertise/publikationen/2026/march/automobilzuliefererstudie-2026-zwischen-schock-und-gestaltungsspielraum.html</w:t>
        </w:r>
      </w:hyperlink>
    </w:p>
    <w:p w:rsidR="16F5B189" w:rsidP="458E7362" w:rsidRDefault="16F5B189" w14:paraId="0AEC29FB" w14:textId="117DAAE2">
      <w:pPr>
        <w:bidi w:val="0"/>
        <w:spacing w:before="0" w:beforeAutospacing="off" w:after="80" w:afterAutospacing="off"/>
      </w:pPr>
      <w:r w:rsidRPr="458E7362" w:rsidR="458E7362">
        <w:rPr>
          <w:rFonts w:ascii="Calibri" w:hAnsi="Calibri" w:eastAsia="Calibri" w:cs="Calibri"/>
          <w:noProof w:val="0"/>
          <w:sz w:val="19"/>
          <w:szCs w:val="19"/>
          <w:lang w:val="en-GB"/>
        </w:rPr>
        <w:t xml:space="preserve">[2] Falkensteg insolvency analysis 2026, reported in Automobil Industrie, January 2026. </w:t>
      </w:r>
      <w:hyperlink r:id="R79bc92f538a14677">
        <w:r w:rsidRPr="458E7362" w:rsidR="458E7362">
          <w:rPr>
            <w:rStyle w:val="Hyperlink"/>
            <w:strike w:val="0"/>
            <w:dstrike w:val="0"/>
            <w:noProof w:val="0"/>
            <w:color w:val="0563C1"/>
            <w:u w:val="single"/>
            <w:lang w:val="en-GB"/>
          </w:rPr>
          <w:t>https://www.automobil-industrie.vogel.de/automobilzulieferer-entwicklung-2026-insolvenzen-prognose-a-b9475c44f1e7d368e5145838af4f46e9/</w:t>
        </w:r>
      </w:hyperlink>
    </w:p>
    <w:p w:rsidR="16F5B189" w:rsidP="458E7362" w:rsidRDefault="16F5B189" w14:paraId="224170B0" w14:textId="19E30169">
      <w:pPr>
        <w:bidi w:val="0"/>
        <w:spacing w:before="0" w:beforeAutospacing="off" w:after="80" w:afterAutospacing="off"/>
      </w:pPr>
      <w:r w:rsidRPr="458E7362" w:rsidR="458E7362">
        <w:rPr>
          <w:rFonts w:ascii="Calibri" w:hAnsi="Calibri" w:eastAsia="Calibri" w:cs="Calibri"/>
          <w:noProof w:val="0"/>
          <w:sz w:val="19"/>
          <w:szCs w:val="19"/>
          <w:lang w:val="en-GB"/>
        </w:rPr>
        <w:t xml:space="preserve">[3] Falkensteg and Creditreform insolvency data, reported in ad-hoc-news, April 2026. </w:t>
      </w:r>
      <w:hyperlink r:id="R2c973efd61fc4749">
        <w:r w:rsidRPr="458E7362" w:rsidR="458E7362">
          <w:rPr>
            <w:rStyle w:val="Hyperlink"/>
            <w:strike w:val="0"/>
            <w:dstrike w:val="0"/>
            <w:noProof w:val="0"/>
            <w:color w:val="0563C1"/>
            <w:u w:val="single"/>
            <w:lang w:val="en-GB"/>
          </w:rPr>
          <w:t>https://www.ad-hoc-news.de/boerse/news/ueberblick/insolvenzwelle-erfasst-deutsche-autozulieferer/69158531</w:t>
        </w:r>
      </w:hyperlink>
    </w:p>
    <w:p w:rsidR="16F5B189" w:rsidP="458E7362" w:rsidRDefault="16F5B189" w14:paraId="5279A6D6" w14:textId="3B6E0B17">
      <w:pPr>
        <w:bidi w:val="0"/>
        <w:spacing w:before="0" w:beforeAutospacing="off" w:after="80" w:afterAutospacing="off"/>
      </w:pPr>
      <w:r w:rsidRPr="458E7362" w:rsidR="458E7362">
        <w:rPr>
          <w:rFonts w:ascii="Calibri" w:hAnsi="Calibri" w:eastAsia="Calibri" w:cs="Calibri"/>
          <w:noProof w:val="0"/>
          <w:sz w:val="19"/>
          <w:szCs w:val="19"/>
          <w:lang w:val="en-GB"/>
        </w:rPr>
        <w:t xml:space="preserve">[4] EY, Automobilstandort Deutschland immer staerker unter Druck, March 2026. </w:t>
      </w:r>
      <w:hyperlink r:id="R7cd9d529cafe415f">
        <w:r w:rsidRPr="458E7362" w:rsidR="458E7362">
          <w:rPr>
            <w:rStyle w:val="Hyperlink"/>
            <w:strike w:val="0"/>
            <w:dstrike w:val="0"/>
            <w:noProof w:val="0"/>
            <w:color w:val="0563C1"/>
            <w:u w:val="single"/>
            <w:lang w:val="en-GB"/>
          </w:rPr>
          <w:t>https://www.ey.com/de_de/newsroom/2026/03/ey-automobilstandort-deutschland-maerz-2026</w:t>
        </w:r>
      </w:hyperlink>
    </w:p>
    <w:p w:rsidR="16F5B189" w:rsidP="458E7362" w:rsidRDefault="16F5B189" w14:paraId="7ABC9E84" w14:textId="234CE851">
      <w:pPr>
        <w:bidi w:val="0"/>
        <w:spacing w:before="0" w:beforeAutospacing="off" w:after="80" w:afterAutospacing="off"/>
      </w:pPr>
      <w:r w:rsidRPr="458E7362" w:rsidR="458E7362">
        <w:rPr>
          <w:rFonts w:ascii="Calibri" w:hAnsi="Calibri" w:eastAsia="Calibri" w:cs="Calibri"/>
          <w:noProof w:val="0"/>
          <w:sz w:val="19"/>
          <w:szCs w:val="19"/>
          <w:lang w:val="en-GB"/>
        </w:rPr>
        <w:t xml:space="preserve">[5] Berliner Zeitung, 2026 droht VW und Co. das naechste Krisenjahr, January 2026 (citing Wirtschaftswoche). </w:t>
      </w:r>
      <w:hyperlink r:id="R74d2b3692939452c">
        <w:r w:rsidRPr="458E7362" w:rsidR="458E7362">
          <w:rPr>
            <w:rStyle w:val="Hyperlink"/>
            <w:strike w:val="0"/>
            <w:dstrike w:val="0"/>
            <w:noProof w:val="0"/>
            <w:color w:val="0563C1"/>
            <w:u w:val="single"/>
            <w:lang w:val="en-GB"/>
          </w:rPr>
          <w:t>https://www.berliner-zeitung.de/wirtschaft-verantwortung/vw-und-co-vor-dem-bruch-2026-entscheidet-ueber-jobs-und-standorte-li.10011851</w:t>
        </w:r>
      </w:hyperlink>
    </w:p>
    <w:p w:rsidR="16F5B189" w:rsidP="458E7362" w:rsidRDefault="16F5B189" w14:paraId="4666A1E3" w14:textId="5C0FA2DB">
      <w:pPr>
        <w:bidi w:val="0"/>
        <w:spacing w:before="0" w:beforeAutospacing="off" w:after="80" w:afterAutospacing="off"/>
      </w:pPr>
      <w:r w:rsidRPr="458E7362" w:rsidR="458E7362">
        <w:rPr>
          <w:rFonts w:ascii="Calibri" w:hAnsi="Calibri" w:eastAsia="Calibri" w:cs="Calibri"/>
          <w:noProof w:val="0"/>
          <w:sz w:val="19"/>
          <w:szCs w:val="19"/>
          <w:lang w:val="en-GB"/>
        </w:rPr>
        <w:t xml:space="preserve">[6] Table.Briefings, Insolvenzwelle rollt auf Deutschland zu, April 2026 (incl. IWH data). </w:t>
      </w:r>
      <w:hyperlink r:id="R9b88b8dae6494e61">
        <w:r w:rsidRPr="458E7362" w:rsidR="458E7362">
          <w:rPr>
            <w:rStyle w:val="Hyperlink"/>
            <w:strike w:val="0"/>
            <w:dstrike w:val="0"/>
            <w:noProof w:val="0"/>
            <w:color w:val="0563C1"/>
            <w:u w:val="single"/>
            <w:lang w:val="en-GB"/>
          </w:rPr>
          <w:t>https://table.media/ceo/executive-summary/insolvenzwelle-rollt-auf-deutschland-zu-was-jetzt-zu-tun-ist</w:t>
        </w:r>
      </w:hyperlink>
    </w:p>
    <w:p w:rsidR="16F5B189" w:rsidP="458E7362" w:rsidRDefault="16F5B189" w14:paraId="4EEFDD45" w14:textId="319BB1C7">
      <w:pPr>
        <w:bidi w:val="0"/>
        <w:spacing w:before="0" w:beforeAutospacing="off" w:after="80" w:afterAutospacing="off"/>
      </w:pPr>
      <w:r w:rsidRPr="458E7362" w:rsidR="458E7362">
        <w:rPr>
          <w:rFonts w:ascii="Calibri" w:hAnsi="Calibri" w:eastAsia="Calibri" w:cs="Calibri"/>
          <w:noProof w:val="0"/>
          <w:sz w:val="19"/>
          <w:szCs w:val="19"/>
          <w:lang w:val="en-GB"/>
        </w:rPr>
        <w:t xml:space="preserve">[7] CAM and Accenture, Software-Defined-Future-Report 2026, May 2026. </w:t>
      </w:r>
      <w:hyperlink r:id="R04484a3fc3a34c46">
        <w:r w:rsidRPr="458E7362" w:rsidR="458E7362">
          <w:rPr>
            <w:rStyle w:val="Hyperlink"/>
            <w:strike w:val="0"/>
            <w:dstrike w:val="0"/>
            <w:noProof w:val="0"/>
            <w:color w:val="0563C1"/>
            <w:u w:val="single"/>
            <w:lang w:val="en-GB"/>
          </w:rPr>
          <w:t>https://auto-institut.de/presse/neue-studie-von-accenture-und-center-of-automotive-management-camdie-automobilindustrie-an-der-schwelle-zum-ai-definierten-fahrzeug/</w:t>
        </w:r>
      </w:hyperlink>
    </w:p>
    <w:p w:rsidR="16F5B189" w:rsidP="458E7362" w:rsidRDefault="16F5B189" w14:paraId="40C2CF9E" w14:textId="246C2137">
      <w:pPr>
        <w:bidi w:val="0"/>
        <w:spacing w:before="0" w:beforeAutospacing="off" w:after="80" w:afterAutospacing="off"/>
      </w:pPr>
      <w:r w:rsidRPr="458E7362" w:rsidR="458E7362">
        <w:rPr>
          <w:rFonts w:ascii="Calibri" w:hAnsi="Calibri" w:eastAsia="Calibri" w:cs="Calibri"/>
          <w:noProof w:val="0"/>
          <w:sz w:val="19"/>
          <w:szCs w:val="19"/>
          <w:lang w:val="en-GB"/>
        </w:rPr>
        <w:t xml:space="preserve">[8] automotiveIT, ZF sells ADAS business unit to Harman for EUR 1.5bn, 2026. </w:t>
      </w:r>
      <w:hyperlink r:id="R6d0dedc1d74542cb">
        <w:r w:rsidRPr="458E7362" w:rsidR="458E7362">
          <w:rPr>
            <w:rStyle w:val="Hyperlink"/>
            <w:strike w:val="0"/>
            <w:dstrike w:val="0"/>
            <w:noProof w:val="0"/>
            <w:color w:val="0563C1"/>
            <w:u w:val="single"/>
            <w:lang w:val="en-GB"/>
          </w:rPr>
          <w:t>https://www.automotiveit.eu/tag/strategy</w:t>
        </w:r>
      </w:hyperlink>
    </w:p>
    <w:p w:rsidR="16F5B189" w:rsidP="458E7362" w:rsidRDefault="16F5B189" w14:paraId="679EB083" w14:textId="57F4296B">
      <w:pPr>
        <w:bidi w:val="0"/>
        <w:spacing w:before="0" w:beforeAutospacing="off" w:after="80" w:afterAutospacing="off"/>
      </w:pPr>
      <w:r w:rsidRPr="458E7362" w:rsidR="458E7362">
        <w:rPr>
          <w:rFonts w:ascii="Calibri" w:hAnsi="Calibri" w:eastAsia="Calibri" w:cs="Calibri"/>
          <w:noProof w:val="0"/>
          <w:sz w:val="19"/>
          <w:szCs w:val="19"/>
          <w:lang w:val="en-GB"/>
        </w:rPr>
        <w:t xml:space="preserve">[9] Overview of the Volkswagen Scalable Systems Platform (SSP), stromzeit.ch, May 2026. </w:t>
      </w:r>
      <w:hyperlink r:id="R7adb56a93d5e4dbf">
        <w:r w:rsidRPr="458E7362" w:rsidR="458E7362">
          <w:rPr>
            <w:rStyle w:val="Hyperlink"/>
            <w:strike w:val="0"/>
            <w:dstrike w:val="0"/>
            <w:noProof w:val="0"/>
            <w:color w:val="0563C1"/>
            <w:u w:val="single"/>
            <w:lang w:val="en-GB"/>
          </w:rPr>
          <w:t>https://www.stromzeit.ch/blog/innovationen-4/vw-scalable-systems-platform-ssp-von-volkswagen-rein-elektrische-volldigitale-mechatronik-plattform-619</w:t>
        </w:r>
      </w:hyperlink>
    </w:p>
    <w:p w:rsidR="16F5B189" w:rsidP="458E7362" w:rsidRDefault="16F5B189" w14:paraId="63659E88" w14:textId="5097EB9A">
      <w:pPr>
        <w:bidi w:val="0"/>
        <w:spacing w:before="0" w:beforeAutospacing="off" w:after="80" w:afterAutospacing="off"/>
      </w:pPr>
      <w:r w:rsidRPr="458E7362" w:rsidR="458E7362">
        <w:rPr>
          <w:rFonts w:ascii="Calibri" w:hAnsi="Calibri" w:eastAsia="Calibri" w:cs="Calibri"/>
          <w:noProof w:val="0"/>
          <w:sz w:val="19"/>
          <w:szCs w:val="19"/>
          <w:lang w:val="en-GB"/>
        </w:rPr>
        <w:t xml:space="preserve">[10] auto motor und sport, 160 Milliarden bis 2030: VW-Investitionsplanung, December 2025. </w:t>
      </w:r>
      <w:hyperlink r:id="R9dffdbba8f534570">
        <w:r w:rsidRPr="458E7362" w:rsidR="458E7362">
          <w:rPr>
            <w:rStyle w:val="Hyperlink"/>
            <w:strike w:val="0"/>
            <w:dstrike w:val="0"/>
            <w:noProof w:val="0"/>
            <w:color w:val="0563C1"/>
            <w:u w:val="single"/>
            <w:lang w:val="en-GB"/>
          </w:rPr>
          <w:t>https://www.auto-motor-und-sport.de/verkehr/vw-investiert-160-milliarden-bis-2030-deutliche-abstriche-bei-den-konzern-ausgaben-in-europa/</w:t>
        </w:r>
      </w:hyperlink>
    </w:p>
    <w:p w:rsidR="16F5B189" w:rsidP="458E7362" w:rsidRDefault="16F5B189" w14:paraId="700A77A3" w14:textId="09E61134">
      <w:pPr>
        <w:bidi w:val="0"/>
        <w:spacing w:before="0" w:beforeAutospacing="off" w:after="80" w:afterAutospacing="off"/>
      </w:pPr>
      <w:r w:rsidRPr="458E7362" w:rsidR="458E7362">
        <w:rPr>
          <w:rFonts w:ascii="Calibri" w:hAnsi="Calibri" w:eastAsia="Calibri" w:cs="Calibri"/>
          <w:noProof w:val="0"/>
          <w:sz w:val="19"/>
          <w:szCs w:val="19"/>
          <w:lang w:val="en-GB"/>
        </w:rPr>
        <w:t xml:space="preserve">[11] Volkswagen Group Annual Report 2025, investment and financial planning. </w:t>
      </w:r>
      <w:hyperlink r:id="Rddb15eafb3534c17">
        <w:r w:rsidRPr="458E7362" w:rsidR="458E7362">
          <w:rPr>
            <w:rStyle w:val="Hyperlink"/>
            <w:strike w:val="0"/>
            <w:dstrike w:val="0"/>
            <w:noProof w:val="0"/>
            <w:color w:val="0563C1"/>
            <w:u w:val="single"/>
            <w:lang w:val="en-GB"/>
          </w:rPr>
          <w:t>https://geschaeftsbericht2025.volkswagen-group.com/konzernlagebericht/prognosebericht/investitions-und-finanzplanung.html</w:t>
        </w:r>
      </w:hyperlink>
    </w:p>
    <w:p w:rsidR="16F5B189" w:rsidP="458E7362" w:rsidRDefault="16F5B189" w14:paraId="63A51D2C" w14:textId="29C46DBE">
      <w:pPr>
        <w:bidi w:val="0"/>
        <w:spacing w:before="0" w:beforeAutospacing="off" w:after="80" w:afterAutospacing="off"/>
      </w:pPr>
      <w:r w:rsidRPr="458E7362" w:rsidR="458E7362">
        <w:rPr>
          <w:rFonts w:ascii="Calibri" w:hAnsi="Calibri" w:eastAsia="Calibri" w:cs="Calibri"/>
          <w:noProof w:val="0"/>
          <w:sz w:val="19"/>
          <w:szCs w:val="19"/>
          <w:lang w:val="en-GB"/>
        </w:rPr>
        <w:t xml:space="preserve">[12] Euronews, China-Autobauer verdoppeln EU-Marktanteil, May 2026 (ACEA registration data). </w:t>
      </w:r>
      <w:hyperlink r:id="R654c04c31f3e428a">
        <w:r w:rsidRPr="458E7362" w:rsidR="458E7362">
          <w:rPr>
            <w:rStyle w:val="Hyperlink"/>
            <w:strike w:val="0"/>
            <w:dstrike w:val="0"/>
            <w:noProof w:val="0"/>
            <w:color w:val="0563C1"/>
            <w:u w:val="single"/>
            <w:lang w:val="en-GB"/>
          </w:rPr>
          <w:t>https://de.euronews.com/business/2026/05/27/china-autobauer-verdoppeln-eu-marktanteil</w:t>
        </w:r>
      </w:hyperlink>
    </w:p>
    <w:p w:rsidR="16F5B189" w:rsidP="458E7362" w:rsidRDefault="16F5B189" w14:paraId="73D4CB14" w14:textId="68F3E489">
      <w:pPr>
        <w:bidi w:val="0"/>
        <w:spacing w:before="0" w:beforeAutospacing="off" w:after="80" w:afterAutospacing="off"/>
      </w:pPr>
      <w:r w:rsidRPr="458E7362" w:rsidR="458E7362">
        <w:rPr>
          <w:rFonts w:ascii="Calibri" w:hAnsi="Calibri" w:eastAsia="Calibri" w:cs="Calibri"/>
          <w:noProof w:val="0"/>
          <w:sz w:val="19"/>
          <w:szCs w:val="19"/>
          <w:lang w:val="en-GB"/>
        </w:rPr>
        <w:t xml:space="preserve">[13] CAM Electromobility Report 2026, reported in firmenauto, June 2026. </w:t>
      </w:r>
      <w:hyperlink r:id="Rec046066a5d8426f">
        <w:r w:rsidRPr="458E7362" w:rsidR="458E7362">
          <w:rPr>
            <w:rStyle w:val="Hyperlink"/>
            <w:strike w:val="0"/>
            <w:dstrike w:val="0"/>
            <w:noProof w:val="0"/>
            <w:color w:val="0563C1"/>
            <w:u w:val="single"/>
            <w:lang w:val="en-GB"/>
          </w:rPr>
          <w:t>https://www.firmenauto.de/branche/cam-analyse-china-hersteller-europa-elektroautos-marktanteile-2026/</w:t>
        </w:r>
      </w:hyperlink>
    </w:p>
    <w:p w:rsidR="16F5B189" w:rsidP="458E7362" w:rsidRDefault="16F5B189" w14:paraId="2A42347A" w14:textId="252E6B68">
      <w:pPr>
        <w:bidi w:val="0"/>
        <w:spacing w:before="0" w:beforeAutospacing="off" w:after="80" w:afterAutospacing="off"/>
      </w:pPr>
      <w:r w:rsidRPr="458E7362" w:rsidR="458E7362">
        <w:rPr>
          <w:rFonts w:ascii="Calibri" w:hAnsi="Calibri" w:eastAsia="Calibri" w:cs="Calibri"/>
          <w:noProof w:val="0"/>
          <w:sz w:val="19"/>
          <w:szCs w:val="19"/>
          <w:lang w:val="en-GB"/>
        </w:rPr>
        <w:t xml:space="preserve">[14] Inovev market analysis, reported in Autogazette, June 2026. </w:t>
      </w:r>
      <w:hyperlink r:id="Rfe50823476be4cad">
        <w:r w:rsidRPr="458E7362" w:rsidR="458E7362">
          <w:rPr>
            <w:rStyle w:val="Hyperlink"/>
            <w:strike w:val="0"/>
            <w:dstrike w:val="0"/>
            <w:noProof w:val="0"/>
            <w:color w:val="0563C1"/>
            <w:u w:val="single"/>
            <w:lang w:val="en-GB"/>
          </w:rPr>
          <w:t>https://autogazette.de/china/europa/unternehmen/europa-chinas-autobauer-steigern-marktanteile-989433407.html</w:t>
        </w:r>
      </w:hyperlink>
    </w:p>
    <w:p w:rsidR="16F5B189" w:rsidP="458E7362" w:rsidRDefault="16F5B189" w14:paraId="05AE0FAD" w14:textId="4C2A6261">
      <w:pPr>
        <w:bidi w:val="0"/>
        <w:spacing w:before="0" w:beforeAutospacing="off" w:after="80" w:afterAutospacing="off"/>
      </w:pPr>
      <w:r w:rsidRPr="458E7362" w:rsidR="458E7362">
        <w:rPr>
          <w:rFonts w:ascii="Calibri" w:hAnsi="Calibri" w:eastAsia="Calibri" w:cs="Calibri"/>
          <w:noProof w:val="0"/>
          <w:sz w:val="19"/>
          <w:szCs w:val="19"/>
          <w:lang w:val="en-GB"/>
        </w:rPr>
        <w:t xml:space="preserve">[15] Schmidt Automotive Research, European Electric Car Study, reported in Elektroauto-News, July 2026. </w:t>
      </w:r>
      <w:hyperlink r:id="Rd819adfa377a45ac">
        <w:r w:rsidRPr="458E7362" w:rsidR="458E7362">
          <w:rPr>
            <w:rStyle w:val="Hyperlink"/>
            <w:strike w:val="0"/>
            <w:dstrike w:val="0"/>
            <w:noProof w:val="0"/>
            <w:color w:val="0563C1"/>
            <w:u w:val="single"/>
            <w:lang w:val="en-GB"/>
          </w:rPr>
          <w:t>https://www.elektroauto-news.net/news/eauto-markt-europa-china-15-prozent-marke</w:t>
        </w:r>
      </w:hyperlink>
    </w:p>
    <w:p w:rsidR="16F5B189" w:rsidP="458E7362" w:rsidRDefault="16F5B189" w14:paraId="62C9C25A" w14:textId="4B23BFA2">
      <w:pPr>
        <w:bidi w:val="0"/>
        <w:spacing w:before="0" w:beforeAutospacing="off" w:after="80" w:afterAutospacing="off"/>
      </w:pPr>
      <w:r w:rsidRPr="458E7362" w:rsidR="458E7362">
        <w:rPr>
          <w:rFonts w:ascii="Calibri" w:hAnsi="Calibri" w:eastAsia="Calibri" w:cs="Calibri"/>
          <w:noProof w:val="0"/>
          <w:sz w:val="19"/>
          <w:szCs w:val="19"/>
          <w:lang w:val="en-GB"/>
        </w:rPr>
        <w:t xml:space="preserve">[16] Expertenkreis Transformation der Automobilwirtschaft, Zukunft der automobilen Wertschoepfung am Standort Deutschland (VDA/Eurostat labour cost data). </w:t>
      </w:r>
      <w:hyperlink r:id="Rec810eaee2584879">
        <w:r w:rsidRPr="458E7362" w:rsidR="458E7362">
          <w:rPr>
            <w:rStyle w:val="Hyperlink"/>
            <w:strike w:val="0"/>
            <w:dstrike w:val="0"/>
            <w:noProof w:val="0"/>
            <w:color w:val="0563C1"/>
            <w:u w:val="single"/>
            <w:lang w:val="en-GB"/>
          </w:rPr>
          <w:t>https://expertenkreis-automobilwirtschaft.de/media/pages/home/84f50e0477-1732868392/expertenkreis-transformation-der-automobilwirtschaft_papier_zukunft-automobiler-wertschopfung-standort-deutschland.pdf</w:t>
        </w:r>
      </w:hyperlink>
    </w:p>
    <w:p w:rsidR="16F5B189" w:rsidP="458E7362" w:rsidRDefault="16F5B189" w14:paraId="5C85D596" w14:textId="15F228F9">
      <w:pPr>
        <w:bidi w:val="0"/>
        <w:spacing w:before="0" w:beforeAutospacing="off" w:after="80" w:afterAutospacing="off"/>
      </w:pPr>
      <w:r w:rsidRPr="458E7362" w:rsidR="458E7362">
        <w:rPr>
          <w:rFonts w:ascii="Calibri" w:hAnsi="Calibri" w:eastAsia="Calibri" w:cs="Calibri"/>
          <w:noProof w:val="0"/>
          <w:sz w:val="19"/>
          <w:szCs w:val="19"/>
          <w:lang w:val="en-GB"/>
        </w:rPr>
        <w:t xml:space="preserve">[17] Porsche Consulting, IfUS-Institut and Executive Interim Partners, Automobilindustrie 2026: Restrukturierung als Ueberlebensprinzip, reported in Markt und Mittelstand, February 2026. </w:t>
      </w:r>
      <w:hyperlink r:id="Ra6afffd3276c4d6d">
        <w:r w:rsidRPr="458E7362" w:rsidR="458E7362">
          <w:rPr>
            <w:rStyle w:val="Hyperlink"/>
            <w:strike w:val="0"/>
            <w:dstrike w:val="0"/>
            <w:noProof w:val="0"/>
            <w:color w:val="0563C1"/>
            <w:u w:val="single"/>
            <w:lang w:val="en-GB"/>
          </w:rPr>
          <w:t>https://www.marktundmittelstand.de/ratgeber/so-schlecht-geht-es-den-deutschen-autozulieferern</w:t>
        </w:r>
      </w:hyperlink>
    </w:p>
    <w:p w:rsidR="16F5B189" w:rsidP="16F5B189" w:rsidRDefault="16F5B189" w14:paraId="1F30822E" w14:textId="7E7FEF84">
      <w:pPr>
        <w:rPr>
          <w:b w:val="1"/>
          <w:bCs w:val="1"/>
        </w:rPr>
      </w:pPr>
    </w:p>
    <w:p w:rsidR="16F5B189" w:rsidRDefault="16F5B189" w14:paraId="19C9928E" w14:textId="4494A0CF"/>
    <w:sectPr w:rsidR="00B213AB" w:rsidSect="006F3436">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3bda5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2b061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D77"/>
    <w:rsid w:val="00034EA6"/>
    <w:rsid w:val="001B7077"/>
    <w:rsid w:val="0032462B"/>
    <w:rsid w:val="00357D77"/>
    <w:rsid w:val="00376948"/>
    <w:rsid w:val="00393ED7"/>
    <w:rsid w:val="005113B9"/>
    <w:rsid w:val="00531DD0"/>
    <w:rsid w:val="005A4638"/>
    <w:rsid w:val="005F31E4"/>
    <w:rsid w:val="00606765"/>
    <w:rsid w:val="006F3436"/>
    <w:rsid w:val="00760A39"/>
    <w:rsid w:val="0076467A"/>
    <w:rsid w:val="00777202"/>
    <w:rsid w:val="00852A96"/>
    <w:rsid w:val="008B1B18"/>
    <w:rsid w:val="008D3424"/>
    <w:rsid w:val="008E1653"/>
    <w:rsid w:val="009338DE"/>
    <w:rsid w:val="00AA71A5"/>
    <w:rsid w:val="00B213AB"/>
    <w:rsid w:val="00B447AF"/>
    <w:rsid w:val="00BE5503"/>
    <w:rsid w:val="00C068D1"/>
    <w:rsid w:val="00D2095A"/>
    <w:rsid w:val="00F05782"/>
    <w:rsid w:val="16F5B189"/>
    <w:rsid w:val="458E7362"/>
    <w:rsid w:val="6C8B6F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818365"/>
  <w15:chartTrackingRefBased/>
  <w15:docId w15:val="{55167B6B-9794-4D5C-A060-17BC8C94A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6C8B6F3E"/>
    <w:rPr>
      <w:noProof w:val="0"/>
    </w:rPr>
  </w:style>
  <w:style w:type="paragraph" w:styleId="Heading1">
    <w:uiPriority w:val="9"/>
    <w:name w:val="heading 1"/>
    <w:basedOn w:val="Normal"/>
    <w:next w:val="Normal"/>
    <w:link w:val="Heading1Char"/>
    <w:qFormat/>
    <w:rsid w:val="6C8B6F3E"/>
    <w:rPr>
      <w:rFonts w:ascii="Aptos Display" w:hAnsi="Aptos Display" w:eastAsia="游ゴシック Light"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semiHidden/>
    <w:unhideWhenUsed/>
    <w:link w:val="Heading2Char"/>
    <w:qFormat/>
    <w:rsid w:val="6C8B6F3E"/>
    <w:rPr>
      <w:rFonts w:ascii="Aptos Display" w:hAnsi="Aptos Display" w:eastAsia="游ゴシック Light"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semiHidden/>
    <w:unhideWhenUsed/>
    <w:link w:val="Heading3Char"/>
    <w:qFormat/>
    <w:rsid w:val="6C8B6F3E"/>
    <w:rPr>
      <w:rFonts w:eastAsia="游ゴシック Light"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semiHidden/>
    <w:unhideWhenUsed/>
    <w:link w:val="Heading4Char"/>
    <w:qFormat/>
    <w:rsid w:val="6C8B6F3E"/>
    <w:rPr>
      <w:rFonts w:eastAsia="游ゴシック Light" w:cs="Times New Roman"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semiHidden/>
    <w:unhideWhenUsed/>
    <w:link w:val="Heading5Char"/>
    <w:qFormat/>
    <w:rsid w:val="6C8B6F3E"/>
    <w:rPr>
      <w:rFonts w:eastAsia="游ゴシック Light" w:cs="Times New Roman"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semiHidden/>
    <w:unhideWhenUsed/>
    <w:link w:val="Heading6Char"/>
    <w:qFormat/>
    <w:rsid w:val="6C8B6F3E"/>
    <w:rPr>
      <w:rFonts w:eastAsia="游ゴシック Light" w:cs="Times New Roman"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semiHidden/>
    <w:unhideWhenUsed/>
    <w:link w:val="Heading7Char"/>
    <w:qFormat/>
    <w:rsid w:val="6C8B6F3E"/>
    <w:rPr>
      <w:rFonts w:eastAsia="游ゴシック Light" w:cs="Times New Roman"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semiHidden/>
    <w:unhideWhenUsed/>
    <w:link w:val="Heading8Char"/>
    <w:qFormat/>
    <w:rsid w:val="6C8B6F3E"/>
    <w:rPr>
      <w:rFonts w:eastAsia="游ゴシック Light" w:cs="Times New Roman"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semiHidden/>
    <w:unhideWhenUsed/>
    <w:link w:val="Heading9Char"/>
    <w:qFormat/>
    <w:rsid w:val="6C8B6F3E"/>
    <w:rPr>
      <w:rFonts w:eastAsia="游ゴシック Light" w:cs="Times New Roman" w:eastAsiaTheme="majorEastAsia" w:cstheme="majorBidi"/>
      <w:color w:val="272727"/>
    </w:rPr>
    <w:pPr>
      <w:keepNext w:val="1"/>
      <w:keepLines w:val="1"/>
      <w:spacing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57D7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57D7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57D7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57D7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57D7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57D7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57D7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57D7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57D77"/>
    <w:rPr>
      <w:rFonts w:eastAsiaTheme="majorEastAsia" w:cstheme="majorBidi"/>
      <w:color w:val="272727" w:themeColor="text1" w:themeTint="D8"/>
    </w:rPr>
  </w:style>
  <w:style w:type="paragraph" w:styleId="Title">
    <w:uiPriority w:val="10"/>
    <w:name w:val="Title"/>
    <w:basedOn w:val="Normal"/>
    <w:next w:val="Normal"/>
    <w:link w:val="TitleChar"/>
    <w:qFormat/>
    <w:rsid w:val="6C8B6F3E"/>
    <w:rPr>
      <w:rFonts w:ascii="Aptos Display" w:hAnsi="Aptos Display" w:eastAsia="游ゴシック Light" w:cs="Times New Roman" w:asciiTheme="majorAscii" w:hAnsiTheme="majorAscii" w:eastAsiaTheme="majorEastAsia" w:cstheme="majorBidi"/>
      <w:sz w:val="56"/>
      <w:szCs w:val="56"/>
    </w:rPr>
    <w:pPr>
      <w:spacing w:after="80" w:line="240" w:lineRule="auto"/>
      <w:contextualSpacing/>
    </w:pPr>
  </w:style>
  <w:style w:type="character" w:styleId="TitleChar" w:customStyle="1">
    <w:name w:val="Title Char"/>
    <w:basedOn w:val="DefaultParagraphFont"/>
    <w:link w:val="Title"/>
    <w:uiPriority w:val="10"/>
    <w:rsid w:val="00357D77"/>
    <w:rPr>
      <w:rFonts w:asciiTheme="majorHAnsi" w:hAnsiTheme="majorHAnsi" w:eastAsiaTheme="majorEastAsia" w:cstheme="majorBidi"/>
      <w:spacing w:val="-10"/>
      <w:kern w:val="28"/>
      <w:sz w:val="56"/>
      <w:szCs w:val="56"/>
    </w:rPr>
  </w:style>
  <w:style w:type="paragraph" w:styleId="Subtitle">
    <w:uiPriority w:val="11"/>
    <w:name w:val="Subtitle"/>
    <w:basedOn w:val="Normal"/>
    <w:next w:val="Normal"/>
    <w:link w:val="SubtitleChar"/>
    <w:qFormat/>
    <w:rsid w:val="6C8B6F3E"/>
    <w:rPr>
      <w:rFonts w:eastAsia="游ゴシック Light" w:cs="Times New Roman" w:eastAsiaTheme="majorEastAsia" w:cstheme="majorBidi"/>
      <w:color w:val="595959" w:themeColor="text1" w:themeTint="A6" w:themeShade="FF"/>
      <w:sz w:val="28"/>
      <w:szCs w:val="28"/>
    </w:rPr>
  </w:style>
  <w:style w:type="character" w:styleId="SubtitleChar" w:customStyle="1">
    <w:name w:val="Subtitle Char"/>
    <w:basedOn w:val="DefaultParagraphFont"/>
    <w:link w:val="Subtitle"/>
    <w:uiPriority w:val="11"/>
    <w:rsid w:val="00357D77"/>
    <w:rPr>
      <w:rFonts w:eastAsiaTheme="majorEastAsia" w:cstheme="majorBidi"/>
      <w:color w:val="595959" w:themeColor="text1" w:themeTint="A6"/>
      <w:spacing w:val="15"/>
      <w:sz w:val="28"/>
      <w:szCs w:val="28"/>
    </w:rPr>
  </w:style>
  <w:style w:type="paragraph" w:styleId="Quote">
    <w:uiPriority w:val="29"/>
    <w:name w:val="Quote"/>
    <w:basedOn w:val="Normal"/>
    <w:next w:val="Normal"/>
    <w:link w:val="QuoteChar"/>
    <w:qFormat/>
    <w:rsid w:val="6C8B6F3E"/>
    <w:rPr>
      <w:i w:val="1"/>
      <w:iCs w:val="1"/>
      <w:color w:val="404040" w:themeColor="text1" w:themeTint="BF" w:themeShade="FF"/>
    </w:rPr>
    <w:pPr>
      <w:spacing w:before="160"/>
      <w:jc w:val="center"/>
    </w:pPr>
  </w:style>
  <w:style w:type="character" w:styleId="QuoteChar" w:customStyle="1">
    <w:name w:val="Quote Char"/>
    <w:basedOn w:val="DefaultParagraphFont"/>
    <w:link w:val="Quote"/>
    <w:uiPriority w:val="29"/>
    <w:rsid w:val="00357D77"/>
    <w:rPr>
      <w:i/>
      <w:iCs/>
      <w:color w:val="404040" w:themeColor="text1" w:themeTint="BF"/>
    </w:rPr>
  </w:style>
  <w:style w:type="paragraph" w:styleId="ListParagraph">
    <w:uiPriority w:val="34"/>
    <w:name w:val="List Paragraph"/>
    <w:basedOn w:val="Normal"/>
    <w:qFormat/>
    <w:rsid w:val="6C8B6F3E"/>
    <w:pPr>
      <w:spacing/>
      <w:ind w:left="720"/>
      <w:contextualSpacing/>
    </w:pPr>
  </w:style>
  <w:style w:type="character" w:styleId="IntenseEmphasis">
    <w:name w:val="Intense Emphasis"/>
    <w:basedOn w:val="DefaultParagraphFont"/>
    <w:uiPriority w:val="21"/>
    <w:qFormat/>
    <w:rsid w:val="00357D77"/>
    <w:rPr>
      <w:i/>
      <w:iCs/>
      <w:color w:val="0F4761" w:themeColor="accent1" w:themeShade="BF"/>
    </w:rPr>
  </w:style>
  <w:style w:type="paragraph" w:styleId="IntenseQuote">
    <w:uiPriority w:val="30"/>
    <w:name w:val="Intense Quote"/>
    <w:basedOn w:val="Normal"/>
    <w:next w:val="Normal"/>
    <w:link w:val="IntenseQuoteChar"/>
    <w:qFormat/>
    <w:rsid w:val="6C8B6F3E"/>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QuoteChar" w:customStyle="1">
    <w:name w:val="Intense Quote Char"/>
    <w:basedOn w:val="DefaultParagraphFont"/>
    <w:link w:val="IntenseQuote"/>
    <w:uiPriority w:val="30"/>
    <w:rsid w:val="00357D77"/>
    <w:rPr>
      <w:i/>
      <w:iCs/>
      <w:color w:val="0F4761" w:themeColor="accent1" w:themeShade="BF"/>
    </w:rPr>
  </w:style>
  <w:style w:type="character" w:styleId="IntenseReference">
    <w:name w:val="Intense Reference"/>
    <w:basedOn w:val="DefaultParagraphFont"/>
    <w:uiPriority w:val="32"/>
    <w:qFormat/>
    <w:rsid w:val="00357D77"/>
    <w:rPr>
      <w:b/>
      <w:bCs/>
      <w:smallCaps/>
      <w:color w:val="0F4761" w:themeColor="accent1" w:themeShade="BF"/>
      <w:spacing w:val="5"/>
    </w:rPr>
  </w:style>
  <w:style w:type="character" w:styleId="Hyperlink">
    <w:uiPriority w:val="99"/>
    <w:name w:val="Hyperlink"/>
    <w:basedOn w:val="DefaultParagraphFont"/>
    <w:unhideWhenUsed/>
    <w:rsid w:val="16F5B18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2eb7ce217d8d4169" Type="http://schemas.openxmlformats.org/officeDocument/2006/relationships/numbering" Target="numbering.xml"/><Relationship Id="rId239019073" Type="http://schemas.openxmlformats.org/officeDocument/2006/relationships/image" Target="../media/image.png"/><Relationship Id="Rc7b40fa3016849b7" Type="http://schemas.openxmlformats.org/officeDocument/2006/relationships/hyperlink" Target="https://www.lek.com/insights/post-merger-integration/keys-unlocking-merger-value-cost-synergies" TargetMode="External"/><Relationship Id="R8d55a9bf73ed4b07" Type="http://schemas.openxmlformats.org/officeDocument/2006/relationships/hyperlink" Target="https://www.bcg.com/publications/2018/lessons-from-eight-successful-mergers-acquisitions-turnarounds" TargetMode="External"/><Relationship Id="Rf4f34518733a40eb" Type="http://schemas.openxmlformats.org/officeDocument/2006/relationships/hyperlink" Target="https://www.bcg.com/publications/2018/lofty-valuations-put-spotlight-synergies-2018-m-and-a-report" TargetMode="External"/><Relationship Id="R861ce20d772142db" Type="http://schemas.openxmlformats.org/officeDocument/2006/relationships/hyperlink" Target="https://www.ijisrt.com/synergy-gains-in-supply-chain-for-automobile-manufacturing-in-postmerger-integration-a-case-study-of-stellantis" TargetMode="External"/><Relationship Id="R504d883be95b4e1c" Type="http://schemas.openxmlformats.org/officeDocument/2006/relationships/hyperlink" Target="https://www.instituteforenergyresearch.org/fossil-fuels/gas-and-oil/many-of-europes-car-factories-are-underutilized/" TargetMode="External"/><Relationship Id="R39b15a31b9054cec" Type="http://schemas.openxmlformats.org/officeDocument/2006/relationships/hyperlink" Target="https://www.mckinsey.com/features/mckinsey-center-for-future-mobility/our-insights/a-new-era-an-action-plan-for-the-european-automotive-industry" TargetMode="External"/><Relationship Id="R169b38987a5a4d18" Type="http://schemas.openxmlformats.org/officeDocument/2006/relationships/hyperlink" Target="https://www.oliverwyman.de/unsere-expertise/publikationen/2026/march/automobilzuliefererstudie-2026-zwischen-schock-und-gestaltungsspielraum.html" TargetMode="External"/><Relationship Id="R79bc92f538a14677" Type="http://schemas.openxmlformats.org/officeDocument/2006/relationships/hyperlink" Target="https://www.automobil-industrie.vogel.de/automobilzulieferer-entwicklung-2026-insolvenzen-prognose-a-b9475c44f1e7d368e5145838af4f46e9/" TargetMode="External"/><Relationship Id="R2c973efd61fc4749" Type="http://schemas.openxmlformats.org/officeDocument/2006/relationships/hyperlink" Target="https://www.ad-hoc-news.de/boerse/news/ueberblick/insolvenzwelle-erfasst-deutsche-autozulieferer/69158531" TargetMode="External"/><Relationship Id="R7cd9d529cafe415f" Type="http://schemas.openxmlformats.org/officeDocument/2006/relationships/hyperlink" Target="https://www.ey.com/de_de/newsroom/2026/03/ey-automobilstandort-deutschland-maerz-2026" TargetMode="External"/><Relationship Id="R74d2b3692939452c" Type="http://schemas.openxmlformats.org/officeDocument/2006/relationships/hyperlink" Target="https://www.berliner-zeitung.de/wirtschaft-verantwortung/vw-und-co-vor-dem-bruch-2026-entscheidet-ueber-jobs-und-standorte-li.10011851" TargetMode="External"/><Relationship Id="R9b88b8dae6494e61" Type="http://schemas.openxmlformats.org/officeDocument/2006/relationships/hyperlink" Target="https://table.media/ceo/executive-summary/insolvenzwelle-rollt-auf-deutschland-zu-was-jetzt-zu-tun-ist" TargetMode="External"/><Relationship Id="R04484a3fc3a34c46" Type="http://schemas.openxmlformats.org/officeDocument/2006/relationships/hyperlink" Target="https://auto-institut.de/presse/neue-studie-von-accenture-und-center-of-automotive-management-camdie-automobilindustrie-an-der-schwelle-zum-ai-definierten-fahrzeug/" TargetMode="External"/><Relationship Id="R6d0dedc1d74542cb" Type="http://schemas.openxmlformats.org/officeDocument/2006/relationships/hyperlink" Target="https://www.automotiveit.eu/tag/strategy" TargetMode="External"/><Relationship Id="R7adb56a93d5e4dbf" Type="http://schemas.openxmlformats.org/officeDocument/2006/relationships/hyperlink" Target="https://www.stromzeit.ch/blog/innovationen-4/vw-scalable-systems-platform-ssp-von-volkswagen-rein-elektrische-volldigitale-mechatronik-plattform-619" TargetMode="External"/><Relationship Id="R9dffdbba8f534570" Type="http://schemas.openxmlformats.org/officeDocument/2006/relationships/hyperlink" Target="https://www.auto-motor-und-sport.de/verkehr/vw-investiert-160-milliarden-bis-2030-deutliche-abstriche-bei-den-konzern-ausgaben-in-europa/" TargetMode="External"/><Relationship Id="Rddb15eafb3534c17" Type="http://schemas.openxmlformats.org/officeDocument/2006/relationships/hyperlink" Target="https://geschaeftsbericht2025.volkswagen-group.com/konzernlagebericht/prognosebericht/investitions-und-finanzplanung.html" TargetMode="External"/><Relationship Id="R654c04c31f3e428a" Type="http://schemas.openxmlformats.org/officeDocument/2006/relationships/hyperlink" Target="https://de.euronews.com/business/2026/05/27/china-autobauer-verdoppeln-eu-marktanteil" TargetMode="External"/><Relationship Id="Rec046066a5d8426f" Type="http://schemas.openxmlformats.org/officeDocument/2006/relationships/hyperlink" Target="https://www.firmenauto.de/branche/cam-analyse-china-hersteller-europa-elektroautos-marktanteile-2026/" TargetMode="External"/><Relationship Id="Rfe50823476be4cad" Type="http://schemas.openxmlformats.org/officeDocument/2006/relationships/hyperlink" Target="https://autogazette.de/china/europa/unternehmen/europa-chinas-autobauer-steigern-marktanteile-989433407.html" TargetMode="External"/><Relationship Id="Rd819adfa377a45ac" Type="http://schemas.openxmlformats.org/officeDocument/2006/relationships/hyperlink" Target="https://www.elektroauto-news.net/news/eauto-markt-europa-china-15-prozent-marke" TargetMode="External"/><Relationship Id="Rec810eaee2584879" Type="http://schemas.openxmlformats.org/officeDocument/2006/relationships/hyperlink" Target="https://expertenkreis-automobilwirtschaft.de/media/pages/home/84f50e0477-1732868392/expertenkreis-transformation-der-automobilwirtschaft_papier_zukunft-automobiler-wertschopfung-standort-deutschland.pdf" TargetMode="External"/><Relationship Id="Ra6afffd3276c4d6d" Type="http://schemas.openxmlformats.org/officeDocument/2006/relationships/hyperlink" Target="https://www.marktundmittelstand.de/ratgeber/so-schlecht-geht-es-den-deutschen-autozulieferern" TargetMode="External"/></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Batu</dc:creator>
  <keywords/>
  <dc:description/>
  <lastModifiedBy>Gastbenutzer</lastModifiedBy>
  <revision>5</revision>
  <dcterms:created xsi:type="dcterms:W3CDTF">2026-07-01T19:00:00.0000000Z</dcterms:created>
  <dcterms:modified xsi:type="dcterms:W3CDTF">2026-07-05T21:40:01.5819291Z</dcterms:modified>
</coreProperties>
</file>