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Präsentation — Sprechtext &amp; Sprechkarten (Julia)</w:t>
      </w:r>
    </w:p>
    <w:p>
      <w:r>
        <w:rPr>
          <w:b/>
        </w:rPr>
        <w:t>Quelle:</w:t>
      </w:r>
      <w:r>
        <w:t xml:space="preserve"> `research/presentation/China-Strategies-Presentation-FINAL.pptx` — Sprecherzuordnung laut Notizen.</w:t>
      </w:r>
    </w:p>
    <w:p>
      <w:r>
        <w:rPr>
          <w:b/>
        </w:rPr>
        <w:t>Deine Folien:</w:t>
      </w:r>
      <w:r>
        <w:t xml:space="preserve"> 6 (Einleitung + SAIC), 7 (komplett), 8 (Einleitung + SAIC), 10 (Einleitung + SAIC), 11 (komplett), 12 (Einleitung + SAIC), 13, 14, 15, 16 (komplett)</w:t>
      </w:r>
    </w:p>
    <w:p>
      <w:r>
        <w:rPr>
          <w:b/>
        </w:rPr>
        <w:t>Geschätzte Redezeit:</w:t>
      </w:r>
      <w:r>
        <w:t xml:space="preserve"> ~1.774 Wörter ≈ </w:t>
      </w:r>
      <w:r>
        <w:rPr>
          <w:b/>
        </w:rPr>
        <w:t>~13 Minuten</w:t>
      </w:r>
      <w:r>
        <w:t xml:space="preserve"> (12,7 min @140 wpm / 13,6 min @130 wpm)</w:t>
      </w:r>
    </w:p>
    <w:p>
      <w:r>
        <w:rPr>
          <w:b/>
        </w:rPr>
        <w:t>Timing-Logik:</w:t>
      </w:r>
      <w:r>
        <w:t xml:space="preserve"> 20 Folien × 2 Min = 40 Min Gesamt ÷ 3 Personen ≈ 13,3 Min/Person. Auf den geteilten Folien (6, 8, 10, 12) ist dein SAIC-Teil bewusst auf ~100–110 Wörter (~0,8 Min) gekürzt, damit Batu (BYD) und Chiara (Geely + Fazit-Box) im selben 2-Minuten-Slot noch Platz haben. Deine Solo-Folien (7, 11, 13–16) sind dafür näher an den vollen 2 Minuten.</w:t>
      </w:r>
    </w:p>
    <w:p>
      <w:r>
        <w:rPr>
          <w:b/>
        </w:rPr>
        <w:t>Sprache:</w:t>
      </w:r>
      <w:r>
        <w:t xml:space="preserve"> Englisch (wie die Präsentation)</w:t>
      </w:r>
    </w:p>
    <w:p>
      <w:pPr>
        <w:pStyle w:val="Heading1"/>
      </w:pPr>
      <w:r>
        <w:t>Überblick — wer spricht wann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Folie</w:t>
            </w:r>
          </w:p>
        </w:tc>
        <w:tc>
          <w:tcPr>
            <w:tcW w:type="dxa" w:w="3324"/>
          </w:tcPr>
          <w:p>
            <w:r>
              <w:rPr>
                <w:b/>
              </w:rPr>
              <w:t>Thema</w:t>
            </w:r>
          </w:p>
        </w:tc>
        <w:tc>
          <w:tcPr>
            <w:tcW w:type="dxa" w:w="3324"/>
          </w:tcPr>
          <w:p>
            <w:r>
              <w:rPr>
                <w:b/>
              </w:rPr>
              <w:t>Dein Anteil</w:t>
            </w:r>
          </w:p>
        </w:tc>
      </w:tr>
      <w:tr>
        <w:tc>
          <w:tcPr>
            <w:tcW w:type="dxa" w:w="3324"/>
          </w:tcPr>
          <w:p>
            <w:r>
              <w:t>1–5</w:t>
            </w:r>
          </w:p>
        </w:tc>
        <w:tc>
          <w:tcPr>
            <w:tcW w:type="dxa" w:w="3324"/>
          </w:tcPr>
          <w:p>
            <w:r>
              <w:t>Intro, Theorie, Framework</w:t>
            </w:r>
          </w:p>
        </w:tc>
        <w:tc>
          <w:tcPr>
            <w:tcW w:type="dxa" w:w="3324"/>
          </w:tcPr>
          <w:p>
            <w:r>
              <w:t>Chiara (nicht du)</w:t>
            </w:r>
          </w:p>
        </w:tc>
      </w:tr>
      <w:tr>
        <w:tc>
          <w:tcPr>
            <w:tcW w:type="dxa" w:w="3324"/>
          </w:tcPr>
          <w:p>
            <w:r>
              <w:rPr>
                <w:b/>
              </w:rPr>
              <w:t>6</w:t>
            </w:r>
          </w:p>
        </w:tc>
        <w:tc>
          <w:tcPr>
            <w:tcW w:type="dxa" w:w="3324"/>
          </w:tcPr>
          <w:p>
            <w:r>
              <w:t>Governance — SAIC/BYD/Geely im Detail</w:t>
            </w:r>
          </w:p>
        </w:tc>
        <w:tc>
          <w:tcPr>
            <w:tcW w:type="dxa" w:w="3324"/>
          </w:tcPr>
          <w:p>
            <w:r>
              <w:rPr>
                <w:b/>
              </w:rPr>
              <w:t>du leitest ein + SAIC-Teil</w:t>
            </w:r>
            <w:r>
              <w:t>, dann BYD/Geely, Chiara beendet</w:t>
            </w:r>
          </w:p>
        </w:tc>
      </w:tr>
      <w:tr>
        <w:tc>
          <w:tcPr>
            <w:tcW w:type="dxa" w:w="3324"/>
          </w:tcPr>
          <w:p>
            <w:r>
              <w:rPr>
                <w:b/>
              </w:rPr>
              <w:t>7</w:t>
            </w:r>
          </w:p>
        </w:tc>
        <w:tc>
          <w:tcPr>
            <w:tcW w:type="dxa" w:w="3324"/>
          </w:tcPr>
          <w:p>
            <w:r>
              <w:t>Governance-Synthese — EU-Zoll</w:t>
            </w:r>
          </w:p>
        </w:tc>
        <w:tc>
          <w:tcPr>
            <w:tcW w:type="dxa" w:w="3324"/>
          </w:tcPr>
          <w:p>
            <w:r>
              <w:rPr>
                <w:b/>
              </w:rPr>
              <w:t>komplett du</w:t>
            </w:r>
          </w:p>
        </w:tc>
      </w:tr>
      <w:tr>
        <w:tc>
          <w:tcPr>
            <w:tcW w:type="dxa" w:w="3324"/>
          </w:tcPr>
          <w:p>
            <w:r>
              <w:rPr>
                <w:b/>
              </w:rPr>
              <w:t>8</w:t>
            </w:r>
          </w:p>
        </w:tc>
        <w:tc>
          <w:tcPr>
            <w:tcW w:type="dxa" w:w="3324"/>
          </w:tcPr>
          <w:p>
            <w:r>
              <w:t>Financing — SAIC/BYD/Geely</w:t>
            </w:r>
          </w:p>
        </w:tc>
        <w:tc>
          <w:tcPr>
            <w:tcW w:type="dxa" w:w="3324"/>
          </w:tcPr>
          <w:p>
            <w:r>
              <w:rPr>
                <w:b/>
              </w:rPr>
              <w:t>du leitest ein + SAIC-Teil</w:t>
            </w:r>
            <w:r>
              <w:t>, dann BYD/Geely, Chiara beendet mit der Fazit-Box</w:t>
            </w:r>
          </w:p>
        </w:tc>
      </w:tr>
      <w:tr>
        <w:tc>
          <w:tcPr>
            <w:tcW w:type="dxa" w:w="3324"/>
          </w:tcPr>
          <w:p>
            <w:r>
              <w:t>9</w:t>
            </w:r>
          </w:p>
        </w:tc>
        <w:tc>
          <w:tcPr>
            <w:tcW w:type="dxa" w:w="3324"/>
          </w:tcPr>
          <w:p>
            <w:r>
              <w:t>Financial Figures (Tabelle)</w:t>
            </w:r>
          </w:p>
        </w:tc>
        <w:tc>
          <w:tcPr>
            <w:tcW w:type="dxa" w:w="3324"/>
          </w:tcPr>
          <w:p>
            <w:r>
              <w:t>Batu (nicht du)</w:t>
            </w:r>
          </w:p>
        </w:tc>
      </w:tr>
      <w:tr>
        <w:tc>
          <w:tcPr>
            <w:tcW w:type="dxa" w:w="3324"/>
          </w:tcPr>
          <w:p>
            <w:r>
              <w:rPr>
                <w:b/>
              </w:rPr>
              <w:t>10</w:t>
            </w:r>
          </w:p>
        </w:tc>
        <w:tc>
          <w:tcPr>
            <w:tcW w:type="dxa" w:w="3324"/>
          </w:tcPr>
          <w:p>
            <w:r>
              <w:t>Capability Building — SAIC/BYD/Geely</w:t>
            </w:r>
          </w:p>
        </w:tc>
        <w:tc>
          <w:tcPr>
            <w:tcW w:type="dxa" w:w="3324"/>
          </w:tcPr>
          <w:p>
            <w:r>
              <w:rPr>
                <w:b/>
              </w:rPr>
              <w:t>du leitest ein + SAIC-Teil</w:t>
            </w:r>
            <w:r>
              <w:t>, dann BYD/Geely, Chiara beendet mit der Fazit-Box</w:t>
            </w:r>
          </w:p>
        </w:tc>
      </w:tr>
      <w:tr>
        <w:tc>
          <w:tcPr>
            <w:tcW w:type="dxa" w:w="3324"/>
          </w:tcPr>
          <w:p>
            <w:r>
              <w:rPr>
                <w:b/>
              </w:rPr>
              <w:t>11</w:t>
            </w:r>
          </w:p>
        </w:tc>
        <w:tc>
          <w:tcPr>
            <w:tcW w:type="dxa" w:w="3324"/>
          </w:tcPr>
          <w:p>
            <w:r>
              <w:t>Speed vs. Depth</w:t>
            </w:r>
          </w:p>
        </w:tc>
        <w:tc>
          <w:tcPr>
            <w:tcW w:type="dxa" w:w="3324"/>
          </w:tcPr>
          <w:p>
            <w:r>
              <w:rPr>
                <w:b/>
              </w:rPr>
              <w:t>komplett du</w:t>
            </w:r>
            <w:r>
              <w:t>, inkl. Fazit-Zeile</w:t>
            </w:r>
          </w:p>
        </w:tc>
      </w:tr>
      <w:tr>
        <w:tc>
          <w:tcPr>
            <w:tcW w:type="dxa" w:w="3324"/>
          </w:tcPr>
          <w:p>
            <w:r>
              <w:rPr>
                <w:b/>
              </w:rPr>
              <w:t>12</w:t>
            </w:r>
          </w:p>
        </w:tc>
        <w:tc>
          <w:tcPr>
            <w:tcW w:type="dxa" w:w="3324"/>
          </w:tcPr>
          <w:p>
            <w:r>
              <w:t>Long-term Viability — SAIC/BYD/Geely</w:t>
            </w:r>
          </w:p>
        </w:tc>
        <w:tc>
          <w:tcPr>
            <w:tcW w:type="dxa" w:w="3324"/>
          </w:tcPr>
          <w:p>
            <w:r>
              <w:rPr>
                <w:b/>
              </w:rPr>
              <w:t>du leitest ein + SAIC-Teil</w:t>
            </w:r>
            <w:r>
              <w:t>, dann BYD/Geely, Chiara beendet mit der Fazit-Box</w:t>
            </w:r>
          </w:p>
        </w:tc>
      </w:tr>
      <w:tr>
        <w:tc>
          <w:tcPr>
            <w:tcW w:type="dxa" w:w="3324"/>
          </w:tcPr>
          <w:p>
            <w:r>
              <w:rPr>
                <w:b/>
              </w:rPr>
              <w:t>13</w:t>
            </w:r>
          </w:p>
        </w:tc>
        <w:tc>
          <w:tcPr>
            <w:tcW w:type="dxa" w:w="3324"/>
          </w:tcPr>
          <w:p>
            <w:r>
              <w:t>Result (BYD gewinnt)</w:t>
            </w:r>
          </w:p>
        </w:tc>
        <w:tc>
          <w:tcPr>
            <w:tcW w:type="dxa" w:w="3324"/>
          </w:tcPr>
          <w:p>
            <w:r>
              <w:rPr>
                <w:b/>
              </w:rPr>
              <w:t>komplett du</w:t>
            </w:r>
          </w:p>
        </w:tc>
      </w:tr>
      <w:tr>
        <w:tc>
          <w:tcPr>
            <w:tcW w:type="dxa" w:w="3324"/>
          </w:tcPr>
          <w:p>
            <w:r>
              <w:rPr>
                <w:b/>
              </w:rPr>
              <w:t>14</w:t>
            </w:r>
          </w:p>
        </w:tc>
        <w:tc>
          <w:tcPr>
            <w:tcW w:type="dxa" w:w="3324"/>
          </w:tcPr>
          <w:p>
            <w:r>
              <w:t>Generalizable Lessons</w:t>
            </w:r>
          </w:p>
        </w:tc>
        <w:tc>
          <w:tcPr>
            <w:tcW w:type="dxa" w:w="3324"/>
          </w:tcPr>
          <w:p>
            <w:r>
              <w:rPr>
                <w:b/>
              </w:rPr>
              <w:t>komplett du</w:t>
            </w:r>
          </w:p>
        </w:tc>
      </w:tr>
      <w:tr>
        <w:tc>
          <w:tcPr>
            <w:tcW w:type="dxa" w:w="3324"/>
          </w:tcPr>
          <w:p>
            <w:r>
              <w:rPr>
                <w:b/>
              </w:rPr>
              <w:t>15</w:t>
            </w:r>
          </w:p>
        </w:tc>
        <w:tc>
          <w:tcPr>
            <w:tcW w:type="dxa" w:w="3324"/>
          </w:tcPr>
          <w:p>
            <w:r>
              <w:t>Conclusion</w:t>
            </w:r>
          </w:p>
        </w:tc>
        <w:tc>
          <w:tcPr>
            <w:tcW w:type="dxa" w:w="3324"/>
          </w:tcPr>
          <w:p>
            <w:r>
              <w:rPr>
                <w:b/>
              </w:rPr>
              <w:t>komplett du</w:t>
            </w:r>
          </w:p>
        </w:tc>
      </w:tr>
      <w:tr>
        <w:tc>
          <w:tcPr>
            <w:tcW w:type="dxa" w:w="3324"/>
          </w:tcPr>
          <w:p>
            <w:r>
              <w:rPr>
                <w:b/>
              </w:rPr>
              <w:t>16</w:t>
            </w:r>
          </w:p>
        </w:tc>
        <w:tc>
          <w:tcPr>
            <w:tcW w:type="dxa" w:w="3324"/>
          </w:tcPr>
          <w:p>
            <w:r>
              <w:t>Limitations &amp; Future Research</w:t>
            </w:r>
          </w:p>
        </w:tc>
        <w:tc>
          <w:tcPr>
            <w:tcW w:type="dxa" w:w="3324"/>
          </w:tcPr>
          <w:p>
            <w:r>
              <w:rPr>
                <w:b/>
              </w:rPr>
              <w:t>komplett du</w:t>
            </w:r>
          </w:p>
        </w:tc>
      </w:tr>
      <w:tr>
        <w:tc>
          <w:tcPr>
            <w:tcW w:type="dxa" w:w="3324"/>
          </w:tcPr>
          <w:p>
            <w:r>
              <w:t>17–20</w:t>
            </w:r>
          </w:p>
        </w:tc>
        <w:tc>
          <w:tcPr>
            <w:tcW w:type="dxa" w:w="3324"/>
          </w:tcPr>
          <w:p>
            <w:r>
              <w:t>AI Annex, References</w:t>
            </w:r>
          </w:p>
        </w:tc>
        <w:tc>
          <w:tcPr>
            <w:tcW w:type="dxa" w:w="3324"/>
          </w:tcPr>
          <w:p>
            <w:r>
              <w:t>Batu (nicht du)</w:t>
            </w:r>
          </w:p>
        </w:tc>
      </w:tr>
    </w:tbl>
    <w:p>
      <w:r>
        <w:rPr>
          <w:b/>
        </w:rPr>
        <w:t>Wichtig:</w:t>
      </w:r>
      <w:r>
        <w:t xml:space="preserve"> Bei Folie 8, 10 und 12 hörst du </w:t>
      </w:r>
      <w:r>
        <w:rPr>
          <w:b/>
        </w:rPr>
        <w:t>genau an der markierten Stelle auf</w:t>
      </w:r>
      <w:r>
        <w:t xml:space="preserve"> — Chiara übernimmt die letzte, kursiv hervorgehobene Zeile auf der Folie (die "Fazit-Box"). Nicht vorgreifen.</w:t>
      </w:r>
    </w:p>
    <w:p/>
    <w:p>
      <w:pPr>
        <w:pStyle w:val="Heading1"/>
      </w:pPr>
      <w:r>
        <w:t>1 · Sprechtext</w:t>
      </w:r>
    </w:p>
    <w:p>
      <w:pPr>
        <w:pStyle w:val="Heading2"/>
      </w:pPr>
      <w:r>
        <w:t>Folie 6 — Governance (Dimension 1)</w:t>
      </w:r>
    </w:p>
    <w:p>
      <w:r>
        <w:rPr>
          <w:i/>
        </w:rPr>
        <w:t>Du leitest die Folie ein und übernimmst nur den SAIC-Teil.</w:t>
      </w:r>
    </w:p>
    <w:p>
      <w:pPr>
        <w:pStyle w:val="IntenseQuote"/>
      </w:pPr>
      <w:r>
        <w:t>Governance is really two questions: who holds control, and what they want.</w:t>
      </w:r>
    </w:p>
    <w:p>
      <w:pPr>
        <w:pStyle w:val="IntenseQuote"/>
      </w:pPr>
    </w:p>
    <w:p>
      <w:pPr>
        <w:pStyle w:val="IntenseQuote"/>
      </w:pPr>
      <w:r>
        <w:t>Start with SAIC. The state owns roughly seventy-three percent — that is not one single block, it is SASAC's own stake plus several other Chinese state-linked institutional holders, all pulling in the same direction — and the Party mandate is written directly into the charter, so SAIC does not just optimise for shareholder value, it optimises beyond it. That has a real cost: politically connected firms like this one lag about eighteen percent in performance after listing, according to Fan and colleagues. And it shows up operationally too — SAIC cannot exit an unprofitable joint venture without state sign-off. Put those together and you get slow capital reallocation, and strategic inflexibility exactly when speed matters most.</w:t>
      </w:r>
    </w:p>
    <w:p>
      <w:r>
        <w:rPr>
          <w:b/>
        </w:rPr>
        <w:t>→ [HANDOFF]</w:t>
      </w:r>
      <w:r>
        <w:t xml:space="preserve"> Batu übernimmt den BYD-Teil, Chiara den Geely-Teil. </w:t>
      </w:r>
      <w:r>
        <w:rPr>
          <w:b/>
        </w:rPr>
        <w:t>Achtung:</w:t>
      </w:r>
      <w:r>
        <w:t xml:space="preserve"> Anders als Folie 8/10/12 gibt es hier </w:t>
      </w:r>
      <w:r>
        <w:rPr>
          <w:b/>
        </w:rPr>
        <w:t>keine gemeinsame Fazit-Box</w:t>
      </w:r>
      <w:r>
        <w:t xml:space="preserve"> — jede Spalte hat nur ihre eigene Ein-Zeiler-Pointe (SAIC: "Slow capital reallocation → strategic inflexibility", die du gerade mit gesagt hast). Chiara schließt die Folie einfach mit Geelys Pointe ("Loss-making subsidiaries = contingent liability") und leitet dann zu Folie 7 über — kein wörtliches Zitat nötig, das ist ihre eigene Überleitung.</w:t>
      </w:r>
    </w:p>
    <w:p/>
    <w:p>
      <w:pPr>
        <w:pStyle w:val="Heading2"/>
      </w:pPr>
      <w:r>
        <w:t>Folie 7 — Governance-Synthese (EU-Zoll)</w:t>
      </w:r>
    </w:p>
    <w:p>
      <w:r>
        <w:rPr>
          <w:i/>
        </w:rPr>
        <w:t>Komplett du.</w:t>
      </w:r>
    </w:p>
    <w:p>
      <w:pPr>
        <w:pStyle w:val="IntenseQuote"/>
      </w:pPr>
      <w:r>
        <w:t>Here is proof from outside the firms — and this one is not our own calculation, it is a foreign regulator's.</w:t>
      </w:r>
    </w:p>
    <w:p>
      <w:pPr>
        <w:pStyle w:val="IntenseQuote"/>
      </w:pPr>
    </w:p>
    <w:p>
      <w:pPr>
        <w:pStyle w:val="IntenseQuote"/>
      </w:pPr>
      <w:r>
        <w:t>The EU spent months investigating state support in the Chinese EV sector and then set individual countervailing duties, firm by firm: 35.3 percent for SAIC, 17 for BYD, 18.8 for Geely, effective from the end of October 2024. That is not a blanket China tariff — it is priced per company, based on how much state subsidy the Commission could document. And the gap is large: SAIC pays more than double BYD's rate.</w:t>
      </w:r>
    </w:p>
    <w:p>
      <w:pPr>
        <w:pStyle w:val="IntenseQuote"/>
      </w:pPr>
    </w:p>
    <w:p>
      <w:pPr>
        <w:pStyle w:val="IntenseQuote"/>
      </w:pPr>
      <w:r>
        <w:t>That gap is not about car quality — it is about state dependence. For SAIC the Commission even used what is called "facts available," a formal finding that applies when a company does not fully cooperate — in this case, because the group held back some financing data. There is a pattern behind that number, too: adaptability rises the more control concentrates — a joint-venture board that needs both partners' consent moves slower than state oversight, which moves slower still than a single founder deciding alone.</w:t>
      </w:r>
    </w:p>
    <w:p>
      <w:pPr>
        <w:pStyle w:val="IntenseQuote"/>
      </w:pPr>
    </w:p>
    <w:p>
      <w:pPr>
        <w:pStyle w:val="IntenseQuote"/>
      </w:pPr>
      <w:r>
        <w:t>So a neutral regulator, with its own investigators and its own incentive to get this right, reached the same conclusion we reach from the inside: governance is a first-order determinant of competitive position, not an administrative footnote. And for a firm like SAIC that depends on exports such as MG to offset a shrinking home market, that tariff is a direct, lasting cost of the governance model it chose.</w:t>
      </w:r>
    </w:p>
    <w:p>
      <w:pPr>
        <w:pStyle w:val="IntenseQuote"/>
      </w:pPr>
    </w:p>
    <w:p>
      <w:pPr>
        <w:pStyle w:val="IntenseQuote"/>
      </w:pPr>
      <w:r>
        <w:rPr>
          <w:b/>
        </w:rPr>
        <w:t>Now we follow the money.</w:t>
      </w:r>
    </w:p>
    <w:p/>
    <w:p>
      <w:pPr>
        <w:pStyle w:val="Heading2"/>
      </w:pPr>
      <w:r>
        <w:t>Folie 8 — Financing (Dimension 2)</w:t>
      </w:r>
    </w:p>
    <w:p>
      <w:r>
        <w:rPr>
          <w:i/>
        </w:rPr>
        <w:t>Du leitest ein und übernimmst nur den SAIC-Teil.</w:t>
      </w:r>
    </w:p>
    <w:p>
      <w:pPr>
        <w:pStyle w:val="IntenseQuote"/>
      </w:pPr>
      <w:r>
        <w:t>Each firm funds its growth differently, and the difference shows up in a downturn.</w:t>
      </w:r>
    </w:p>
    <w:p>
      <w:pPr>
        <w:pStyle w:val="IntenseQuote"/>
      </w:pPr>
    </w:p>
    <w:p>
      <w:pPr>
        <w:pStyle w:val="IntenseQuote"/>
      </w:pPr>
      <w:r>
        <w:t>SAIC was capital-light: its joint-venture partners — Volkswagen, General Motors — co-invested in the factories, and SAIC collected roughly half the equity income without carrying the full risk. That felt safe — until SAIC-GM sales fell fifty-six point five percent, triggering impairments. The same fifty-fifty structure that once shared the upside now shared the downside, and SAIC was still bound to absorb its share, with no unilateral control to fix the business. Net profit fell eighty-eight percent, and return on equity dropped to just zero point five eight percent — the capital-light model had become a capital trap.</w:t>
      </w:r>
    </w:p>
    <w:p>
      <w:r>
        <w:rPr>
          <w:b/>
        </w:rPr>
        <w:t>→ [HANDOFF]</w:t>
      </w:r>
      <w:r>
        <w:t xml:space="preserve"> Batu übernimmt den BYD-Teil, Chiara den Geely-Teil. Chiara beendet die Folie mit der Fazit-Box:</w:t>
      </w:r>
    </w:p>
    <w:p>
      <w:r>
        <w:rPr>
          <w:i/>
        </w:rPr>
        <w:t>"Risk-sharing captures upside in growth but exposes the firm in a downturn; self-financing trades growth speed for resilience; leverage trades balance-sheet safety for strategic speed."</w:t>
      </w:r>
    </w:p>
    <w:p/>
    <w:p>
      <w:pPr>
        <w:pStyle w:val="Heading2"/>
      </w:pPr>
      <w:r>
        <w:t>Folie 10 — Capability Building (Dimension 3)</w:t>
      </w:r>
    </w:p>
    <w:p>
      <w:r>
        <w:rPr>
          <w:i/>
        </w:rPr>
        <w:t>Du leitest ein und übernimmst nur den SAIC-Teil.</w:t>
      </w:r>
    </w:p>
    <w:p>
      <w:pPr>
        <w:pStyle w:val="IntenseQuote"/>
      </w:pPr>
      <w:r>
        <w:t>How a firm learns shapes what it can build later.</w:t>
      </w:r>
    </w:p>
    <w:p>
      <w:pPr>
        <w:pStyle w:val="IntenseQuote"/>
      </w:pPr>
    </w:p>
    <w:p>
      <w:pPr>
        <w:pStyle w:val="IntenseQuote"/>
      </w:pPr>
      <w:r>
        <w:t>SAIC's route was mandated technology transfer: the price of market access was a joint venture meant to work as a classroom. It did work, to a point — Bai and Howell find an eight point three percent quality gain. But steady JV profit also killed its own R&amp;D: why fund risky in-house work when the joint venture already pays the dividend? SAIC has poured over one hundred fifty billion renminbi cumulatively into EV investment, and still had no EV platform of its own when the cycle turned. It had the capital, but not the platform.</w:t>
      </w:r>
    </w:p>
    <w:p>
      <w:r>
        <w:rPr>
          <w:b/>
        </w:rPr>
        <w:t>→ [HANDOFF]</w:t>
      </w:r>
      <w:r>
        <w:t xml:space="preserve"> Batu übernimmt den BYD-Teil, Chiara den Geely-Teil. Chiara beendet die Folie mit der Fazit-Box:</w:t>
      </w:r>
    </w:p>
    <w:p>
      <w:r>
        <w:rPr>
          <w:i/>
        </w:rPr>
        <w:t>"The mode of learning sets durability: handed-over technology fades when the cycle turns; built or co-developed knowledge lasts."</w:t>
      </w:r>
    </w:p>
    <w:p/>
    <w:p>
      <w:pPr>
        <w:pStyle w:val="Heading2"/>
      </w:pPr>
      <w:r>
        <w:t>Folie 11 — Speed vs. Depth</w:t>
      </w:r>
    </w:p>
    <w:p>
      <w:r>
        <w:rPr>
          <w:i/>
        </w:rPr>
        <w:t>Komplett du, inklusive Fazit-Zeile.</w:t>
      </w:r>
    </w:p>
    <w:p>
      <w:pPr>
        <w:pStyle w:val="IntenseQuote"/>
      </w:pPr>
      <w:r>
        <w:t>This slide shows the trade-off between speed, depth, and independence.</w:t>
      </w:r>
    </w:p>
    <w:p>
      <w:pPr>
        <w:pStyle w:val="IntenseQuote"/>
      </w:pPr>
    </w:p>
    <w:p>
      <w:pPr>
        <w:pStyle w:val="IntenseQuote"/>
      </w:pPr>
      <w:r>
        <w:t>SAIC was the fastest to quality — that eight-percent gain we just saw — but shallow and dependent, with no platform of its own once the joint venture stopped teaching it anything new.</w:t>
      </w:r>
    </w:p>
    <w:p>
      <w:pPr>
        <w:pStyle w:val="IntenseQuote"/>
      </w:pPr>
    </w:p>
    <w:p>
      <w:pPr>
        <w:pStyle w:val="IntenseQuote"/>
      </w:pPr>
      <w:r>
        <w:t>Geely is the rare strong case — fast and deep — because it turned the Volvo acquisition into real co-development rather than one-way copying.</w:t>
      </w:r>
    </w:p>
    <w:p>
      <w:pPr>
        <w:pStyle w:val="IntenseQuote"/>
      </w:pPr>
    </w:p>
    <w:p>
      <w:pPr>
        <w:pStyle w:val="IntenseQuote"/>
      </w:pPr>
      <w:r>
        <w:t>BYD was the slowest but the deepest: thirty years from battery cells to software, entirely built in-house, and fully its own.</w:t>
      </w:r>
    </w:p>
    <w:p>
      <w:pPr>
        <w:pStyle w:val="IntenseQuote"/>
      </w:pPr>
    </w:p>
    <w:p>
      <w:pPr>
        <w:pStyle w:val="IntenseQuote"/>
      </w:pPr>
      <w:r>
        <w:t>The cost of the shallow path shows up as a hard number, not just a theory: SAIC's joint-venture plants are running at just 14 to 37 percent of capacity — the Volkswagen EV plant at the low end, SAIC-GM higher but still deeply underused. Car factories are enormous fixed-cost machines — steel, tooling, thousands of workers — built to run near full utilization. At a third of capacity, the fixed costs do not go away; they just get spread across far fewer cars, eating margin on every single vehicle sold. When the technology shifts, there is no platform to fall back on, and the factories sit half empty, quietly bleeding cash in the background, month after month, regardless of how the headline numbers look.</w:t>
      </w:r>
    </w:p>
    <w:p>
      <w:pPr>
        <w:pStyle w:val="IntenseQuote"/>
      </w:pPr>
    </w:p>
    <w:p>
      <w:pPr>
        <w:pStyle w:val="IntenseQuote"/>
      </w:pPr>
      <w:r>
        <w:rPr>
          <w:b/>
        </w:rPr>
        <w:t>Next, the EV transition itself.</w:t>
      </w:r>
    </w:p>
    <w:p/>
    <w:p>
      <w:pPr>
        <w:pStyle w:val="Heading2"/>
      </w:pPr>
      <w:r>
        <w:t>Folie 12 — Long-term Viability (Dimension 4)</w:t>
      </w:r>
    </w:p>
    <w:p>
      <w:r>
        <w:rPr>
          <w:i/>
        </w:rPr>
        <w:t>Du leitest ein und übernimmst nur den SAIC-Teil.</w:t>
      </w:r>
    </w:p>
    <w:p>
      <w:pPr>
        <w:pStyle w:val="IntenseQuote"/>
      </w:pPr>
      <w:r>
        <w:t>The EV shift tests every earlier choice.</w:t>
      </w:r>
    </w:p>
    <w:p>
      <w:pPr>
        <w:pStyle w:val="IntenseQuote"/>
      </w:pPr>
    </w:p>
    <w:p>
      <w:pPr>
        <w:pStyle w:val="IntenseQuote"/>
      </w:pPr>
      <w:r>
        <w:t>SAIC is the most exposed — we just saw its plants running at a fraction of capacity — but to be fair, its own brand is genuinely growing: NEV sales up thirty-three percent year over year, with zero subsidies behind that growth. SAIC has also launched a new brand with Huawei, SHANGJIE, part of what it calls "Joint Venture 2.0" — repurposing idle JV factory floor for its own-brand products.</w:t>
      </w:r>
    </w:p>
    <w:p>
      <w:pPr>
        <w:pStyle w:val="IntenseQuote"/>
      </w:pPr>
    </w:p>
    <w:p>
      <w:pPr>
        <w:pStyle w:val="IntenseQuote"/>
      </w:pPr>
      <w:r>
        <w:t>So its future is a race: can the own-brand margin scale up faster than the joint-venture income keeps eroding — at SAIC's slowest possible pace, not its fastest.</w:t>
      </w:r>
    </w:p>
    <w:p>
      <w:r>
        <w:rPr>
          <w:b/>
        </w:rPr>
        <w:t>→ [HANDOFF]</w:t>
      </w:r>
      <w:r>
        <w:t xml:space="preserve"> Batu übernimmt den BYD-Teil, Chiara den Geely-Teil. Chiara beendet die Folie mit der Fazit-Box:</w:t>
      </w:r>
    </w:p>
    <w:p>
      <w:r>
        <w:rPr>
          <w:i/>
        </w:rPr>
        <w:t>"Same technology shock, three very different outcomes; exactly what the governance and capability choices predicted."</w:t>
      </w:r>
    </w:p>
    <w:p/>
    <w:p>
      <w:pPr>
        <w:pStyle w:val="Heading2"/>
      </w:pPr>
      <w:r>
        <w:t>Folie 13 — Result</w:t>
      </w:r>
    </w:p>
    <w:p>
      <w:r>
        <w:rPr>
          <w:i/>
        </w:rPr>
        <w:t>Komplett du.</w:t>
      </w:r>
    </w:p>
    <w:p>
      <w:pPr>
        <w:pStyle w:val="IntenseQuote"/>
      </w:pPr>
      <w:r>
        <w:t>Here is our result. Of the three, BYD is the one most likely to create long-term value.</w:t>
      </w:r>
    </w:p>
    <w:p>
      <w:pPr>
        <w:pStyle w:val="IntenseQuote"/>
      </w:pPr>
    </w:p>
    <w:p>
      <w:pPr>
        <w:pStyle w:val="IntenseQuote"/>
      </w:pPr>
      <w:r>
        <w:t>The evidence is consistent across every angle we tested: the highest return on equity of the three — over twenty percent at its peak — four consecutive years as the world's number-one NEV maker, and a five-point-six-billion-dollar capital raise in 2025 that sovereign wealth funds were willing to join, which is itself a strong outside vote of confidence.</w:t>
      </w:r>
    </w:p>
    <w:p>
      <w:pPr>
        <w:pStyle w:val="IntenseQuote"/>
      </w:pPr>
    </w:p>
    <w:p>
      <w:pPr>
        <w:pStyle w:val="IntenseQuote"/>
      </w:pPr>
      <w:r>
        <w:t>But please notice the exact wording in the box, because it matters. It is not that building everything yourself is automatically the winning strategy — Geely proves that acquisition-and-co-development can also work, and even SAIC's mandated-transfer model produced a real, if smaller, quality gain. BYD wins specifically because it combines two things at once: commercial, founder-aligned control that can move fast, and a self-financing balance sheet that stays strong precisely when markets contract. That is governance and capital discipline working together, not vertical integration by itself — which is why we frame the result as a combination, not a single silver-bullet variable.</w:t>
      </w:r>
    </w:p>
    <w:p>
      <w:pPr>
        <w:pStyle w:val="IntenseQuote"/>
      </w:pPr>
    </w:p>
    <w:p>
      <w:pPr>
        <w:pStyle w:val="IntenseQuote"/>
      </w:pPr>
      <w:r>
        <w:t>And we stay honest about the limits of even the winning model: BYD's own return on equity fell to thirteen percent in 2025 under the price war — a reminder that no governance structure makes a firm immune to a brutal market.</w:t>
      </w:r>
    </w:p>
    <w:p>
      <w:pPr>
        <w:pStyle w:val="IntenseQuote"/>
      </w:pPr>
    </w:p>
    <w:p>
      <w:pPr>
        <w:pStyle w:val="IntenseQuote"/>
      </w:pPr>
      <w:r>
        <w:rPr>
          <w:b/>
        </w:rPr>
        <w:t>Now three lessons that go beyond cars.</w:t>
      </w:r>
    </w:p>
    <w:p/>
    <w:p>
      <w:pPr>
        <w:pStyle w:val="Heading2"/>
      </w:pPr>
      <w:r>
        <w:t>Folie 14 — Generalizable Lessons</w:t>
      </w:r>
    </w:p>
    <w:p>
      <w:r>
        <w:rPr>
          <w:i/>
        </w:rPr>
        <w:t>Komplett du.</w:t>
      </w:r>
    </w:p>
    <w:p>
      <w:pPr>
        <w:pStyle w:val="IntenseQuote"/>
      </w:pPr>
      <w:r>
        <w:t>We draw three lessons for any fast-moving market, not just cars.</w:t>
      </w:r>
    </w:p>
    <w:p>
      <w:pPr>
        <w:pStyle w:val="IntenseQuote"/>
      </w:pPr>
    </w:p>
    <w:p>
      <w:pPr>
        <w:pStyle w:val="IntenseQuote"/>
      </w:pPr>
      <w:r>
        <w:t>One: how you build capability decides how long it lasts. Buying or borrowing technology — SAIC's path — can hollow out a firm the moment the technology changes underneath it, because the muscle to invent was never built in-house. Building or co-developing, like BYD and Geely did in different ways, keeps that strength intact through the next cycle.</w:t>
      </w:r>
    </w:p>
    <w:p>
      <w:pPr>
        <w:pStyle w:val="IntenseQuote"/>
      </w:pPr>
    </w:p>
    <w:p>
      <w:pPr>
        <w:pStyle w:val="IntenseQuote"/>
      </w:pPr>
      <w:r>
        <w:t>Two: governance sets the speed of change. Commercial owners move fast — BYD exited combustion in a single year; split, state-linked control stalls, as we saw with SAIC's joint ventures, where a routine restructuring decision needs sign-off up a multi-layer chain. And once technology starts moving faster than your decision cycle, governance stops being a background detail and becomes the actual limit on what the firm can do — no amount of capital or engineering talent fixes a decision bottleneck.</w:t>
      </w:r>
    </w:p>
    <w:p>
      <w:pPr>
        <w:pStyle w:val="IntenseQuote"/>
      </w:pPr>
    </w:p>
    <w:p>
      <w:pPr>
        <w:pStyle w:val="IntenseQuote"/>
      </w:pPr>
      <w:r>
        <w:t>Three: capital structure decides who survives a downturn. Risk-sharing, SAIC's model, can turn into a trap the moment the shared risk goes bad; self-financing trades growth speed for resilience; leverage trades balance-sheet safety for strategic speed, as Geely shows with Volvo.</w:t>
      </w:r>
    </w:p>
    <w:p>
      <w:pPr>
        <w:pStyle w:val="IntenseQuote"/>
      </w:pPr>
    </w:p>
    <w:p>
      <w:pPr>
        <w:pStyle w:val="IntenseQuote"/>
      </w:pPr>
      <w:r>
        <w:t>One theme runs through all three: structure decides.</w:t>
      </w:r>
    </w:p>
    <w:p>
      <w:pPr>
        <w:pStyle w:val="IntenseQuote"/>
      </w:pPr>
    </w:p>
    <w:p>
      <w:pPr>
        <w:pStyle w:val="IntenseQuote"/>
      </w:pPr>
      <w:r>
        <w:rPr>
          <w:b/>
        </w:rPr>
        <w:t>Now the conclusion.</w:t>
      </w:r>
    </w:p>
    <w:p/>
    <w:p>
      <w:pPr>
        <w:pStyle w:val="Heading2"/>
      </w:pPr>
      <w:r>
        <w:t>Folie 15 — Conclusion</w:t>
      </w:r>
    </w:p>
    <w:p>
      <w:r>
        <w:rPr>
          <w:i/>
        </w:rPr>
        <w:t>Komplett du.</w:t>
      </w:r>
    </w:p>
    <w:p>
      <w:pPr>
        <w:pStyle w:val="IntenseQuote"/>
      </w:pPr>
      <w:r>
        <w:t>Here is the core point. Across all four lenses — governance, financing, capability, and viability — structure, more than starting technology, decided the outcome. Think of 2020 to 2025 as a natural experiment: same industry, same technology shock, three different governance structures — and the outcomes split exactly along those structural lines.</w:t>
      </w:r>
    </w:p>
    <w:p>
      <w:pPr>
        <w:pStyle w:val="IntenseQuote"/>
      </w:pPr>
    </w:p>
    <w:p>
      <w:pPr>
        <w:pStyle w:val="IntenseQuote"/>
      </w:pPr>
      <w:r>
        <w:t>The joint-venture model did not lose to a better battery chemistry or a smarter engineer. It lost to a better way of allocating control and capital: BYD's founder control plus self-financing proved the most adaptive combination once the EV transition hit all three firms at once. SAIC's state model, by contrast, optimises for goals beyond shareholder value — employment, policy, political stability — and that shows up in our numbers not as a one-off loss, but as a permanent structural discount: lower margins, a higher EU tariff, and idle factories that a purely commercial owner would have restructured years ago. Geely sits in between, showing that the discount is not simply "state versus private" — it tracks how directly commercial the controlling principal actually is.</w:t>
      </w:r>
    </w:p>
    <w:p>
      <w:pPr>
        <w:pStyle w:val="IntenseQuote"/>
      </w:pPr>
    </w:p>
    <w:p>
      <w:pPr>
        <w:pStyle w:val="IntenseQuote"/>
      </w:pPr>
      <w:r>
        <w:t>So our line, in the box, is deliberately strong: when technology moves faster than firms can decide, governance is no longer a footnote to strategy — it is strategy.</w:t>
      </w:r>
    </w:p>
    <w:p>
      <w:pPr>
        <w:pStyle w:val="IntenseQuote"/>
      </w:pPr>
    </w:p>
    <w:p>
      <w:pPr>
        <w:pStyle w:val="IntenseQuote"/>
      </w:pPr>
      <w:r>
        <w:rPr>
          <w:b/>
        </w:rPr>
        <w:t>Before questions, a short word on our limits and on how we used AI.</w:t>
      </w:r>
    </w:p>
    <w:p/>
    <w:p>
      <w:pPr>
        <w:pStyle w:val="Heading2"/>
      </w:pPr>
      <w:r>
        <w:t>Folie 16 — Limitations &amp; Future Research</w:t>
      </w:r>
    </w:p>
    <w:p>
      <w:r>
        <w:rPr>
          <w:i/>
        </w:rPr>
        <w:t>Komplett du.</w:t>
      </w:r>
    </w:p>
    <w:p>
      <w:pPr>
        <w:pStyle w:val="IntenseQuote"/>
      </w:pPr>
      <w:r>
        <w:t>A short, honest word on limits.</w:t>
      </w:r>
    </w:p>
    <w:p>
      <w:pPr>
        <w:pStyle w:val="IntenseQuote"/>
      </w:pPr>
    </w:p>
    <w:p>
      <w:pPr>
        <w:pStyle w:val="IntenseQuote"/>
      </w:pPr>
      <w:r>
        <w:t>We study three firms, in one industry, in one country — this is deep case work, built for insight into mechanism, not a statistical law you could run a regression on. The EV shift is also still young; today's ranking could compress or even reverse over a longer cycle, especially if SAIC's "Joint Venture 2.0" pivot toward Huawei and its own brands actually gains traction. We rely on reported figures across three different annual-report conventions, and the reports mix currencies and fiscal periods, which we reconciled carefully, cell by cell — and even then, one open discrepancy in SAIC's own R&amp;D figures between its 2024 and 2025 reports remains unresolved in our sources.</w:t>
      </w:r>
    </w:p>
    <w:p>
      <w:pPr>
        <w:pStyle w:val="IntenseQuote"/>
      </w:pPr>
    </w:p>
    <w:p>
      <w:pPr>
        <w:pStyle w:val="IntenseQuote"/>
      </w:pPr>
      <w:r>
        <w:t>We also deliberately left NIO out — a fourth, capital-market-financed model that would have added a genuinely different financing archetype, but that was beyond the scope we could cover rigorously in one paper.</w:t>
      </w:r>
    </w:p>
    <w:p>
      <w:pPr>
        <w:pStyle w:val="IntenseQuote"/>
      </w:pPr>
    </w:p>
    <w:p>
      <w:pPr>
        <w:pStyle w:val="IntenseQuote"/>
      </w:pPr>
      <w:r>
        <w:t>Future work could add NIO for a fuller typology, follow all four firms over a longer EV cycle to test whether this ranking holds, build a more formal, quantitative governance score instead of our qualitative one, and examine how the EU tariffs reshape each firm's export strategy going forward.</w:t>
      </w:r>
    </w:p>
    <w:p>
      <w:pPr>
        <w:pStyle w:val="IntenseQuote"/>
      </w:pPr>
    </w:p>
    <w:p>
      <w:pPr>
        <w:pStyle w:val="IntenseQuote"/>
      </w:pPr>
      <w:r>
        <w:rPr>
          <w:b/>
        </w:rPr>
        <w:t>Now, how we used AI.</w:t>
      </w:r>
    </w:p>
    <w:p>
      <w:r>
        <w:rPr>
          <w:b/>
        </w:rPr>
        <w:t>→ [HANDOFF an Batu]</w:t>
      </w:r>
      <w:r>
        <w:t xml:space="preserve"> Er übernimmt Folie 17 (AI Annex).</w:t>
      </w:r>
    </w:p>
    <w:p/>
    <w:p>
      <w:pPr>
        <w:pStyle w:val="Heading1"/>
      </w:pPr>
      <w:r>
        <w:t>2 · Sprechkarten (Karteikarten-Format)</w:t>
      </w:r>
    </w:p>
    <w:p>
      <w:r>
        <w:rPr>
          <w:i/>
        </w:rPr>
        <w:t>Kurz genug für einen Blick auf die Karte — keine vollen Sätze, nur Trigger-Wörter und Zahlen.</w:t>
      </w:r>
    </w:p>
    <w:p>
      <w:r>
        <w:rPr>
          <w:b/>
        </w:rPr>
        <w:t>KARTE 1 · Folie 6 — Governance (bis Handoff!)</w:t>
      </w:r>
    </w:p>
    <w:p>
      <w:pPr>
        <w:pStyle w:val="ListBullet"/>
      </w:pPr>
      <w:r>
        <w:t>Einleitung: Governance = 2 Fragen: Kontrolle? Ziel?</w:t>
      </w:r>
    </w:p>
    <w:p>
      <w:pPr>
        <w:pStyle w:val="ListBullet"/>
      </w:pPr>
      <w:r>
        <w:t>SAIC: Staat ~73% (SASAC + weitere chinesische staatsnahe Blockholder zusammen, kein Einzelblock!) · Partei-Mandat im Statut → optimiert über Shareholder Value hinaus</w:t>
      </w:r>
    </w:p>
    <w:p>
      <w:pPr>
        <w:pStyle w:val="ListBullet"/>
      </w:pPr>
      <w:r>
        <w:t>Connected firms lag ~18% post-IPO (Fan et al., 2007)</w:t>
      </w:r>
    </w:p>
    <w:p>
      <w:pPr>
        <w:pStyle w:val="ListBullet"/>
      </w:pPr>
      <w:r>
        <w:t>Kann unprofitable JV nicht ohne Staats-Sign-off verlassen</w:t>
      </w:r>
    </w:p>
    <w:p>
      <w:pPr>
        <w:pStyle w:val="ListBullet"/>
      </w:pPr>
      <w:r>
        <w:t>Pointe (steht so auf der Folie!): "Slow capital reallocation → strategic inflexibility"</w:t>
      </w:r>
    </w:p>
    <w:p>
      <w:pPr>
        <w:pStyle w:val="ListBullet"/>
      </w:pPr>
      <w:r>
        <w:t>⚠️ STOPP nach "...matters most." → Batu (BYD) und Chiara (Geely) folgen. Kein gemeinsamer Fazit-Kasten auf dieser Folie — Chiara schließt mit Geelys eigener Pointe</w:t>
      </w:r>
    </w:p>
    <w:p>
      <w:r>
        <w:rPr>
          <w:b/>
        </w:rPr>
        <w:t>KARTE 2 · Folie 7 — EU-Zoll</w:t>
      </w:r>
    </w:p>
    <w:p>
      <w:pPr>
        <w:pStyle w:val="ListBullet"/>
      </w:pPr>
      <w:r>
        <w:t>Externer Beweis, unabhängiger Regulator: EU-Zölle 35,3% SAIC / 17% BYD / 18,8% Geely, ab Ende Okt. 2024</w:t>
      </w:r>
    </w:p>
    <w:p>
      <w:pPr>
        <w:pStyle w:val="ListBullet"/>
      </w:pPr>
      <w:r>
        <w:t>SAIC zahlt &gt;2× BYD-Satz</w:t>
      </w:r>
    </w:p>
    <w:p>
      <w:pPr>
        <w:pStyle w:val="ListBullet"/>
      </w:pPr>
      <w:r>
        <w:t>Nicht Qualität → Staatsabhängigkeit</w:t>
      </w:r>
    </w:p>
    <w:p>
      <w:pPr>
        <w:pStyle w:val="ListBullet"/>
      </w:pPr>
      <w:r>
        <w:t>SAIC: "facts available" (Daten zurückgehalten!)</w:t>
      </w:r>
    </w:p>
    <w:p>
      <w:pPr>
        <w:pStyle w:val="ListBullet"/>
      </w:pPr>
      <w:r>
        <w:t>2. Folien-Bullet (nicht vergessen!): Anpassungsfähigkeit steigt mit Kontrollkonzentration — JV-Board (beide Partner) → Staatsaufsicht → Founder-Control</w:t>
      </w:r>
    </w:p>
    <w:p>
      <w:pPr>
        <w:pStyle w:val="ListBullet"/>
      </w:pPr>
      <w:r>
        <w:t>Merksatz (Fazit-Box): "Governance is a first-order determinant of competitive position, not an administrative footnote."</w:t>
      </w:r>
    </w:p>
    <w:p>
      <w:pPr>
        <w:pStyle w:val="ListBullet"/>
      </w:pPr>
      <w:r>
        <w:t>Bezug Export: MG-Exporte direkt betroffen</w:t>
      </w:r>
    </w:p>
    <w:p>
      <w:pPr>
        <w:pStyle w:val="ListBullet"/>
      </w:pPr>
      <w:r>
        <w:t xml:space="preserve">Ende: </w:t>
      </w:r>
      <w:r>
        <w:rPr>
          <w:i/>
        </w:rPr>
        <w:t>"Now we follow the money."</w:t>
      </w:r>
    </w:p>
    <w:p>
      <w:r>
        <w:rPr>
          <w:b/>
        </w:rPr>
        <w:t>KARTE 3 · Folie 8 — Financing (bis Handoff!)</w:t>
      </w:r>
    </w:p>
    <w:p>
      <w:pPr>
        <w:pStyle w:val="ListBullet"/>
      </w:pPr>
      <w:r>
        <w:t>Einleitung: jede Firma finanziert sich anders — zeigt sich im Abschwung</w:t>
      </w:r>
    </w:p>
    <w:p>
      <w:pPr>
        <w:pStyle w:val="ListBullet"/>
      </w:pPr>
      <w:r>
        <w:t>SAIC capital-light-Mechanik: JV-Partner (VW/GM) investieren, SAIC kassiert ~50% Equity Income</w:t>
      </w:r>
    </w:p>
    <w:p>
      <w:pPr>
        <w:pStyle w:val="ListBullet"/>
      </w:pPr>
      <w:r>
        <w:t xml:space="preserve">Kipppunkt (exakte Folien-Zahlen!): SAIC-GM Absatz </w:t>
      </w:r>
      <w:r>
        <w:rPr>
          <w:b/>
        </w:rPr>
        <w:t>−56,5%</w:t>
      </w:r>
      <w:r>
        <w:t xml:space="preserve"> → Abschreibungen → Gewinn </w:t>
      </w:r>
      <w:r>
        <w:rPr>
          <w:b/>
        </w:rPr>
        <w:t>−88%</w:t>
      </w:r>
      <w:r>
        <w:t xml:space="preserve"> → </w:t>
      </w:r>
      <w:r>
        <w:rPr>
          <w:b/>
        </w:rPr>
        <w:t>ROE nur 0,58%</w:t>
      </w:r>
    </w:p>
    <w:p>
      <w:pPr>
        <w:pStyle w:val="ListBullet"/>
      </w:pPr>
      <w:r>
        <w:t>"capital trap": Verpflichtungen bleiben, Upside ist weg</w:t>
      </w:r>
    </w:p>
    <w:p>
      <w:pPr>
        <w:pStyle w:val="ListBullet"/>
      </w:pPr>
      <w:r>
        <w:t>⚠️ STOPP nach "...had become a capital trap." → Batu (BYD) und Chiara (Geely) folgen, Chiara übernimmt Fazit-Box</w:t>
      </w:r>
    </w:p>
    <w:p>
      <w:r>
        <w:rPr>
          <w:b/>
        </w:rPr>
        <w:t>KARTE 4 · Folie 10 — Capability (bis Handoff!)</w:t>
      </w:r>
    </w:p>
    <w:p>
      <w:pPr>
        <w:pStyle w:val="ListBullet"/>
      </w:pPr>
      <w:r>
        <w:t>Einleitung: wie eine Firma lernt, bestimmt was sie später kann</w:t>
      </w:r>
    </w:p>
    <w:p>
      <w:pPr>
        <w:pStyle w:val="ListBullet"/>
      </w:pPr>
      <w:r>
        <w:t xml:space="preserve">SAIC: Pflicht-Techtransfer als "Klassenzimmer" → Qualität </w:t>
      </w:r>
      <w:r>
        <w:rPr>
          <w:b/>
        </w:rPr>
        <w:t>+8,3%</w:t>
      </w:r>
      <w:r>
        <w:t xml:space="preserve"> (exakte Zahl, nicht "ca. 8%"; Bai &amp; Howell)</w:t>
      </w:r>
    </w:p>
    <w:p>
      <w:pPr>
        <w:pStyle w:val="ListBullet"/>
      </w:pPr>
      <w:r>
        <w:t xml:space="preserve">ABER: JV-Rente nimmt Erfindungsdruck weg → &gt;150 Mrd. RMB kumuliert investiert, trotzdem </w:t>
      </w:r>
      <w:r>
        <w:rPr>
          <w:b/>
        </w:rPr>
        <w:t>kein eigenes EV-Plattform</w:t>
      </w:r>
      <w:r>
        <w:t xml:space="preserve"> (exakter Folien-Wortlaut, nicht "Batterie-Lieferkette"!)</w:t>
      </w:r>
    </w:p>
    <w:p>
      <w:pPr>
        <w:pStyle w:val="ListBullet"/>
      </w:pPr>
      <w:r>
        <w:t>Kapital ja, Plattform nein</w:t>
      </w:r>
    </w:p>
    <w:p>
      <w:pPr>
        <w:pStyle w:val="ListBullet"/>
      </w:pPr>
      <w:r>
        <w:t>⚠️ STOPP nach "...but not the platform." → Batu (BYD) und Chiara (Geely) folgen, Chiara übernimmt Fazit-Box</w:t>
      </w:r>
    </w:p>
    <w:p>
      <w:r>
        <w:rPr>
          <w:b/>
        </w:rPr>
        <w:t>KARTE 5 · Folie 11 — Speed vs. Depth</w:t>
      </w:r>
    </w:p>
    <w:p>
      <w:pPr>
        <w:pStyle w:val="ListBullet"/>
      </w:pPr>
      <w:r>
        <w:t>SAIC: schnell, aber flach &amp; abhängig (kein eigenes Lernen mehr nach JV-Ende)</w:t>
      </w:r>
    </w:p>
    <w:p>
      <w:pPr>
        <w:pStyle w:val="ListBullet"/>
      </w:pPr>
      <w:r>
        <w:t>Geely: schnell UND tief (Volvo-Co-Development, nicht Kopieren)</w:t>
      </w:r>
    </w:p>
    <w:p>
      <w:pPr>
        <w:pStyle w:val="ListBullet"/>
      </w:pPr>
      <w:r>
        <w:t>BYD: langsam, aber am tiefsten (30 Jahre, komplett eigen)</w:t>
      </w:r>
    </w:p>
    <w:p>
      <w:pPr>
        <w:pStyle w:val="ListBullet"/>
      </w:pPr>
      <w:r>
        <w:t>Beweis + Erklärung: SAIC-Werke nur 14–37% Auslastung — Fixkosten bleiben, Marge frisst sich selbst auf, Werke "bluten still"</w:t>
      </w:r>
    </w:p>
    <w:p>
      <w:pPr>
        <w:pStyle w:val="ListBullet"/>
      </w:pPr>
      <w:r>
        <w:t xml:space="preserve">Ende: </w:t>
      </w:r>
      <w:r>
        <w:rPr>
          <w:i/>
        </w:rPr>
        <w:t>"Next, the EV transition itself."</w:t>
      </w:r>
    </w:p>
    <w:p>
      <w:r>
        <w:rPr>
          <w:b/>
        </w:rPr>
        <w:t>KARTE 6 · Folie 12 — Viability (bis Handoff!)</w:t>
      </w:r>
    </w:p>
    <w:p>
      <w:pPr>
        <w:pStyle w:val="ListBullet"/>
      </w:pPr>
      <w:r>
        <w:t>Einleitung: EV-Shift testet jede frühere Entscheidung</w:t>
      </w:r>
    </w:p>
    <w:p>
      <w:pPr>
        <w:pStyle w:val="ListBullet"/>
      </w:pPr>
      <w:r>
        <w:t xml:space="preserve">SAIC: am exponiertesten (Auslastung), ABER eigene Marke NEV </w:t>
      </w:r>
      <w:r>
        <w:rPr>
          <w:b/>
        </w:rPr>
        <w:t>+33%</w:t>
      </w:r>
      <w:r>
        <w:t xml:space="preserve"> (exakte Zahl!), </w:t>
      </w:r>
      <w:r>
        <w:rPr>
          <w:b/>
        </w:rPr>
        <w:t>zero subsidies</w:t>
      </w:r>
      <w:r>
        <w:t xml:space="preserve"> (nicht "keine direkten")</w:t>
      </w:r>
    </w:p>
    <w:p>
      <w:pPr>
        <w:pStyle w:val="ListBullet"/>
      </w:pPr>
      <w:r>
        <w:t xml:space="preserve">Huawei-Kooperation: neue Marke SHANGJIE, erstes Modell 2025 · Konzept "Joint Venture 2.0" (freie JV-Kapazität für Eigenmarken) — ⚠️ </w:t>
      </w:r>
      <w:r>
        <w:rPr>
          <w:i/>
        </w:rPr>
        <w:t>steht NICHT auf der Folie, ist Zusatzwissen aus dem Wiki (AR2025), inhaltlich korrekt aber optional</w:t>
      </w:r>
    </w:p>
    <w:p>
      <w:pPr>
        <w:pStyle w:val="ListBullet"/>
      </w:pPr>
      <w:r>
        <w:t>Frage: Eigenmarken-Marge schneller als JV-Erosion? Tempo bleibt langsam wegen Governance-Kette</w:t>
      </w:r>
    </w:p>
    <w:p>
      <w:pPr>
        <w:pStyle w:val="ListBullet"/>
      </w:pPr>
      <w:r>
        <w:t>⚠️ STOPP nach "...not its fastest." → Batu (BYD) und Chiara (Geely) folgen, Chiara übernimmt Fazit-Box</w:t>
      </w:r>
    </w:p>
    <w:p>
      <w:r>
        <w:rPr>
          <w:b/>
        </w:rPr>
        <w:t>KARTE 7 · Folie 13 — Result</w:t>
      </w:r>
    </w:p>
    <w:p>
      <w:pPr>
        <w:pStyle w:val="ListBullet"/>
      </w:pPr>
      <w:r>
        <w:t>BYD gewinnt: höchste ROE (&gt;20% Peak), 4 Jahre #1, 5,6 Mrd. $ Raise (Sovereign Wealth Funds!)</w:t>
      </w:r>
    </w:p>
    <w:p>
      <w:pPr>
        <w:pStyle w:val="ListBullet"/>
      </w:pPr>
      <w:r>
        <w:t>WICHTIG: nicht "vertikale Integration ist magisch" — Geely beweist, Akquisition+Co-Development geht auch</w:t>
      </w:r>
    </w:p>
    <w:p>
      <w:pPr>
        <w:pStyle w:val="ListBullet"/>
      </w:pPr>
      <w:r>
        <w:t>BYD-Erfolgsformel: Founder-Control + Eigenfinanzierung zusammen = Governance + Kapitaldisziplin</w:t>
      </w:r>
    </w:p>
    <w:p>
      <w:pPr>
        <w:pStyle w:val="ListBullet"/>
      </w:pPr>
      <w:r>
        <w:t>Ehrlich bleiben: ROE fiel 2025 auf 13% (Preiskrieg) — keine Struktur ist immun</w:t>
      </w:r>
    </w:p>
    <w:p>
      <w:pPr>
        <w:pStyle w:val="ListBullet"/>
      </w:pPr>
      <w:r>
        <w:t xml:space="preserve">Ende: </w:t>
      </w:r>
      <w:r>
        <w:rPr>
          <w:i/>
        </w:rPr>
        <w:t>"Now three lessons that go beyond cars."</w:t>
      </w:r>
    </w:p>
    <w:p>
      <w:r>
        <w:rPr>
          <w:b/>
        </w:rPr>
        <w:t>KARTE 8 · Folie 14 — Lessons</w:t>
      </w:r>
    </w:p>
    <w:p>
      <w:pPr>
        <w:pStyle w:val="ListBullet"/>
      </w:pPr>
      <w:r>
        <w:t>1: Capability-Modus entscheidet Haltbarkeit (gekauft/geliehen höhlt aus, gebaut/co-entwickelt hält)</w:t>
      </w:r>
    </w:p>
    <w:p>
      <w:pPr>
        <w:pStyle w:val="ListBullet"/>
      </w:pPr>
      <w:r>
        <w:t>2: Governance entscheidet Anpassungsgeschwindigkeit (BYD: Verbrenner-Ausstieg in 1 Jahr; SAIC: Jahre)</w:t>
      </w:r>
    </w:p>
    <w:p>
      <w:pPr>
        <w:pStyle w:val="ListBullet"/>
      </w:pPr>
      <w:r>
        <w:t>3: Kapitalstruktur entscheidet Krisenresistenz (Risk-Sharing = Falle, Eigenfinanzierung = Resilienz, Leverage = Tempo)</w:t>
      </w:r>
    </w:p>
    <w:p>
      <w:pPr>
        <w:pStyle w:val="ListBullet"/>
      </w:pPr>
      <w:r>
        <w:t xml:space="preserve">Roter Faden: </w:t>
      </w:r>
      <w:r>
        <w:rPr>
          <w:b/>
        </w:rPr>
        <w:t>Struktur entscheidet</w:t>
      </w:r>
    </w:p>
    <w:p>
      <w:pPr>
        <w:pStyle w:val="ListBullet"/>
      </w:pPr>
      <w:r>
        <w:t xml:space="preserve">Ende: </w:t>
      </w:r>
      <w:r>
        <w:rPr>
          <w:i/>
        </w:rPr>
        <w:t>"Now the conclusion."</w:t>
      </w:r>
    </w:p>
    <w:p>
      <w:r>
        <w:rPr>
          <w:b/>
        </w:rPr>
        <w:t>KARTE 9 · Folie 15 — Conclusion</w:t>
      </w:r>
    </w:p>
    <w:p>
      <w:pPr>
        <w:pStyle w:val="ListBullet"/>
      </w:pPr>
      <w:r>
        <w:t>Kernaussage: Struktur &gt; Technologie, über alle 4 Dimensionen</w:t>
      </w:r>
    </w:p>
    <w:p>
      <w:pPr>
        <w:pStyle w:val="ListBullet"/>
      </w:pPr>
      <w:r>
        <w:t>2020–2025 als natürliches Experiment (Folien-Bullet!): gleiche Branche, gleicher Schock, 3 Strukturen, 3 Ergebnisse</w:t>
      </w:r>
    </w:p>
    <w:p>
      <w:pPr>
        <w:pStyle w:val="ListBullet"/>
      </w:pPr>
      <w:r>
        <w:t>JV-Modell verlor nicht an bessere Batterie, sondern an bessere Kontroll-/Kapitalallokation</w:t>
      </w:r>
    </w:p>
    <w:p>
      <w:pPr>
        <w:pStyle w:val="ListBullet"/>
      </w:pPr>
      <w:r>
        <w:t>SAIC-Struktur = dauerhafter struktureller Abschlag (Marge, Zoll, Leerstand), nicht einmaliger Verlust</w:t>
      </w:r>
    </w:p>
    <w:p>
      <w:pPr>
        <w:pStyle w:val="ListBullet"/>
      </w:pPr>
      <w:r>
        <w:t xml:space="preserve">Merksatz (Zitat aus der Box): </w:t>
      </w:r>
      <w:r>
        <w:rPr>
          <w:i/>
        </w:rPr>
        <w:t>"When technology moves faster than firms can decide, governance is no longer a footnote to strategy, it is strategy."</w:t>
      </w:r>
    </w:p>
    <w:p>
      <w:pPr>
        <w:pStyle w:val="ListBullet"/>
      </w:pPr>
      <w:r>
        <w:t xml:space="preserve">Ende: </w:t>
      </w:r>
      <w:r>
        <w:rPr>
          <w:i/>
        </w:rPr>
        <w:t>"...a short word on our limits and on how we used AI."</w:t>
      </w:r>
    </w:p>
    <w:p>
      <w:r>
        <w:rPr>
          <w:b/>
        </w:rPr>
        <w:t>KARTE 10 · Folie 16 — Limitations</w:t>
      </w:r>
    </w:p>
    <w:p>
      <w:pPr>
        <w:pStyle w:val="ListBullet"/>
      </w:pPr>
      <w:r>
        <w:t>3 Firmen, 1 Branche, 1 Land → Fallstudien-Tiefe, kein Gesetz/keine Regression</w:t>
      </w:r>
    </w:p>
    <w:p>
      <w:pPr>
        <w:pStyle w:val="ListBullet"/>
      </w:pPr>
      <w:r>
        <w:t>EV-Shift noch jung → Ranking kann sich ändern, v.a. wenn "Joint Venture 2.0" greift</w:t>
      </w:r>
    </w:p>
    <w:p>
      <w:pPr>
        <w:pStyle w:val="ListBullet"/>
      </w:pPr>
      <w:r>
        <w:t>Zahlen aus 3 verschiedenen Report-Konventionen, Währungen/Fiskaljahre sorgfältig abgeglichen</w:t>
      </w:r>
    </w:p>
    <w:p>
      <w:pPr>
        <w:pStyle w:val="ListBullet"/>
      </w:pPr>
      <w:r>
        <w:t>NIO bewusst ausgelassen (4. kapitalmarktfinanziertes Modell, außerhalb Scope)</w:t>
      </w:r>
    </w:p>
    <w:p>
      <w:pPr>
        <w:pStyle w:val="ListBullet"/>
      </w:pPr>
      <w:r>
        <w:t>Future Research: NIO ergänzen, längerer Zeitraum, quantitativer Governance-Score, EU-Zoll-Effekt auf Exporte</w:t>
      </w:r>
    </w:p>
    <w:p>
      <w:pPr>
        <w:pStyle w:val="ListBullet"/>
      </w:pPr>
      <w:r>
        <w:t xml:space="preserve">Ende: </w:t>
      </w:r>
      <w:r>
        <w:rPr>
          <w:i/>
        </w:rPr>
        <w:t>"Now, how we used AI."</w:t>
      </w:r>
      <w:r>
        <w:t xml:space="preserve"> → Handoff an Batu</w:t>
      </w:r>
    </w:p>
    <w:p/>
    <w:p>
      <w:pPr>
        <w:pStyle w:val="Heading1"/>
      </w:pPr>
      <w:r>
        <w:t>3 · Speaking Cards (English)</w:t>
      </w:r>
    </w:p>
    <w:p>
      <w:r>
        <w:rPr>
          <w:i/>
        </w:rPr>
        <w:t>Same cards as above, fully in English — for use during the actual (English-language) delivery, so there's no mental translation mid-sentence.</w:t>
      </w:r>
    </w:p>
    <w:p>
      <w:r>
        <w:rPr>
          <w:b/>
        </w:rPr>
        <w:t>CARD 1 · Slide 6 — Governance (up to handoff!)</w:t>
      </w:r>
    </w:p>
    <w:p>
      <w:pPr>
        <w:pStyle w:val="ListBullet"/>
      </w:pPr>
      <w:r>
        <w:t>Opener: governance = 2 questions: who controls? what's the goal?</w:t>
      </w:r>
    </w:p>
    <w:p>
      <w:pPr>
        <w:pStyle w:val="ListBullet"/>
      </w:pPr>
      <w:r>
        <w:t>SAIC: state ~73% (SASAC + several other Chinese state-linked blockholders combined, not one single stake!) · Party mandate in the charter → optimises beyond shareholder value</w:t>
      </w:r>
    </w:p>
    <w:p>
      <w:pPr>
        <w:pStyle w:val="ListBullet"/>
      </w:pPr>
      <w:r>
        <w:t>Connected firms lag ~18% post-IPO (Fan et al., 2007)</w:t>
      </w:r>
    </w:p>
    <w:p>
      <w:pPr>
        <w:pStyle w:val="ListBullet"/>
      </w:pPr>
      <w:r>
        <w:t>Cannot exit an unprofitable JV without state sign-off</w:t>
      </w:r>
    </w:p>
    <w:p>
      <w:pPr>
        <w:pStyle w:val="ListBullet"/>
      </w:pPr>
      <w:r>
        <w:t>Punchline (it's literally on the slide): "Slow capital reallocation → strategic inflexibility"</w:t>
      </w:r>
    </w:p>
    <w:p>
      <w:pPr>
        <w:pStyle w:val="ListBullet"/>
      </w:pPr>
      <w:r>
        <w:t>⚠️ STOP after "...matters most." → Batu (BYD) and Chiara (Geely) continue. No shared takeaway box on this slide — Chiara closes with Geely's own one-liner</w:t>
      </w:r>
    </w:p>
    <w:p>
      <w:r>
        <w:rPr>
          <w:b/>
        </w:rPr>
        <w:t>CARD 2 · Slide 7 — EU tariff</w:t>
      </w:r>
    </w:p>
    <w:p>
      <w:pPr>
        <w:pStyle w:val="ListBullet"/>
      </w:pPr>
      <w:r>
        <w:t>Outside proof, independent regulator: EU duties 35.3% SAIC / 17% BYD / 18.8% Geely, effective late Oct 2024</w:t>
      </w:r>
    </w:p>
    <w:p>
      <w:pPr>
        <w:pStyle w:val="ListBullet"/>
      </w:pPr>
      <w:r>
        <w:t>SAIC pays &gt;2× BYD's rate</w:t>
      </w:r>
    </w:p>
    <w:p>
      <w:pPr>
        <w:pStyle w:val="ListBullet"/>
      </w:pPr>
      <w:r>
        <w:t>Not quality → state dependence</w:t>
      </w:r>
    </w:p>
    <w:p>
      <w:pPr>
        <w:pStyle w:val="ListBullet"/>
      </w:pPr>
      <w:r>
        <w:t>SAIC: "facts available" (withheld data!)</w:t>
      </w:r>
    </w:p>
    <w:p>
      <w:pPr>
        <w:pStyle w:val="ListBullet"/>
      </w:pPr>
      <w:r>
        <w:t>2nd slide bullet (don't skip!): adaptability rises with control concentration — JV board (both partners) → state oversight → founder control</w:t>
      </w:r>
    </w:p>
    <w:p>
      <w:pPr>
        <w:pStyle w:val="ListBullet"/>
      </w:pPr>
      <w:r>
        <w:t>Takeaway box: "Governance is a first-order determinant of competitive position, not an administrative footnote."</w:t>
      </w:r>
    </w:p>
    <w:p>
      <w:pPr>
        <w:pStyle w:val="ListBullet"/>
      </w:pPr>
      <w:r>
        <w:t>Export link: MG exports directly hit</w:t>
      </w:r>
    </w:p>
    <w:p>
      <w:pPr>
        <w:pStyle w:val="ListBullet"/>
      </w:pPr>
      <w:r>
        <w:t xml:space="preserve">End: </w:t>
      </w:r>
      <w:r>
        <w:rPr>
          <w:i/>
        </w:rPr>
        <w:t>"Now we follow the money."</w:t>
      </w:r>
    </w:p>
    <w:p>
      <w:r>
        <w:rPr>
          <w:b/>
        </w:rPr>
        <w:t>CARD 3 · Slide 8 — Financing (up to handoff!)</w:t>
      </w:r>
    </w:p>
    <w:p>
      <w:pPr>
        <w:pStyle w:val="ListBullet"/>
      </w:pPr>
      <w:r>
        <w:t>Opener: each firm funds growth differently — shows up in a downturn</w:t>
      </w:r>
    </w:p>
    <w:p>
      <w:pPr>
        <w:pStyle w:val="ListBullet"/>
      </w:pPr>
      <w:r>
        <w:t>SAIC capital-light mechanics: JV partners (VW/GM) invest, SAIC collects ~50% equity income</w:t>
      </w:r>
    </w:p>
    <w:p>
      <w:pPr>
        <w:pStyle w:val="ListBullet"/>
      </w:pPr>
      <w:r>
        <w:t xml:space="preserve">Tipping point (exact slide numbers!): SAIC-GM sales </w:t>
      </w:r>
      <w:r>
        <w:rPr>
          <w:b/>
        </w:rPr>
        <w:t>−56.5%</w:t>
      </w:r>
      <w:r>
        <w:t xml:space="preserve"> → impairments → profit </w:t>
      </w:r>
      <w:r>
        <w:rPr>
          <w:b/>
        </w:rPr>
        <w:t>−88%</w:t>
      </w:r>
      <w:r>
        <w:t xml:space="preserve"> → </w:t>
      </w:r>
      <w:r>
        <w:rPr>
          <w:b/>
        </w:rPr>
        <w:t>ROE just 0.58%</w:t>
      </w:r>
    </w:p>
    <w:p>
      <w:pPr>
        <w:pStyle w:val="ListBullet"/>
      </w:pPr>
      <w:r>
        <w:t>"Capital trap": obligations stay, upside is gone</w:t>
      </w:r>
    </w:p>
    <w:p>
      <w:pPr>
        <w:pStyle w:val="ListBullet"/>
      </w:pPr>
      <w:r>
        <w:t>⚠️ STOP after "...had become a capital trap." → Batu (BYD) and Chiara (Geely) continue, Chiara takes the takeaway line</w:t>
      </w:r>
    </w:p>
    <w:p>
      <w:r>
        <w:rPr>
          <w:b/>
        </w:rPr>
        <w:t>CARD 4 · Slide 10 — Capability (up to handoff!)</w:t>
      </w:r>
    </w:p>
    <w:p>
      <w:pPr>
        <w:pStyle w:val="ListBullet"/>
      </w:pPr>
      <w:r>
        <w:t>Opener: how a firm learns shapes what it can build later</w:t>
      </w:r>
    </w:p>
    <w:p>
      <w:pPr>
        <w:pStyle w:val="ListBullet"/>
      </w:pPr>
      <w:r>
        <w:t xml:space="preserve">SAIC: mandatory tech transfer as "classroom" → quality </w:t>
      </w:r>
      <w:r>
        <w:rPr>
          <w:b/>
        </w:rPr>
        <w:t>+8.3%</w:t>
      </w:r>
      <w:r>
        <w:t xml:space="preserve"> (exact figure, not "roughly 8%"; Bai &amp; Howell)</w:t>
      </w:r>
    </w:p>
    <w:p>
      <w:pPr>
        <w:pStyle w:val="ListBullet"/>
      </w:pPr>
      <w:r>
        <w:t xml:space="preserve">BUT: steady JV profit removes pressure to invent → &gt;RMB 150bn cumulative investment, still </w:t>
      </w:r>
      <w:r>
        <w:rPr>
          <w:b/>
        </w:rPr>
        <w:t>no EV platform of its own</w:t>
      </w:r>
      <w:r>
        <w:t xml:space="preserve"> (exact slide wording — not "battery supply chain"!)</w:t>
      </w:r>
    </w:p>
    <w:p>
      <w:pPr>
        <w:pStyle w:val="ListBullet"/>
      </w:pPr>
      <w:r>
        <w:t>Capital yes, platform no</w:t>
      </w:r>
    </w:p>
    <w:p>
      <w:pPr>
        <w:pStyle w:val="ListBullet"/>
      </w:pPr>
      <w:r>
        <w:t>⚠️ STOP after "...but not the platform." → Batu (BYD) and Chiara (Geely) continue, Chiara takes the takeaway line</w:t>
      </w:r>
    </w:p>
    <w:p>
      <w:r>
        <w:rPr>
          <w:b/>
        </w:rPr>
        <w:t>CARD 5 · Slide 11 — Speed vs. Depth</w:t>
      </w:r>
    </w:p>
    <w:p>
      <w:pPr>
        <w:pStyle w:val="ListBullet"/>
      </w:pPr>
      <w:r>
        <w:t>SAIC: fast but shallow &amp; dependent (no more learning once the JV stopped teaching)</w:t>
      </w:r>
    </w:p>
    <w:p>
      <w:pPr>
        <w:pStyle w:val="ListBullet"/>
      </w:pPr>
      <w:r>
        <w:t>Geely: fast AND deep (Volvo co-development, not copying)</w:t>
      </w:r>
    </w:p>
    <w:p>
      <w:pPr>
        <w:pStyle w:val="ListBullet"/>
      </w:pPr>
      <w:r>
        <w:t>BYD: slow but deepest (30 years, fully in-house)</w:t>
      </w:r>
    </w:p>
    <w:p>
      <w:pPr>
        <w:pStyle w:val="ListBullet"/>
      </w:pPr>
      <w:r>
        <w:t>Proof + explanation: SAIC plants only 14–37% utilization — fixed costs stay, margin erodes, plants "bleed quietly"</w:t>
      </w:r>
    </w:p>
    <w:p>
      <w:pPr>
        <w:pStyle w:val="ListBullet"/>
      </w:pPr>
      <w:r>
        <w:t xml:space="preserve">End: </w:t>
      </w:r>
      <w:r>
        <w:rPr>
          <w:i/>
        </w:rPr>
        <w:t>"Next, the EV transition itself."</w:t>
      </w:r>
    </w:p>
    <w:p>
      <w:r>
        <w:rPr>
          <w:b/>
        </w:rPr>
        <w:t>CARD 6 · Slide 12 — Viability (up to handoff!)</w:t>
      </w:r>
    </w:p>
    <w:p>
      <w:pPr>
        <w:pStyle w:val="ListBullet"/>
      </w:pPr>
      <w:r>
        <w:t>Opener: the EV shift tests every earlier choice</w:t>
      </w:r>
    </w:p>
    <w:p>
      <w:pPr>
        <w:pStyle w:val="ListBullet"/>
      </w:pPr>
      <w:r>
        <w:t xml:space="preserve">SAIC: most exposed (utilization), BUT own-brand NEV </w:t>
      </w:r>
      <w:r>
        <w:rPr>
          <w:b/>
        </w:rPr>
        <w:t>+33%</w:t>
      </w:r>
      <w:r>
        <w:t xml:space="preserve"> (exact figure!), </w:t>
      </w:r>
      <w:r>
        <w:rPr>
          <w:b/>
        </w:rPr>
        <w:t>zero subsidies</w:t>
      </w:r>
      <w:r>
        <w:t xml:space="preserve"> (not "no direct")</w:t>
      </w:r>
    </w:p>
    <w:p>
      <w:pPr>
        <w:pStyle w:val="ListBullet"/>
      </w:pPr>
      <w:r>
        <w:t xml:space="preserve">Huawei tie-up: new brand SHANGJIE, first model 2025 · "Joint Venture 2.0" concept (idle JV capacity → own brands) — ⚠️ </w:t>
      </w:r>
      <w:r>
        <w:rPr>
          <w:i/>
        </w:rPr>
        <w:t>NOT on the slide, extra wiki background (AR2025), accurate but optional</w:t>
      </w:r>
    </w:p>
    <w:p>
      <w:pPr>
        <w:pStyle w:val="ListBullet"/>
      </w:pPr>
      <w:r>
        <w:t>Question: own-brand margin outrunning JV erosion? Pace stays slow — governance chain</w:t>
      </w:r>
    </w:p>
    <w:p>
      <w:pPr>
        <w:pStyle w:val="ListBullet"/>
      </w:pPr>
      <w:r>
        <w:t>⚠️ STOP after "...not its fastest." → Batu (BYD) and Chiara (Geely) continue, Chiara takes the takeaway line</w:t>
      </w:r>
    </w:p>
    <w:p>
      <w:r>
        <w:rPr>
          <w:b/>
        </w:rPr>
        <w:t>CARD 7 · Slide 13 — Result</w:t>
      </w:r>
    </w:p>
    <w:p>
      <w:pPr>
        <w:pStyle w:val="ListBullet"/>
      </w:pPr>
      <w:r>
        <w:t>BYD wins: highest ROE (&gt;20% peak), 4 years #1, $5.6bn raise (sovereign wealth funds!)</w:t>
      </w:r>
    </w:p>
    <w:p>
      <w:pPr>
        <w:pStyle w:val="ListBullet"/>
      </w:pPr>
      <w:r>
        <w:t>IMPORTANT: not "vertical integration is magic" — Geely proves acquisition + co-development also works</w:t>
      </w:r>
    </w:p>
    <w:p>
      <w:pPr>
        <w:pStyle w:val="ListBullet"/>
      </w:pPr>
      <w:r>
        <w:t>BYD's formula: founder control + self-financing together = governance + capital discipline</w:t>
      </w:r>
    </w:p>
    <w:p>
      <w:pPr>
        <w:pStyle w:val="ListBullet"/>
      </w:pPr>
      <w:r>
        <w:t>Stay honest: ROE fell to 13% in 2025 (price war) — no structure is immune</w:t>
      </w:r>
    </w:p>
    <w:p>
      <w:pPr>
        <w:pStyle w:val="ListBullet"/>
      </w:pPr>
      <w:r>
        <w:t xml:space="preserve">End: </w:t>
      </w:r>
      <w:r>
        <w:rPr>
          <w:i/>
        </w:rPr>
        <w:t>"Now three lessons that go beyond cars."</w:t>
      </w:r>
    </w:p>
    <w:p>
      <w:r>
        <w:rPr>
          <w:b/>
        </w:rPr>
        <w:t>CARD 8 · Slide 14 — Lessons</w:t>
      </w:r>
    </w:p>
    <w:p>
      <w:pPr>
        <w:pStyle w:val="ListBullet"/>
      </w:pPr>
      <w:r>
        <w:t>1: capability mode decides durability (bought/borrowed hollows out, built/co-developed lasts)</w:t>
      </w:r>
    </w:p>
    <w:p>
      <w:pPr>
        <w:pStyle w:val="ListBullet"/>
      </w:pPr>
      <w:r>
        <w:t>2: governance decides adaptation speed (BYD: exited combustion in 1 year; SAIC: years)</w:t>
      </w:r>
    </w:p>
    <w:p>
      <w:pPr>
        <w:pStyle w:val="ListBullet"/>
      </w:pPr>
      <w:r>
        <w:t>3: capital structure decides downturn resilience (risk-sharing = trap, self-financing = resilience, leverage = speed)</w:t>
      </w:r>
    </w:p>
    <w:p>
      <w:pPr>
        <w:pStyle w:val="ListBullet"/>
      </w:pPr>
      <w:r>
        <w:t xml:space="preserve">Throughline: </w:t>
      </w:r>
      <w:r>
        <w:rPr>
          <w:b/>
        </w:rPr>
        <w:t>structure decides</w:t>
      </w:r>
    </w:p>
    <w:p>
      <w:pPr>
        <w:pStyle w:val="ListBullet"/>
      </w:pPr>
      <w:r>
        <w:t xml:space="preserve">End: </w:t>
      </w:r>
      <w:r>
        <w:rPr>
          <w:i/>
        </w:rPr>
        <w:t>"Now the conclusion."</w:t>
      </w:r>
    </w:p>
    <w:p>
      <w:r>
        <w:rPr>
          <w:b/>
        </w:rPr>
        <w:t>CARD 9 · Slide 15 — Conclusion</w:t>
      </w:r>
    </w:p>
    <w:p>
      <w:pPr>
        <w:pStyle w:val="ListBullet"/>
      </w:pPr>
      <w:r>
        <w:t>Core point: structure &gt; technology, across all 4 dimensions</w:t>
      </w:r>
    </w:p>
    <w:p>
      <w:pPr>
        <w:pStyle w:val="ListBullet"/>
      </w:pPr>
      <w:r>
        <w:t>2020–2025 as natural experiment (it's a slide bullet!): same industry, same shock, 3 structures, 3 outcomes</w:t>
      </w:r>
    </w:p>
    <w:p>
      <w:pPr>
        <w:pStyle w:val="ListBullet"/>
      </w:pPr>
      <w:r>
        <w:t>The JV model didn't lose to a better battery — it lost to better control/capital allocation</w:t>
      </w:r>
    </w:p>
    <w:p>
      <w:pPr>
        <w:pStyle w:val="ListBullet"/>
      </w:pPr>
      <w:r>
        <w:t>SAIC's structure = permanent structural discount (margin, tariff, idle capacity), not a one-off loss</w:t>
      </w:r>
    </w:p>
    <w:p>
      <w:pPr>
        <w:pStyle w:val="ListBullet"/>
      </w:pPr>
      <w:r>
        <w:t>Geely in between: not simply "state vs. private" — tracks how commercial the controlling principal is</w:t>
      </w:r>
    </w:p>
    <w:p>
      <w:pPr>
        <w:pStyle w:val="ListBullet"/>
      </w:pPr>
      <w:r>
        <w:t xml:space="preserve">Key line (quote from the box): </w:t>
      </w:r>
      <w:r>
        <w:rPr>
          <w:i/>
        </w:rPr>
        <w:t>"When technology moves faster than firms can decide, governance is no longer a footnote to strategy, it is strategy."</w:t>
      </w:r>
    </w:p>
    <w:p>
      <w:pPr>
        <w:pStyle w:val="ListBullet"/>
      </w:pPr>
      <w:r>
        <w:t xml:space="preserve">End: </w:t>
      </w:r>
      <w:r>
        <w:rPr>
          <w:i/>
        </w:rPr>
        <w:t>"...a short word on our limits and on how we used AI."</w:t>
      </w:r>
    </w:p>
    <w:p>
      <w:r>
        <w:rPr>
          <w:b/>
        </w:rPr>
        <w:t>CARD 10 · Slide 16 — Limitations</w:t>
      </w:r>
    </w:p>
    <w:p>
      <w:pPr>
        <w:pStyle w:val="ListBullet"/>
      </w:pPr>
      <w:r>
        <w:t>3 firms, 1 industry, 1 country → case-study depth, not a statistical law</w:t>
      </w:r>
    </w:p>
    <w:p>
      <w:pPr>
        <w:pStyle w:val="ListBullet"/>
      </w:pPr>
      <w:r>
        <w:t>EV shift still young → ranking could shift, especially if "Joint Venture 2.0" gains traction</w:t>
      </w:r>
    </w:p>
    <w:p>
      <w:pPr>
        <w:pStyle w:val="ListBullet"/>
      </w:pPr>
      <w:r>
        <w:t>Figures from 3 different report conventions, currencies/fiscal periods carefully reconciled — one open R&amp;D discrepancy unresolved</w:t>
      </w:r>
    </w:p>
    <w:p>
      <w:pPr>
        <w:pStyle w:val="ListBullet"/>
      </w:pPr>
      <w:r>
        <w:t>NIO deliberately left out (4th, capital-market model, out of scope)</w:t>
      </w:r>
    </w:p>
    <w:p>
      <w:pPr>
        <w:pStyle w:val="ListBullet"/>
      </w:pPr>
      <w:r>
        <w:t>Future research: add NIO, longer time horizon, quantitative governance score, EU tariff effect on exports</w:t>
      </w:r>
    </w:p>
    <w:p>
      <w:pPr>
        <w:pStyle w:val="ListBullet"/>
      </w:pPr>
      <w:r>
        <w:t xml:space="preserve">End: </w:t>
      </w:r>
      <w:r>
        <w:rPr>
          <w:i/>
        </w:rPr>
        <w:t>"Now, how we used AI."</w:t>
      </w:r>
      <w:r>
        <w:t xml:space="preserve"> → handoff to Batu</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