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/>
          <w:b/>
          <w:sz w:val="20"/>
        </w:rPr>
        <w:t>Table 1: Comparative Financial and Structural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2211"/>
            <w:vMerge w:val="restart"/>
            <w:vAlign w:val="center"/>
            <w:shd w:val="clear" w:color="auto" w:fill="1F3864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1134"/>
            <w:gridSpan w:val="2"/>
            <w:vAlign w:val="center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SAIC Motor</w:t>
            </w: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br/>
              <w:t>(JV / SOE)</w:t>
            </w:r>
          </w:p>
        </w:tc>
        <w:tc>
          <w:tcPr>
            <w:tcW w:type="dxa" w:w="1134"/>
            <w:gridSpan w:val="2"/>
            <w:vAlign w:val="center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BYD</w:t>
            </w: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br/>
              <w:t>(Private / Vertical)</w:t>
            </w:r>
          </w:p>
        </w:tc>
        <w:tc>
          <w:tcPr>
            <w:tcW w:type="dxa" w:w="1134"/>
            <w:gridSpan w:val="2"/>
            <w:vAlign w:val="center"/>
            <w:shd w:val="clear" w:color="auto" w:fill="1F386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Geely</w:t>
            </w: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br/>
              <w:t>(Private / M&amp;A)</w:t>
            </w:r>
          </w:p>
        </w:tc>
      </w:tr>
      <w:tr>
        <w:tc>
          <w:tcPr>
            <w:tcW w:type="dxa" w:w="1425"/>
            <w:vMerge/>
          </w:tcPr>
          <w:p/>
        </w:tc>
        <w:tc>
          <w:tcPr>
            <w:tcW w:type="dxa" w:w="1134"/>
            <w:vAlign w:val="center"/>
            <w:shd w:val="clear" w:color="auto" w:fill="2E549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FY2024</w:t>
            </w:r>
          </w:p>
        </w:tc>
        <w:tc>
          <w:tcPr>
            <w:tcW w:type="dxa" w:w="1134"/>
            <w:vAlign w:val="center"/>
            <w:shd w:val="clear" w:color="auto" w:fill="2E549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FY2025</w:t>
            </w:r>
          </w:p>
        </w:tc>
        <w:tc>
          <w:tcPr>
            <w:tcW w:type="dxa" w:w="1134"/>
            <w:vAlign w:val="center"/>
            <w:shd w:val="clear" w:color="auto" w:fill="2E549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FY2024</w:t>
            </w:r>
          </w:p>
        </w:tc>
        <w:tc>
          <w:tcPr>
            <w:tcW w:type="dxa" w:w="1134"/>
            <w:vAlign w:val="center"/>
            <w:shd w:val="clear" w:color="auto" w:fill="2E549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FY2025</w:t>
            </w:r>
          </w:p>
        </w:tc>
        <w:tc>
          <w:tcPr>
            <w:tcW w:type="dxa" w:w="1134"/>
            <w:vAlign w:val="center"/>
            <w:shd w:val="clear" w:color="auto" w:fill="2E549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FY2024</w:t>
            </w:r>
          </w:p>
        </w:tc>
        <w:tc>
          <w:tcPr>
            <w:tcW w:type="dxa" w:w="1134"/>
            <w:vAlign w:val="center"/>
            <w:shd w:val="clear" w:color="auto" w:fill="2E549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FY2025</w:t>
            </w:r>
          </w:p>
        </w:tc>
      </w:tr>
      <w:tr>
        <w:tc>
          <w:tcPr>
            <w:tcW w:type="dxa" w:w="1425"/>
            <w:vAlign w:val="center"/>
            <w:shd w:val="clear" w:color="auto" w:fill="EDF1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Revenue (RMB bn)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627.6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656.2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777.1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804.0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240.2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345.2</w:t>
            </w:r>
          </w:p>
        </w:tc>
      </w:tr>
      <w:tr>
        <w:tc>
          <w:tcPr>
            <w:tcW w:type="dxa" w:w="1425"/>
            <w:vAlign w:val="center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Gross Margin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9.4%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n.a.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19.4%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17.7%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15.9%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16.6%</w:t>
            </w:r>
          </w:p>
        </w:tc>
      </w:tr>
      <w:tr>
        <w:tc>
          <w:tcPr>
            <w:tcW w:type="dxa" w:w="1425"/>
            <w:vAlign w:val="center"/>
            <w:shd w:val="clear" w:color="auto" w:fill="EDF1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Net Profit (RMB bn)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1.7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10.1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40.3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32.6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16.6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16.9</w:t>
            </w:r>
          </w:p>
        </w:tc>
      </w:tr>
      <w:tr>
        <w:tc>
          <w:tcPr>
            <w:tcW w:type="dxa" w:w="1425"/>
            <w:vAlign w:val="center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R&amp;D Expense (RMB bn)*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35.2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33.6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54.2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63.4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10.4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17.6</w:t>
            </w:r>
          </w:p>
        </w:tc>
      </w:tr>
      <w:tr>
        <w:tc>
          <w:tcPr>
            <w:tcW w:type="dxa" w:w="1425"/>
            <w:vAlign w:val="center"/>
            <w:shd w:val="clear" w:color="auto" w:fill="EDF1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R&amp;D Intensity (% Rev.)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5.6%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5.1%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7.0%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7.9%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4.3%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5.1%</w:t>
            </w:r>
          </w:p>
        </w:tc>
      </w:tr>
      <w:tr>
        <w:tc>
          <w:tcPr>
            <w:tcW w:type="dxa" w:w="1425"/>
            <w:vAlign w:val="center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Operating Cash Flow (RMB bn)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69.3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n.a.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133.5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59.1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26.5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47.3</w:t>
            </w:r>
          </w:p>
        </w:tc>
      </w:tr>
      <w:tr>
        <w:tc>
          <w:tcPr>
            <w:tcW w:type="dxa" w:w="1425"/>
            <w:vAlign w:val="center"/>
            <w:shd w:val="clear" w:color="auto" w:fill="EDF1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Return on Equity (ROE)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0.58%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3.43%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21.7%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13.2%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19.2%</w:t>
            </w:r>
          </w:p>
        </w:tc>
        <w:tc>
          <w:tcPr>
            <w:tcW w:type="dxa" w:w="1134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18.2%</w:t>
            </w:r>
          </w:p>
        </w:tc>
      </w:tr>
      <w:tr>
        <w:tc>
          <w:tcPr>
            <w:tcW w:type="dxa" w:w="1425"/>
            <w:vAlign w:val="center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Net Gearing</w:t>
            </w:r>
          </w:p>
        </w:tc>
        <w:tc>
          <w:tcPr>
            <w:tcW w:type="dxa" w:w="1134"/>
            <w:gridSpan w:val="2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n.a.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-36%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+25%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4.5%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19.8%</w:t>
            </w:r>
          </w:p>
        </w:tc>
      </w:tr>
      <w:tr>
        <w:tc>
          <w:tcPr>
            <w:tcW w:type="dxa" w:w="1425"/>
            <w:vAlign w:val="center"/>
            <w:shd w:val="clear" w:color="auto" w:fill="EDF1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EU Anti-Subsidy Tariff</w:t>
            </w:r>
          </w:p>
        </w:tc>
        <w:tc>
          <w:tcPr>
            <w:tcW w:type="dxa" w:w="1134"/>
            <w:gridSpan w:val="2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35.3%</w:t>
            </w:r>
          </w:p>
        </w:tc>
        <w:tc>
          <w:tcPr>
            <w:tcW w:type="dxa" w:w="1134"/>
            <w:gridSpan w:val="2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17.0%</w:t>
            </w:r>
          </w:p>
        </w:tc>
        <w:tc>
          <w:tcPr>
            <w:tcW w:type="dxa" w:w="1134"/>
            <w:gridSpan w:val="2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18.8%</w:t>
            </w:r>
          </w:p>
        </w:tc>
      </w:tr>
      <w:tr>
        <w:tc>
          <w:tcPr>
            <w:tcW w:type="dxa" w:w="1425"/>
            <w:vAlign w:val="center"/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Primary Capital Source</w:t>
            </w:r>
          </w:p>
        </w:tc>
        <w:tc>
          <w:tcPr>
            <w:tcW w:type="dxa" w:w="1134"/>
            <w:gridSpan w:val="2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8"/>
              </w:rPr>
              <w:t>State equity +</w:t>
            </w:r>
            <w:r>
              <w:rPr>
                <w:rFonts w:ascii="Times New Roman" w:hAnsi="Times New Roman"/>
                <w:b w:val="0"/>
                <w:i/>
                <w:sz w:val="18"/>
              </w:rPr>
              <w:br/>
              <w:t>JV dividends (hist.)</w:t>
            </w:r>
          </w:p>
        </w:tc>
        <w:tc>
          <w:tcPr>
            <w:tcW w:type="dxa" w:w="1134"/>
            <w:gridSpan w:val="2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8"/>
              </w:rPr>
              <w:t>Operating cash flow</w:t>
            </w:r>
            <w:r>
              <w:rPr>
                <w:rFonts w:ascii="Times New Roman" w:hAnsi="Times New Roman"/>
                <w:b w:val="0"/>
                <w:i/>
                <w:sz w:val="18"/>
              </w:rPr>
              <w:br/>
              <w:t>(retained earnings)</w:t>
            </w:r>
          </w:p>
        </w:tc>
        <w:tc>
          <w:tcPr>
            <w:tcW w:type="dxa" w:w="1134"/>
            <w:gridSpan w:val="2"/>
            <w:vAlign w:val="center"/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8"/>
              </w:rPr>
              <w:t>Debt</w:t>
            </w:r>
            <w:r>
              <w:rPr>
                <w:rFonts w:ascii="Times New Roman" w:hAnsi="Times New Roman"/>
                <w:b w:val="0"/>
                <w:i/>
                <w:sz w:val="18"/>
              </w:rPr>
              <w:br/>
              <w:t>(acquisition-financed)</w:t>
            </w:r>
          </w:p>
        </w:tc>
      </w:tr>
      <w:tr>
        <w:tc>
          <w:tcPr>
            <w:tcW w:type="dxa" w:w="1425"/>
            <w:vAlign w:val="center"/>
            <w:shd w:val="clear" w:color="auto" w:fill="EDF1F7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Risk Bearer</w:t>
            </w:r>
          </w:p>
        </w:tc>
        <w:tc>
          <w:tcPr>
            <w:tcW w:type="dxa" w:w="1134"/>
            <w:gridSpan w:val="2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8"/>
              </w:rPr>
              <w:t>State / JV partners</w:t>
            </w:r>
            <w:r>
              <w:rPr>
                <w:rFonts w:ascii="Times New Roman" w:hAnsi="Times New Roman"/>
                <w:b w:val="0"/>
                <w:i/>
                <w:sz w:val="18"/>
              </w:rPr>
              <w:br/>
              <w:t>(50/50)</w:t>
            </w:r>
          </w:p>
        </w:tc>
        <w:tc>
          <w:tcPr>
            <w:tcW w:type="dxa" w:w="1134"/>
            <w:gridSpan w:val="2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8"/>
              </w:rPr>
              <w:t>Equity holders</w:t>
            </w:r>
            <w:r>
              <w:rPr>
                <w:rFonts w:ascii="Times New Roman" w:hAnsi="Times New Roman"/>
                <w:b w:val="0"/>
                <w:i/>
                <w:sz w:val="18"/>
              </w:rPr>
              <w:br/>
              <w:t>(founder-led)</w:t>
            </w:r>
          </w:p>
        </w:tc>
        <w:tc>
          <w:tcPr>
            <w:tcW w:type="dxa" w:w="1134"/>
            <w:gridSpan w:val="2"/>
            <w:vAlign w:val="center"/>
            <w:shd w:val="clear" w:color="auto" w:fill="EDF1F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18"/>
              </w:rPr>
              <w:t>Debt providers</w:t>
            </w:r>
          </w:p>
        </w:tc>
      </w:tr>
    </w:tbl>
    <w:p>
      <w:pPr>
        <w:spacing w:before="80"/>
      </w:pPr>
      <w:r>
        <w:rPr>
          <w:rFonts w:ascii="Times New Roman" w:hAnsi="Times New Roman"/>
          <w:i/>
          <w:sz w:val="16"/>
        </w:rPr>
        <w:t>* SAIC R&amp;D total includes JV contributions. SAIC standalone FY2024: RMB 17.7 bn (2.8% of revenue). n.a. = not available in published report. Sources: SAIC AR 2024/2025, BYD AR 2024/2025, Geely AR 2024/2025.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