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Abkürzungen — Anmerkungen &amp; Spell-out-Audit</w:t>
      </w:r>
    </w:p>
    <w:p>
      <w:pPr>
        <w:pStyle w:val="Heading2"/>
      </w:pPr>
      <w:r>
        <w:t>Bewusst weggelassen (Entscheidung, anpassbar)</w:t>
      </w:r>
    </w:p>
    <w:p>
      <w:pPr>
        <w:pStyle w:val="ListBullet"/>
      </w:pPr>
      <w:r>
        <w:rPr>
          <w:b/>
        </w:rPr>
        <w:t xml:space="preserve">BYD — </w:t>
      </w:r>
      <w:r>
        <w:t>funktioniert als Firmenname; „Build Your Dreams" ist ein Marketing-Backronym, das akademisch nicht behauptet werden sollte.</w:t>
      </w:r>
    </w:p>
    <w:p>
      <w:pPr>
        <w:pStyle w:val="ListBullet"/>
      </w:pPr>
      <w:r>
        <w:rPr>
          <w:b/>
        </w:rPr>
        <w:t xml:space="preserve">EBIT, CCB — </w:t>
      </w:r>
      <w:r>
        <w:t>je nur 1x im Text; CCB (China Construction Bank) ist im Text gar nicht erklärt.</w:t>
      </w:r>
    </w:p>
    <w:p>
      <w:pPr>
        <w:pStyle w:val="ListBullet"/>
      </w:pPr>
      <w:r>
        <w:rPr>
          <w:b/>
        </w:rPr>
        <w:t xml:space="preserve">HKEX — </w:t>
      </w:r>
      <w:r>
        <w:t>kommt nur im Literaturverzeichnis vor, nicht im Fließtext.</w:t>
      </w:r>
    </w:p>
    <w:p>
      <w:pPr>
        <w:pStyle w:val="Heading2"/>
      </w:pPr>
      <w:r>
        <w:t>Spell-out-Audit — bei Erstnennung NICHT ausgeschrieben</w:t>
      </w:r>
    </w:p>
    <w:p>
      <w:r>
        <w:rPr>
          <w:i w:val="0"/>
        </w:rPr>
        <w:t xml:space="preserve">Nur </w:t>
      </w:r>
      <w:r>
        <w:rPr>
          <w:b/>
        </w:rPr>
        <w:t>CMA</w:t>
      </w:r>
      <w:r>
        <w:t xml:space="preserve"> und </w:t>
      </w:r>
      <w:r>
        <w:rPr>
          <w:b/>
        </w:rPr>
        <w:t>ZGH</w:t>
      </w:r>
      <w:r>
        <w:t xml:space="preserve"> werden korrekt eingeführt. Folgende nicht: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2"/>
              </w:rPr>
              <w:t>Abk.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2"/>
              </w:rPr>
              <w:t>Stelle</w:t>
            </w:r>
          </w:p>
        </w:tc>
        <w:tc>
          <w:tcPr>
            <w:tcW w:type="dxa" w:w="7370"/>
          </w:tcPr>
          <w:p>
            <w:r>
              <w:rPr>
                <w:rFonts w:ascii="Times New Roman" w:hAnsi="Times New Roman"/>
                <w:b/>
                <w:sz w:val="22"/>
              </w:rPr>
              <w:t>sollte bei Erstnennung heißen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FDI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4.3</w:t>
            </w:r>
          </w:p>
        </w:tc>
        <w:tc>
          <w:tcPr>
            <w:tcW w:type="dxa" w:w="7370"/>
          </w:tcPr>
          <w:p>
            <w:r>
              <w:rPr>
                <w:rFonts w:ascii="Times New Roman" w:hAnsi="Times New Roman"/>
                <w:sz w:val="22"/>
              </w:rPr>
              <w:t>strategic asset-seeking foreign direct investment (FDI)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MEB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4.1</w:t>
            </w:r>
          </w:p>
        </w:tc>
        <w:tc>
          <w:tcPr>
            <w:tcW w:type="dxa" w:w="7370"/>
          </w:tcPr>
          <w:p>
            <w:r>
              <w:rPr>
                <w:rFonts w:ascii="Times New Roman" w:hAnsi="Times New Roman"/>
                <w:sz w:val="22"/>
              </w:rPr>
              <w:t>Volkswagen's Modular Electric Drive Matrix (MEB) plant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NEV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2.2</w:t>
            </w:r>
          </w:p>
        </w:tc>
        <w:tc>
          <w:tcPr>
            <w:tcW w:type="dxa" w:w="7370"/>
          </w:tcPr>
          <w:p>
            <w:r>
              <w:rPr>
                <w:rFonts w:ascii="Times New Roman" w:hAnsi="Times New Roman"/>
                <w:sz w:val="22"/>
              </w:rPr>
              <w:t>global new energy vehicle (NEV) market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ROE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3.1</w:t>
            </w:r>
          </w:p>
        </w:tc>
        <w:tc>
          <w:tcPr>
            <w:tcW w:type="dxa" w:w="7370"/>
          </w:tcPr>
          <w:p>
            <w:r>
              <w:rPr>
                <w:rFonts w:ascii="Times New Roman" w:hAnsi="Times New Roman"/>
                <w:sz w:val="22"/>
              </w:rPr>
              <w:t>weighted average return on equity (ROE)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SASAC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2.1</w:t>
            </w:r>
          </w:p>
        </w:tc>
        <w:tc>
          <w:tcPr>
            <w:tcW w:type="dxa" w:w="7370"/>
          </w:tcPr>
          <w:p>
            <w:r>
              <w:rPr>
                <w:rFonts w:ascii="Times New Roman" w:hAnsi="Times New Roman"/>
                <w:sz w:val="22"/>
              </w:rPr>
              <w:t>Shanghai's State-owned Assets Supervision and Administration Commission (SASAC)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SOE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2.4</w:t>
            </w:r>
          </w:p>
        </w:tc>
        <w:tc>
          <w:tcPr>
            <w:tcW w:type="dxa" w:w="7370"/>
          </w:tcPr>
          <w:p>
            <w:r>
              <w:rPr>
                <w:rFonts w:ascii="Times New Roman" w:hAnsi="Times New Roman"/>
                <w:sz w:val="22"/>
              </w:rPr>
              <w:t>its state-owned enterprise (SOE) ownership structure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ICE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5.3</w:t>
            </w:r>
          </w:p>
        </w:tc>
        <w:tc>
          <w:tcPr>
            <w:tcW w:type="dxa" w:w="7370"/>
          </w:tcPr>
          <w:p>
            <w:r>
              <w:rPr>
                <w:rFonts w:ascii="Times New Roman" w:hAnsi="Times New Roman"/>
                <w:sz w:val="22"/>
              </w:rPr>
              <w:t>no internal combustion engine (ICE) segment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OEM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2.2</w:t>
            </w:r>
          </w:p>
        </w:tc>
        <w:tc>
          <w:tcPr>
            <w:tcW w:type="dxa" w:w="7370"/>
          </w:tcPr>
          <w:p>
            <w:r>
              <w:rPr>
                <w:rFonts w:ascii="Times New Roman" w:hAnsi="Times New Roman"/>
                <w:sz w:val="22"/>
              </w:rPr>
              <w:t>Western original equipment manufacturers (OEMs)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IPO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2.1</w:t>
            </w:r>
          </w:p>
        </w:tc>
        <w:tc>
          <w:tcPr>
            <w:tcW w:type="dxa" w:w="7370"/>
          </w:tcPr>
          <w:p>
            <w:r>
              <w:rPr>
                <w:rFonts w:ascii="Times New Roman" w:hAnsi="Times New Roman"/>
                <w:sz w:val="22"/>
              </w:rPr>
              <w:t>three-year post-IPO… → … post-initial public offering (IPO)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EBIT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5.3</w:t>
            </w:r>
          </w:p>
        </w:tc>
        <w:tc>
          <w:tcPr>
            <w:tcW w:type="dxa" w:w="7370"/>
          </w:tcPr>
          <w:p>
            <w:r>
              <w:rPr>
                <w:rFonts w:ascii="Times New Roman" w:hAnsi="Times New Roman"/>
                <w:sz w:val="22"/>
              </w:rPr>
              <w:t>6.8% core EBIT (earnings before interest and taxes) margin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CCB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3.3</w:t>
            </w:r>
          </w:p>
        </w:tc>
        <w:tc>
          <w:tcPr>
            <w:tcW w:type="dxa" w:w="7370"/>
          </w:tcPr>
          <w:p>
            <w:r>
              <w:rPr>
                <w:rFonts w:ascii="Times New Roman" w:hAnsi="Times New Roman"/>
                <w:sz w:val="22"/>
              </w:rPr>
              <w:t>alongside the China Construction Bank (CCB)</w:t>
            </w:r>
          </w:p>
        </w:tc>
      </w:tr>
    </w:tbl>
    <w:p>
      <w:r>
        <w:rPr>
          <w:b/>
        </w:rPr>
        <w:t xml:space="preserve">Konvention: </w:t>
      </w:r>
      <w:r>
        <w:t>Vollform beim ersten Mal, danach nur Abkürzung. GM ist okay — „General Motors" steht in 3.1 vor dem ersten „SAIC-GM".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