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/>
          <w:sz w:val="28"/>
        </w:rPr>
        <w:t>References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Allen, F., Qian, J., Shan, C., &amp; Zhu, J. L. (2024). Dissecting the long-term performance of the Chinese stock market. </w:t>
      </w:r>
      <w:r>
        <w:rPr>
          <w:rFonts w:ascii="Times New Roman" w:hAnsi="Times New Roman"/>
          <w:i/>
          <w:sz w:val="24"/>
        </w:rPr>
        <w:t>Journal of Finance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79</w:t>
      </w:r>
      <w:r>
        <w:rPr>
          <w:rFonts w:ascii="Times New Roman" w:hAnsi="Times New Roman"/>
          <w:i w:val="0"/>
          <w:sz w:val="24"/>
        </w:rPr>
        <w:t>(2), 1121–1171. https://doi.org/10.1111/jofi.13312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Bai, J., Barwick, P. J., Cao, S., &amp; Li, S. (2025). Quid pro quo, knowledge spillovers, and industrial quality upgrading: Evidence from the Chinese auto industry. </w:t>
      </w:r>
      <w:r>
        <w:rPr>
          <w:rFonts w:ascii="Times New Roman" w:hAnsi="Times New Roman"/>
          <w:i/>
          <w:sz w:val="24"/>
        </w:rPr>
        <w:t>American Economic Review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115</w:t>
      </w:r>
      <w:r>
        <w:rPr>
          <w:rFonts w:ascii="Times New Roman" w:hAnsi="Times New Roman"/>
          <w:i w:val="0"/>
          <w:sz w:val="24"/>
        </w:rPr>
        <w:t>(11), 3825–3852. https://doi.org/10.1257/aer.20221501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Balcet, G., Wang, H., &amp; Richet, X. (2012). Geely: A trajectory of catching up and asset-seeking multinational growth. </w:t>
      </w:r>
      <w:r>
        <w:rPr>
          <w:rFonts w:ascii="Times New Roman" w:hAnsi="Times New Roman"/>
          <w:i/>
          <w:sz w:val="24"/>
        </w:rPr>
        <w:t>International Journal of Automotive Technology and Management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12</w:t>
      </w:r>
      <w:r>
        <w:rPr>
          <w:rFonts w:ascii="Times New Roman" w:hAnsi="Times New Roman"/>
          <w:i w:val="0"/>
          <w:sz w:val="24"/>
        </w:rPr>
        <w:t>(4), 360–375. https://doi.org/10.1504/IJATM.2012.051361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Bortolotti, B., &amp; Faccio, M. (2009). Government control of privatized firms. </w:t>
      </w:r>
      <w:r>
        <w:rPr>
          <w:rFonts w:ascii="Times New Roman" w:hAnsi="Times New Roman"/>
          <w:i/>
          <w:sz w:val="24"/>
        </w:rPr>
        <w:t>Review of Financial Studies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22</w:t>
      </w:r>
      <w:r>
        <w:rPr>
          <w:rFonts w:ascii="Times New Roman" w:hAnsi="Times New Roman"/>
          <w:i w:val="0"/>
          <w:sz w:val="24"/>
        </w:rPr>
        <w:t>(8), 2907–2939. https://doi.org/10.1093/rfs/hhn077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BYD Company Limited. (2025). </w:t>
      </w:r>
      <w:r>
        <w:rPr>
          <w:rFonts w:ascii="Times New Roman" w:hAnsi="Times New Roman"/>
          <w:i/>
          <w:sz w:val="24"/>
        </w:rPr>
        <w:t>Annual report 2024</w:t>
      </w:r>
      <w:r>
        <w:rPr>
          <w:rFonts w:ascii="Times New Roman" w:hAnsi="Times New Roman"/>
          <w:i w:val="0"/>
          <w:sz w:val="24"/>
        </w:rPr>
        <w:t>. Hong Kong Stock Exchange (HKEX: 01211). https://www.bydglobal.com/en/InvestorAnnals.html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BYD Company Limited. (2026). </w:t>
      </w:r>
      <w:r>
        <w:rPr>
          <w:rFonts w:ascii="Times New Roman" w:hAnsi="Times New Roman"/>
          <w:i/>
          <w:sz w:val="24"/>
        </w:rPr>
        <w:t>Annual report 2025</w:t>
      </w:r>
      <w:r>
        <w:rPr>
          <w:rFonts w:ascii="Times New Roman" w:hAnsi="Times New Roman"/>
          <w:i w:val="0"/>
          <w:sz w:val="24"/>
        </w:rPr>
        <w:t>. Hong Kong Stock Exchange (HKEX: 01211). https://www.bydglobal.com/en/InvestorAnnals.html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European Commission. (2024). </w:t>
      </w:r>
      <w:r>
        <w:rPr>
          <w:rFonts w:ascii="Times New Roman" w:hAnsi="Times New Roman"/>
          <w:i/>
          <w:sz w:val="24"/>
        </w:rPr>
        <w:t>Commission Implementing Regulation (EU) 2024/2754 of 29 October 2024 imposing a definitive countervailing duty on imports of new battery electric vehicles originating in the People’s Republic of China</w:t>
      </w:r>
      <w:r>
        <w:rPr>
          <w:rFonts w:ascii="Times New Roman" w:hAnsi="Times New Roman"/>
          <w:i w:val="0"/>
          <w:sz w:val="24"/>
        </w:rPr>
        <w:t>. Official Journal of the European Union. https://eur-lex.europa.eu/eli/reg_impl/2024/2754/oj/eng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Fan, J. P. H., Wong, T. J., &amp; Zhang, T. (2007). Politically connected CEOs, corporate governance, and post-IPO performance of China’s newly partially privatized firms. </w:t>
      </w:r>
      <w:r>
        <w:rPr>
          <w:rFonts w:ascii="Times New Roman" w:hAnsi="Times New Roman"/>
          <w:i/>
          <w:sz w:val="24"/>
        </w:rPr>
        <w:t>Journal of Financial Economics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84</w:t>
      </w:r>
      <w:r>
        <w:rPr>
          <w:rFonts w:ascii="Times New Roman" w:hAnsi="Times New Roman"/>
          <w:i w:val="0"/>
          <w:sz w:val="24"/>
        </w:rPr>
        <w:t>(2), 330–357. https://doi.org/10.1016/j.jfineco.2006.03.008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Geely Automobile Holdings Limited. (2025a). </w:t>
      </w:r>
      <w:r>
        <w:rPr>
          <w:rFonts w:ascii="Times New Roman" w:hAnsi="Times New Roman"/>
          <w:i/>
          <w:sz w:val="24"/>
        </w:rPr>
        <w:t>Annual report 2024</w:t>
      </w:r>
      <w:r>
        <w:rPr>
          <w:rFonts w:ascii="Times New Roman" w:hAnsi="Times New Roman"/>
          <w:i w:val="0"/>
          <w:sz w:val="24"/>
        </w:rPr>
        <w:t>. Hong Kong Stock Exchange (HKEX: 00175). https://www.hkexnews.hk/listedco/listconews/sehk/2025/0320/2025032001294.pdf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Geely Automobile Holdings Limited. (2025b). </w:t>
      </w:r>
      <w:r>
        <w:rPr>
          <w:rFonts w:ascii="Times New Roman" w:hAnsi="Times New Roman"/>
          <w:i/>
          <w:sz w:val="24"/>
        </w:rPr>
        <w:t>Announcement of interim results for the six months ended 30 June 2025</w:t>
      </w:r>
      <w:r>
        <w:rPr>
          <w:rFonts w:ascii="Times New Roman" w:hAnsi="Times New Roman"/>
          <w:i w:val="0"/>
          <w:sz w:val="24"/>
        </w:rPr>
        <w:t>. Hong Kong Stock Exchange (HKEX: 00175). https://www1.hkexnews.hk/listedco/listconews/sehk/2025/0814/2025081400145.pdf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Geely Automobile Holdings Limited. (2026). </w:t>
      </w:r>
      <w:r>
        <w:rPr>
          <w:rFonts w:ascii="Times New Roman" w:hAnsi="Times New Roman"/>
          <w:i/>
          <w:sz w:val="24"/>
        </w:rPr>
        <w:t>Annual report 2025</w:t>
      </w:r>
      <w:r>
        <w:rPr>
          <w:rFonts w:ascii="Times New Roman" w:hAnsi="Times New Roman"/>
          <w:i w:val="0"/>
          <w:sz w:val="24"/>
        </w:rPr>
        <w:t>. Hong Kong Stock Exchange (HKEX: 00175). https://www.geelyauto.com.hk/wp-content/uploads/2026/04/e00175_2025-annual-report.pdf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Holmes, T. J., McGrattan, E. R., &amp; Prescott, E. C. (2015). Quid pro quo: Technology capital transfers for market access in China. </w:t>
      </w:r>
      <w:r>
        <w:rPr>
          <w:rFonts w:ascii="Times New Roman" w:hAnsi="Times New Roman"/>
          <w:i/>
          <w:sz w:val="24"/>
        </w:rPr>
        <w:t>Review of Economic Studies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82</w:t>
      </w:r>
      <w:r>
        <w:rPr>
          <w:rFonts w:ascii="Times New Roman" w:hAnsi="Times New Roman"/>
          <w:i w:val="0"/>
          <w:sz w:val="24"/>
        </w:rPr>
        <w:t>(3), 1154–1193. https://doi.org/10.1093/restud/rdv008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Howell, S. T. (2018). Joint ventures and technology adoption: A Chinese industrial policy that backfired. </w:t>
      </w:r>
      <w:r>
        <w:rPr>
          <w:rFonts w:ascii="Times New Roman" w:hAnsi="Times New Roman"/>
          <w:i/>
          <w:sz w:val="24"/>
        </w:rPr>
        <w:t>Research Policy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47</w:t>
      </w:r>
      <w:r>
        <w:rPr>
          <w:rFonts w:ascii="Times New Roman" w:hAnsi="Times New Roman"/>
          <w:i w:val="0"/>
          <w:sz w:val="24"/>
        </w:rPr>
        <w:t>(8), 1448–1462. https://doi.org/10.1016/j.respol.2018.04.021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Inkpen, A. C., &amp; Beamish, P. W. (1997). Knowledge, bargaining power, and the instability of international joint ventures. </w:t>
      </w:r>
      <w:r>
        <w:rPr>
          <w:rFonts w:ascii="Times New Roman" w:hAnsi="Times New Roman"/>
          <w:i/>
          <w:sz w:val="24"/>
        </w:rPr>
        <w:t>Academy of Management Review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22</w:t>
      </w:r>
      <w:r>
        <w:rPr>
          <w:rFonts w:ascii="Times New Roman" w:hAnsi="Times New Roman"/>
          <w:i w:val="0"/>
          <w:sz w:val="24"/>
        </w:rPr>
        <w:t>(1), 177–202. https://doi.org/10.5465/amr.1997.9707180263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International Energy Agency. (2026). </w:t>
      </w:r>
      <w:r>
        <w:rPr>
          <w:rFonts w:ascii="Times New Roman" w:hAnsi="Times New Roman"/>
          <w:i/>
          <w:sz w:val="24"/>
        </w:rPr>
        <w:t>Global EV outlook 2026</w:t>
      </w:r>
      <w:r>
        <w:rPr>
          <w:rFonts w:ascii="Times New Roman" w:hAnsi="Times New Roman"/>
          <w:i w:val="0"/>
          <w:sz w:val="24"/>
        </w:rPr>
        <w:t>. IEA. https://www.iea.org/reports/global-ev-outlook-2026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Jensen, M. C., &amp; Meckling, W. H. (1976). Theory of the firm: Managerial behavior, agency costs and ownership structure. </w:t>
      </w:r>
      <w:r>
        <w:rPr>
          <w:rFonts w:ascii="Times New Roman" w:hAnsi="Times New Roman"/>
          <w:i/>
          <w:sz w:val="24"/>
        </w:rPr>
        <w:t>Journal of Financial Economics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</w:t>
      </w:r>
      <w:r>
        <w:rPr>
          <w:rFonts w:ascii="Times New Roman" w:hAnsi="Times New Roman"/>
          <w:i w:val="0"/>
          <w:sz w:val="24"/>
        </w:rPr>
        <w:t>(4), 305–360. https://doi.org/10.1016/0304-405X(76)90026-X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Jiang, Z., &amp; Xu, C. (2023). Policy incentives, government subsidies, and technological innovation in new energy vehicle enterprises: Evidence from China. </w:t>
      </w:r>
      <w:r>
        <w:rPr>
          <w:rFonts w:ascii="Times New Roman" w:hAnsi="Times New Roman"/>
          <w:i/>
          <w:sz w:val="24"/>
        </w:rPr>
        <w:t>Energy Policy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177</w:t>
      </w:r>
      <w:r>
        <w:rPr>
          <w:rFonts w:ascii="Times New Roman" w:hAnsi="Times New Roman"/>
          <w:i w:val="0"/>
          <w:sz w:val="24"/>
        </w:rPr>
        <w:t>, Article 113527. https://doi.org/10.1016/j.enpol.2023.113527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Konda, P., Slepnikov, D., &amp; Jin, J. (2022). From transaction to co-creation in Geely’s acquisition of Volvo Cars. </w:t>
      </w:r>
      <w:r>
        <w:rPr>
          <w:rFonts w:ascii="Times New Roman" w:hAnsi="Times New Roman"/>
          <w:i/>
          <w:sz w:val="24"/>
        </w:rPr>
        <w:t>Asian Journal of Technology Innovation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31</w:t>
      </w:r>
      <w:r>
        <w:rPr>
          <w:rFonts w:ascii="Times New Roman" w:hAnsi="Times New Roman"/>
          <w:i w:val="0"/>
          <w:sz w:val="24"/>
        </w:rPr>
        <w:t>(3), 556–580. https://doi.org/10.1080/19761597.2022.2133777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Luo, Y., &amp; Tung, R. L. (2007). International expansion of emerging market enterprises: A springboard perspective. </w:t>
      </w:r>
      <w:r>
        <w:rPr>
          <w:rFonts w:ascii="Times New Roman" w:hAnsi="Times New Roman"/>
          <w:i/>
          <w:sz w:val="24"/>
        </w:rPr>
        <w:t>Journal of International Business Studies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38</w:t>
      </w:r>
      <w:r>
        <w:rPr>
          <w:rFonts w:ascii="Times New Roman" w:hAnsi="Times New Roman"/>
          <w:i w:val="0"/>
          <w:sz w:val="24"/>
        </w:rPr>
        <w:t>(4), 481–498. https://doi.org/10.1057/palgrave.jibs.8400275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Megginson, W. L., &amp; Netter, J. M. (2001). From state to market: A survey of empirical studies on privatization. </w:t>
      </w:r>
      <w:r>
        <w:rPr>
          <w:rFonts w:ascii="Times New Roman" w:hAnsi="Times New Roman"/>
          <w:i/>
          <w:sz w:val="24"/>
        </w:rPr>
        <w:t>Journal of Economic Literature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39</w:t>
      </w:r>
      <w:r>
        <w:rPr>
          <w:rFonts w:ascii="Times New Roman" w:hAnsi="Times New Roman"/>
          <w:i w:val="0"/>
          <w:sz w:val="24"/>
        </w:rPr>
        <w:t>(2), 321–389. https://doi.org/10.1257/jel.39.2.321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SAIC Motor Corporation Limited. (2025). </w:t>
      </w:r>
      <w:r>
        <w:rPr>
          <w:rFonts w:ascii="Times New Roman" w:hAnsi="Times New Roman"/>
          <w:i/>
          <w:sz w:val="24"/>
        </w:rPr>
        <w:t>Annual report 2024</w:t>
      </w:r>
      <w:r>
        <w:rPr>
          <w:rFonts w:ascii="Times New Roman" w:hAnsi="Times New Roman"/>
          <w:i w:val="0"/>
          <w:sz w:val="24"/>
        </w:rPr>
        <w:t>. Shanghai Stock Exchange. https://www.saicmotor.com/english/images/investor_relations/annual_report/2025/5/30/A82D5D04C86944B6A245ACFD8A90FB95.pdf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SAIC Motor Corporation Limited. (2026). </w:t>
      </w:r>
      <w:r>
        <w:rPr>
          <w:rFonts w:ascii="Times New Roman" w:hAnsi="Times New Roman"/>
          <w:i/>
          <w:sz w:val="24"/>
        </w:rPr>
        <w:t>Annual report 2025</w:t>
      </w:r>
      <w:r>
        <w:rPr>
          <w:rFonts w:ascii="Times New Roman" w:hAnsi="Times New Roman"/>
          <w:i w:val="0"/>
          <w:sz w:val="24"/>
        </w:rPr>
        <w:t>. Shanghai Stock Exchange. https://www.saicmotor.com/english/images/investor_relations/annual_report/2026/4/21/0DFE68E4BCB74B01ACFAE92C344763FF.pdf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Shleifer, A., &amp; Vishny, R. W. (1994). Politicians and firms. </w:t>
      </w:r>
      <w:r>
        <w:rPr>
          <w:rFonts w:ascii="Times New Roman" w:hAnsi="Times New Roman"/>
          <w:i/>
          <w:sz w:val="24"/>
        </w:rPr>
        <w:t>Quarterly Journal of Economics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109</w:t>
      </w:r>
      <w:r>
        <w:rPr>
          <w:rFonts w:ascii="Times New Roman" w:hAnsi="Times New Roman"/>
          <w:i w:val="0"/>
          <w:sz w:val="24"/>
        </w:rPr>
        <w:t>(4), 995–1025. https://doi.org/10.2307/2118354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>Shleifer, A., &amp; Vishny, R. W. (1992). Liquidation values and debt capacity: A market equilibrium approach. Journal of Finance, 47(4), 1343-1366. https://doi.org/10.2307/2328943</w:t>
      </w:r>
      <w:r>
        <w:rPr>
          <w:rFonts w:ascii="Times New Roman" w:hAnsi="Times New Roman"/>
          <w:i/>
          <w:sz w:val="24"/>
        </w:rPr>
      </w:r>
      <w:r>
        <w:rPr>
          <w:rFonts w:ascii="Times New Roman" w:hAnsi="Times New Roman"/>
          <w:i w:val="0"/>
          <w:sz w:val="24"/>
        </w:rPr>
      </w:r>
      <w:r>
        <w:rPr>
          <w:rFonts w:ascii="Times New Roman" w:hAnsi="Times New Roman"/>
          <w:i/>
          <w:sz w:val="24"/>
        </w:rPr>
      </w:r>
      <w:r>
        <w:rPr>
          <w:rFonts w:ascii="Times New Roman" w:hAnsi="Times New Roman"/>
          <w:i w:val="0"/>
          <w:sz w:val="24"/>
        </w:rPr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Teece, D. J., Pisano, G., &amp; Shuen, A. (1997). Dynamic capabilities and strategic management. </w:t>
      </w:r>
      <w:r>
        <w:rPr>
          <w:rFonts w:ascii="Times New Roman" w:hAnsi="Times New Roman"/>
          <w:i/>
          <w:sz w:val="24"/>
        </w:rPr>
        <w:t>Strategic Management Journal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18</w:t>
      </w:r>
      <w:r>
        <w:rPr>
          <w:rFonts w:ascii="Times New Roman" w:hAnsi="Times New Roman"/>
          <w:i w:val="0"/>
          <w:sz w:val="24"/>
        </w:rPr>
        <w:t>(7), 509–533. https://doi.org/10.1002/(SICI)1097-0266(199708)18:7&lt;509::AID-SMJ882&gt;3.0.CO;2-Z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Wang, X., Zhao, W., &amp; Ruet, J. (2022). Specialised vertical integration: The value-chain strategy of EV lithium-ion battery firms in China. </w:t>
      </w:r>
      <w:r>
        <w:rPr>
          <w:rFonts w:ascii="Times New Roman" w:hAnsi="Times New Roman"/>
          <w:i/>
          <w:sz w:val="24"/>
        </w:rPr>
        <w:t>International Journal of Automotive Technology and Management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22</w:t>
      </w:r>
      <w:r>
        <w:rPr>
          <w:rFonts w:ascii="Times New Roman" w:hAnsi="Times New Roman"/>
          <w:i w:val="0"/>
          <w:sz w:val="24"/>
        </w:rPr>
        <w:t>(2), 178–201. https://doi.org/10.1504/IJATM.2022.124377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Whitfield, L., &amp; Wuttke, T. (2026). China’s technological catch-up and leapfrogging in electric vehicles: A firm-level study of BYD and CATL. </w:t>
      </w:r>
      <w:r>
        <w:rPr>
          <w:rFonts w:ascii="Times New Roman" w:hAnsi="Times New Roman"/>
          <w:i/>
          <w:sz w:val="24"/>
        </w:rPr>
        <w:t>Progress in Economic Geography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 w:val="0"/>
          <w:sz w:val="24"/>
        </w:rPr>
        <w:t>, Article 100054. https://doi.org/10.1016/j.peg.2025.100054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Yuan, J.-Z., &amp; Brasó Broggi, C. (2025). The metamorphosis of China’s automotive industry (1953–2001): Inward internationalisation, technological transfers and the making of a post-socialist market. </w:t>
      </w:r>
      <w:r>
        <w:rPr>
          <w:rFonts w:ascii="Times New Roman" w:hAnsi="Times New Roman"/>
          <w:i/>
          <w:sz w:val="24"/>
        </w:rPr>
        <w:t>Business History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67</w:t>
      </w:r>
      <w:r>
        <w:rPr>
          <w:rFonts w:ascii="Times New Roman" w:hAnsi="Times New Roman"/>
          <w:i w:val="0"/>
          <w:sz w:val="24"/>
        </w:rPr>
        <w:t>(1), 211–238. https://doi.org/10.1080/00076791.2023.2247366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Zhang, Z.-Q., Tang, B.-J., Su, Z., &amp; Zhang, Y. (2025). Founder control and breakthrough innovation: Evidence from high-tech firms in China. </w:t>
      </w:r>
      <w:r>
        <w:rPr>
          <w:rFonts w:ascii="Times New Roman" w:hAnsi="Times New Roman"/>
          <w:i/>
          <w:sz w:val="24"/>
        </w:rPr>
        <w:t>China Economic Review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94</w:t>
      </w:r>
      <w:r>
        <w:rPr>
          <w:rFonts w:ascii="Times New Roman" w:hAnsi="Times New Roman"/>
          <w:i w:val="0"/>
          <w:sz w:val="24"/>
        </w:rPr>
        <w:t>, Article 102572. https://doi.org/10.1016/j.chieco.2025.102572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Zheng, Q., Noorderhaven, N., &amp; Du, J. (2022). Making the unlikely marriage work: The integration process of Chinese-acquired foreign firms. </w:t>
      </w:r>
      <w:r>
        <w:rPr>
          <w:rFonts w:ascii="Times New Roman" w:hAnsi="Times New Roman"/>
          <w:i/>
          <w:sz w:val="24"/>
        </w:rPr>
        <w:t>Journal of World Business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57</w:t>
      </w:r>
      <w:r>
        <w:rPr>
          <w:rFonts w:ascii="Times New Roman" w:hAnsi="Times New Roman"/>
          <w:i w:val="0"/>
          <w:sz w:val="24"/>
        </w:rPr>
        <w:t>(2), Article 101305. https://doi.org/10.1016/j.jwb.2021.101305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