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Game Making and Coding Fluency in a Primary Computing Context Anon</w:t>
      </w:r>
    </w:p>
    <w:p>
      <w:pPr>
        <w:pStyle w:val="TextBody"/>
        <w:bidi w:val="0"/>
        <w:spacing w:before="86" w:after="86"/>
        <w:jc w:val="left"/>
        <w:rPr/>
      </w:pPr>
      <w:r>
        <w:rPr/>
        <w:t xml:space="preserve">Mick Chesterman[0000-0002-8005-2390] </w:t>
        <w:br/>
        <w:t xml:space="preserve">Manchester Metropolitan University </w:t>
        <w:br/>
        <w:t>m.chesterman@mmu.ac.uk</w:t>
      </w:r>
    </w:p>
    <w:p>
      <w:pPr>
        <w:pStyle w:val="Heading4"/>
        <w:tabs>
          <w:tab w:val="clear" w:pos="709"/>
          <w:tab w:val="left" w:pos="0" w:leader="none"/>
        </w:tabs>
        <w:bidi w:val="0"/>
        <w:ind w:left="0" w:hanging="0"/>
        <w:jc w:val="left"/>
        <w:rPr/>
      </w:pPr>
      <w:bookmarkStart w:id="0" w:name="keywords-coding-games-digital-making-des"/>
      <w:r>
        <w:rPr/>
        <w:t>Keywords: coding games, digital making, design patterns, game elements, digital inclusion</w:t>
      </w:r>
      <w:bookmarkEnd w:id="0"/>
    </w:p>
    <w:p>
      <w:pPr>
        <w:pStyle w:val="Heading2"/>
        <w:tabs>
          <w:tab w:val="clear" w:pos="709"/>
          <w:tab w:val="left" w:pos="0" w:leader="none"/>
        </w:tabs>
        <w:bidi w:val="0"/>
        <w:ind w:left="0" w:hanging="0"/>
        <w:jc w:val="left"/>
        <w:rPr/>
      </w:pPr>
      <w:bookmarkStart w:id="1" w:name="abstract"/>
      <w:r>
        <w:rPr/>
        <w:t>Abstract</w:t>
      </w:r>
      <w:bookmarkEnd w:id="1"/>
    </w:p>
    <w:p>
      <w:pPr>
        <w:pStyle w:val="Firstparagraph"/>
        <w:bidi w:val="0"/>
        <w:jc w:val="left"/>
        <w:rPr/>
      </w:pPr>
      <w:r>
        <w:rPr/>
        <w:t>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them to more structured educational environments. I summarise the features of two game making tools used in my study. Finally this chapter contains an overview of the 3M game making learning design and links to extensive resources for learners and teachers.</w:t>
      </w:r>
    </w:p>
    <w:p>
      <w:pPr>
        <w:pStyle w:val="Heading2"/>
        <w:tabs>
          <w:tab w:val="clear" w:pos="709"/>
          <w:tab w:val="left" w:pos="0" w:leader="none"/>
        </w:tabs>
        <w:bidi w:val="0"/>
        <w:ind w:left="0" w:hanging="0"/>
        <w:jc w:val="left"/>
        <w:rPr/>
      </w:pPr>
      <w:bookmarkStart w:id="2" w:name="introduction"/>
      <w:r>
        <w:rPr/>
        <w:t>Introduction</w:t>
      </w:r>
      <w:bookmarkEnd w:id="2"/>
    </w:p>
    <w:p>
      <w:pPr>
        <w:pStyle w:val="Firstparagraph"/>
        <w:bidi w:val="0"/>
        <w:jc w:val="left"/>
        <w:rPr/>
      </w:pPr>
      <w:r>
        <w:rPr/>
        <w:t xml:space="preserve">The potential of digital game making is explored in depth in a review by Kafai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including maths, biology and chemistry but diverse examples exist. Game making can also develop social skills, self-reflection, cultural awareness and a range of technical abilities that allow participation in information society. Finally, because, game making involves a systems-based understanding of the world, and as games are themselves interactive systems, they are a powerful vehicle for exploring complex problems involving race, sex, social issues </w:t>
      </w:r>
      <w:r>
        <w:rPr>
          <w:b w:val="false"/>
          <w:i w:val="false"/>
          <w:caps w:val="false"/>
          <w:smallCaps w:val="false"/>
          <w:position w:val="0"/>
          <w:sz w:val="24"/>
          <w:u w:val="none"/>
          <w:vertAlign w:val="baseline"/>
        </w:rPr>
        <w:t>(Tekinbaş et al., 2010)</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&amp; Kao, 2017)</w:t>
      </w:r>
      <w:r>
        <w:rPr/>
        <w:t xml:space="preserve">. The sustained popularity of retro games together with easy-to-use game making tools and code frameworks provides an entry point for game players into game making cultures which is reflected in the success of amateur games publishing websites like itch.io </w:t>
      </w:r>
      <w:r>
        <w:rPr/>
        <w:t>(Garda, 2014)</w:t>
      </w:r>
      <w:r>
        <w:rPr/>
        <w:t>.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United Kingdom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tabs>
          <w:tab w:val="clear" w:pos="709"/>
          <w:tab w:val="left" w:pos="0" w:leader="none"/>
        </w:tabs>
        <w:bidi w:val="0"/>
        <w:ind w:left="0" w:hanging="0"/>
        <w:jc w:val="left"/>
        <w:rPr/>
      </w:pPr>
      <w:bookmarkStart w:id="3" w:name="context"/>
      <w:r>
        <w:rPr/>
        <w:t>Context</w:t>
      </w:r>
      <w:bookmarkEnd w:id="3"/>
    </w:p>
    <w:p>
      <w:pPr>
        <w:pStyle w:val="Firstparagraph"/>
        <w:bidi w:val="0"/>
        <w:jc w:val="left"/>
        <w:rPr/>
      </w:pPr>
      <w:r>
        <w:rPr/>
        <w:t xml:space="preserve">The influential report “Next Gen: Transforming the UK into the world’s leading talent hub for the video games and visual effects industries” was focused on providing the UK games and animation industry with the talent needed to succeed </w:t>
      </w:r>
      <w:r>
        <w:rPr/>
        <w:t>(Livingstone &amp; Hope, 2011)</w:t>
      </w:r>
      <w:r>
        <w:rPr/>
        <w:t xml:space="preserve">. The top recommendations were to include computer science in core curriculum, introduce a new Computing GCSE (a general exam for 16 year olds before they progress to more specialised study) exam, offer bursaries for computing teachers and to implement well-supported use of games and visual animation in the school curriculum as a way to attract more young people to the subject. The After the Reboot report </w:t>
      </w:r>
      <w:r>
        <w:rPr/>
        <w:t>(Waite, 2017)</w:t>
      </w:r>
      <w:r>
        <w:rPr/>
        <w:t>,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It provides: learner choice in projects which increases motivation; authentic and shareable project outcomes to encourage peer feedback and reflection; iterative projects work supporting student mastery; and challenging goals and guidance in goal setting aiding self-regulation in learners.</w:t>
      </w:r>
    </w:p>
    <w:p>
      <w:pPr>
        <w:pStyle w:val="TextBody"/>
        <w:bidi w:val="0"/>
        <w:spacing w:before="86" w:after="86"/>
        <w:jc w:val="left"/>
        <w:rPr/>
      </w:pPr>
      <w:r>
        <w:rPr/>
        <w:t>A key grassroots group addressing issues of inclusion in UK computing is Computing at School Include which is a working group of teachers and researchers in the field.</w:t>
      </w:r>
      <w:r>
        <w:rPr>
          <w:rStyle w:val="FootnoteAnchor"/>
        </w:rPr>
        <w:footnoteReference w:id="2"/>
      </w:r>
      <w:r>
        <w:rPr/>
        <w:t xml:space="preserve"> The CAS Include website includes resources created by the network and they hold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09"/>
          <w:tab w:val="left" w:pos="0" w:leader="none"/>
        </w:tabs>
        <w:bidi w:val="0"/>
        <w:ind w:left="0" w:hanging="0"/>
        <w:jc w:val="left"/>
        <w:rPr/>
      </w:pPr>
      <w:bookmarkStart w:id="4" w:name="game-making-project-based-learning-and-i"/>
      <w:r>
        <w:rPr/>
        <w:t>Game Making, Project Based Learning and Inclusion</w:t>
      </w:r>
      <w:bookmarkEnd w:id="4"/>
    </w:p>
    <w:p>
      <w:pPr>
        <w:pStyle w:val="Firstparagraph"/>
        <w:bidi w:val="0"/>
        <w:jc w:val="left"/>
        <w:rPr/>
      </w:pPr>
      <w:r>
        <w:rPr/>
        <w:t xml:space="preserve">Contemporary understandings of inclusion go beyond SEND (special educational needs and disabilities) issues to include cultural exclusion which may include dimensions of race, gender or other cultural factors. Recent studies study the use of games and playful techniques to overcome exclusion from the culture of computing </w:t>
      </w:r>
      <w:r>
        <w:rPr/>
        <w:t>(Kafai et al., 2017; Kafai &amp; Burke, 2014)</w:t>
      </w:r>
      <w:r>
        <w:rPr/>
        <w:t>. If students feel excluded from school culture then making bridges to home cultures is vital. One way to make those connections to home cultures is to allow for more choice of what can be incorporated into computing projects. The benefits of game making as a form of project-based learning (PBL) also align with a teaching framework focused on inclusion called Universal Design for Learning (UDL)</w:t>
      </w:r>
      <w:r>
        <w:rPr/>
        <w:t>(Basham &amp; Marino, 2013)</w:t>
      </w:r>
      <w:r>
        <w:rPr/>
        <w:t>.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United States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bidi w:val="0"/>
        <w:spacing w:before="86" w:after="86"/>
        <w:jc w:val="left"/>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 and inclusive approaches to education is to make projects as authentic as possible to increase learner motivation </w:t>
      </w:r>
      <w:r>
        <w:rPr/>
        <w:t>(Barron &amp; Darling-Hammond, 2008)</w:t>
      </w:r>
      <w:r>
        <w:rPr/>
        <w:t>.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Indie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Entering online competitions or other creative competitions may also increase the perceived authenticity of game making activities.</w:t>
      </w:r>
    </w:p>
    <w:p>
      <w:pPr>
        <w:pStyle w:val="TextBody"/>
        <w:bidi w:val="0"/>
        <w:spacing w:before="86" w:after="86"/>
        <w:jc w:val="left"/>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09"/>
          <w:tab w:val="left" w:pos="0" w:leader="none"/>
        </w:tabs>
        <w:bidi w:val="0"/>
        <w:ind w:left="0" w:hanging="0"/>
        <w:jc w:val="left"/>
        <w:rPr/>
      </w:pPr>
      <w:bookmarkStart w:id="5" w:name="an-overview-of-game-coding-tools"/>
      <w:r>
        <w:rPr/>
        <w:t>An Overview of Game Coding Tools</w:t>
      </w:r>
      <w:bookmarkEnd w:id="5"/>
    </w:p>
    <w:p>
      <w:pPr>
        <w:pStyle w:val="Firstparagraph"/>
        <w:bidi w:val="0"/>
        <w:jc w:val="left"/>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Pr>
          <w:rStyle w:val="FootnoteAnchor"/>
        </w:rPr>
        <w:footnoteReference w:id="4"/>
      </w:r>
    </w:p>
    <w:p>
      <w:pPr>
        <w:pStyle w:val="TextBody"/>
        <w:bidi w:val="0"/>
        <w:spacing w:before="86" w:after="86"/>
        <w:jc w:val="left"/>
        <w:rPr/>
      </w:pPr>
      <w:r>
        <w:rPr>
          <w:b/>
          <w:bCs/>
        </w:rPr>
        <w:t>Phaser.js in a Code Playground:</w:t>
      </w:r>
      <w:r>
        <w:rPr/>
        <w:t xml:space="preserve"> Phaser is a javascript game making library. It is my own tool of choice when it comes to game-making using text code. To teach it I ask learners to code games in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also popular with UK educators. Using this kind of web playground is a particularly authentic choice of tool. Phaser is used by professional game makers and Glitch is the test bed of choice of many code developers. If learners do take to this way of working, they can easily progress to creating genuine Indie Games, dynamic websites and flexible web applications.</w:t>
      </w:r>
    </w:p>
    <w:p>
      <w:pPr>
        <w:pStyle w:val="FigureWithCaption"/>
        <w:keepNext w:val="true"/>
        <w:suppressLineNumbers/>
        <w:bidi w:val="0"/>
        <w:jc w:val="left"/>
        <w:rPr/>
      </w:pPr>
      <w:r>
        <w:rPr/>
        <w:drawing>
          <wp:inline distT="0" distB="0" distL="0" distR="0">
            <wp:extent cx="9963150" cy="413385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9963150" cy="4133850"/>
                    </a:xfrm>
                    <a:prstGeom prst="rect">
                      <a:avLst/>
                    </a:prstGeom>
                  </pic:spPr>
                </pic:pic>
              </a:graphicData>
            </a:graphic>
          </wp:inline>
        </w:drawing>
      </w:r>
    </w:p>
    <w:p>
      <w:pPr>
        <w:pStyle w:val="FigureCaption"/>
        <w:bidi w:val="0"/>
        <w:jc w:val="left"/>
        <w:rPr/>
      </w:pPr>
      <w:r>
        <w:rPr/>
        <w:t>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easy-to-use timeline of your project.</w:t>
      </w:r>
    </w:p>
    <w:p>
      <w:pPr>
        <w:pStyle w:val="TextBody"/>
        <w:bidi w:val="0"/>
        <w:spacing w:before="86" w:after="86"/>
        <w:jc w:val="left"/>
        <w:rPr/>
      </w:pPr>
      <w:r>
        <w:rPr>
          <w:b/>
          <w:bCs/>
        </w:rPr>
        <w:t>MakeCode Arcade - specialised block-based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and the games can be downloaded to handheld devices.</w:t>
      </w:r>
    </w:p>
    <w:p>
      <w:pPr>
        <w:pStyle w:val="FigureWithCaption"/>
        <w:keepNext w:val="true"/>
        <w:suppressLineNumbers/>
        <w:bidi w:val="0"/>
        <w:jc w:val="left"/>
        <w:rPr/>
      </w:pPr>
      <w:r>
        <w:rPr/>
        <w:drawing>
          <wp:inline distT="0" distB="0" distL="0" distR="0">
            <wp:extent cx="9943465" cy="510984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9943465" cy="5109845"/>
                    </a:xfrm>
                    <a:prstGeom prst="rect">
                      <a:avLst/>
                    </a:prstGeom>
                  </pic:spPr>
                </pic:pic>
              </a:graphicData>
            </a:graphic>
          </wp:inline>
        </w:drawing>
      </w:r>
    </w:p>
    <w:p>
      <w:pPr>
        <w:pStyle w:val="FigureCaption"/>
        <w:bidi w:val="0"/>
        <w:jc w:val="left"/>
        <w:rPr/>
      </w:pPr>
      <w:r>
        <w:rPr/>
        <w:t>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are some engaging, diverse and comprehensive example games and tutorials at the project website.</w:t>
      </w:r>
      <w:r>
        <w:rPr>
          <w:rStyle w:val="FootnoteAnchor"/>
        </w:rPr>
        <w:footnoteReference w:id="5"/>
      </w:r>
    </w:p>
    <w:p>
      <w:pPr>
        <w:pStyle w:val="Heading2"/>
        <w:tabs>
          <w:tab w:val="clear" w:pos="709"/>
          <w:tab w:val="left" w:pos="0" w:leader="none"/>
        </w:tabs>
        <w:bidi w:val="0"/>
        <w:ind w:left="0" w:hanging="0"/>
        <w:jc w:val="left"/>
        <w:rPr/>
      </w:pPr>
      <w:bookmarkStart w:id="6" w:name="research-vignette---evolution-of-design"/>
      <w:r>
        <w:rPr/>
        <w:t>Research Vignette - Evolution of Design</w:t>
      </w:r>
      <w:bookmarkEnd w:id="6"/>
    </w:p>
    <w:p>
      <w:pPr>
        <w:pStyle w:val="Firstparagraph"/>
        <w:bidi w:val="0"/>
        <w:jc w:val="left"/>
        <w:rPr/>
      </w:pPr>
      <w:r>
        <w:rPr/>
        <w:t xml:space="preserve">My own research is an experimental approach to create a pedagogy which supports a community learning approach to game making. I have worked with young learners, local families, and undergraduate student helpers to evolve this game making design. A key driver of my research was to explore the potential to draw on family experience in learning activities by working with family members to jointly-design games. I propose that this environment is a fertile research base to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&amp; Reeves, 2021)</w:t>
      </w:r>
      <w:r>
        <w:rPr/>
        <w:t xml:space="preserve">. The core elements include: research as an intervention, iteration, involvement of participants in the evolution of designs, and a flexibility of research outcome based on how events unfold </w:t>
      </w:r>
      <w:r>
        <w:rPr/>
        <w:t>(Easterday et al., 2014)</w:t>
      </w:r>
      <w:r>
        <w:rPr/>
        <w:t xml:space="preserve">. One of the key motivations of this approach is to produce educational research that has a high utility for practitioners through developing theory that is rooted in contextual practice and which can produce new pedagogies and resources </w:t>
      </w:r>
      <w:r>
        <w:rPr/>
        <w:t>(Cobb et al., 2003)</w:t>
      </w:r>
      <w:r>
        <w:rPr/>
        <w:t>.</w:t>
      </w:r>
    </w:p>
    <w:p>
      <w:pPr>
        <w:pStyle w:val="TextBody"/>
        <w:bidi w:val="0"/>
        <w:spacing w:before="86" w:after="86"/>
        <w:jc w:val="left"/>
        <w:rPr/>
      </w:pPr>
      <w:r>
        <w:rPr/>
        <w:t xml:space="preserve">Barab and Squire </w:t>
      </w:r>
      <w:r>
        <w:rPr/>
        <w:t>(2004)</w:t>
      </w:r>
      <w:r>
        <w:rPr/>
        <w:t xml:space="preserve"> describe the messiness of design-based research and how this creates a challenge to the researcher of how to present results in a coherent way which is of use to other practitioners. There is a tension between sticking closely to the context and specifics of the research and a more general, abstracted view. Here, I try to strike a balance, which stays concrete, but which also pulls from my observations a framework which can apply to other game making and creative project based approaches. Another guiding principle of design-based research - which is present in the techniques of design experiments, mutual appropriation and participatory action research - is that research participants also influence the ongoing design of the research </w:t>
      </w:r>
      <w:r>
        <w:rPr/>
        <w:t>(Barab et al., 2004; Cobb et al., 2003; Downing-Wilson et al., 2011)</w:t>
      </w:r>
      <w:r>
        <w:rPr/>
        <w:t>. The design of my research experiment started from a very open position and evolved from several iterations of collaborative work with participants.</w:t>
      </w:r>
    </w:p>
    <w:p>
      <w:pPr>
        <w:pStyle w:val="TextBody"/>
        <w:bidi w:val="0"/>
        <w:spacing w:before="86" w:after="86"/>
        <w:jc w:val="left"/>
        <w:rPr/>
      </w:pPr>
      <w:r>
        <w:rPr/>
        <w:t>One experimental team consisted of Home Educating families. A second programme involved local primary school children in Year 6 (10-11 year old) classes. Given space constraints, in this chapter I focus on the pedagogical results rather than the observational data that has guided them. However, I include a short summary of data collection methods here. I have drawn on multiple methods including: ethnographic journaling as a participant observer; participant interviews; and analysis of artefacts used and created. I have also undertaken analysis of participant actions via the videoing of the workshop area with a 360-degree video camera and capture of screen data and audio of the laptops used by participants. While the rich set of data has allowed the cross referencing of the many sources, it also presented a challenge of how to deal effectively with the large amounts of data being gathered. The use of a 360 camera reduced the amount of live video footage of interactions needed. Instead of multiple cameras pointed in different directions to capture participant interaction, participants were arranged in a square pointing inwards towards a central 360-degree camera. When triangulating data from various sources, I prioritised critical moments in depth which illuminated key themes. 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in pair work significant confusion and disputes regarding setting short-term project goals and frustration over lost work and time. As a response, I introduced a variety of tools and processes to aid the self-motivation and navigation of learners. Other examples of tensions included: difficulties in getting games ready for play-testing due to being lost in the detail of coding; an ability gap between features that participants wanted to add to the game and their technical abilities; the difficulty of supporting learners’ different approaches to coding; and a lack of reflection on progress and appreciation of the complex learning dimensions involved in game making.</w:t>
      </w:r>
    </w:p>
    <w:p>
      <w:pPr>
        <w:pStyle w:val="TextBody"/>
        <w:bidi w:val="0"/>
        <w:spacing w:before="86" w:after="86"/>
        <w:jc w:val="left"/>
        <w:rPr/>
      </w:pPr>
      <w:r>
        <w:rPr/>
        <w:t>When analysing journal notes I drew on observations of strategies and responses that participants and facilitators used to resolve tensions. If effective, I would attempt to incorporate them into future teaching resources. For example, I noticed that many participants would deviate from accepted game making practice and try to create impossible or prank-filled games. This desire from participants to cause frustration in game play sometimes had a productive impact on their level of engagement and the complexity of the game design the coding structures they created. Responses to recognise and encourage this behaviour are outlined below. At the end of the game making programs, I analysed journal notes and the changes to teaching resources to collate and code the responses to tensions to find common themes. I synthesised and refined the presentation of the responses using these themes as a way to help both learners and other facilitators to navigate and address similar issues when game making. The final part of this chapter gives an overview of the learning design that has emerged from this participatory design-based approach.</w:t>
      </w:r>
    </w:p>
    <w:p>
      <w:pPr>
        <w:pStyle w:val="Heading2"/>
        <w:tabs>
          <w:tab w:val="clear" w:pos="709"/>
          <w:tab w:val="left" w:pos="0" w:leader="none"/>
        </w:tabs>
        <w:bidi w:val="0"/>
        <w:ind w:left="0" w:hanging="0"/>
        <w:jc w:val="left"/>
        <w:rPr/>
      </w:pPr>
      <w:bookmarkStart w:id="7" w:name="overview-of-the-3m-game-making-learning-"/>
      <w:r>
        <w:rPr/>
        <w:t>Overview of The 3M Game Making Learning Design</w:t>
      </w:r>
      <w:bookmarkEnd w:id="7"/>
    </w:p>
    <w:p>
      <w:pPr>
        <w:pStyle w:val="Firstparagraph"/>
        <w:bidi w:val="0"/>
        <w:jc w:val="left"/>
        <w:rPr/>
      </w:pPr>
      <w:r>
        <w:rPr/>
        <w:t>The result of this analysis and responses is the 3M model which is designed to be of use to both teachers and learners. The section outlines the main features of the 3M model</w:t>
      </w:r>
      <w:r>
        <w:rPr>
          <w:rStyle w:val="FootnoteAnchor"/>
        </w:rPr>
        <w:footnoteReference w:id="6"/>
      </w:r>
      <w:r>
        <w:rPr/>
        <w:t xml:space="preserve">, namely </w:t>
      </w:r>
      <w:r>
        <w:rPr>
          <w:i/>
          <w:iCs/>
        </w:rPr>
        <w:t>missions, maps and motivational methods</w:t>
      </w:r>
      <w:r>
        <w:rPr/>
        <w:t>.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MakeCode Arcade</w:t>
      </w:r>
      <w:r>
        <w:rPr>
          <w:rStyle w:val="FootnoteAnchor"/>
        </w:rPr>
        <w:footnoteReference w:id="7"/>
      </w:r>
      <w:r>
        <w:rPr/>
        <w:t xml:space="preserve"> and Phaser</w:t>
      </w:r>
      <w:r>
        <w:rPr>
          <w:rStyle w:val="FootnoteAnchor"/>
        </w:rPr>
        <w:footnoteReference w:id="8"/>
      </w:r>
      <w:r>
        <w:rPr/>
        <w:t xml:space="preserve"> are free and open source and available online. I invite other educators to adopt the 3M approach and share resources for Scratch, Pygame, p5.play and other suitable platforms. In the course of game making some elements of the 3M model are more visible to participants than others. The 3M model is presented below in order of this visibility. Missions are used regularly by learners, maps are used more occasionally as a reflective tool, and methods are used by primarily by facilitators in planning session activities.</w:t>
      </w:r>
    </w:p>
    <w:p>
      <w:pPr>
        <w:pStyle w:val="Heading3"/>
        <w:tabs>
          <w:tab w:val="clear" w:pos="709"/>
          <w:tab w:val="left" w:pos="0" w:leader="none"/>
        </w:tabs>
        <w:bidi w:val="0"/>
        <w:ind w:left="0" w:hanging="0"/>
        <w:jc w:val="left"/>
        <w:rPr/>
      </w:pPr>
      <w:bookmarkStart w:id="8" w:name="missions"/>
      <w:r>
        <w:rPr/>
        <w:t>Missions</w:t>
      </w:r>
      <w:bookmarkEnd w:id="8"/>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and proposed an initial typology of gamers as socialiser, griefers, achievers and explorers </w:t>
      </w:r>
      <w:r>
        <w:rPr/>
        <w:t>(Hamari &amp; Tuunanen, 2014)</w:t>
      </w:r>
      <w:r>
        <w:rPr/>
        <w:t>. You can find out what kind of game player you are with an online test.</w:t>
      </w:r>
      <w:r>
        <w:rPr>
          <w:rStyle w:val="FootnoteAnchor"/>
        </w:rPr>
        <w:footnoteReference w:id="9"/>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10"/>
      </w:r>
      <w:r>
        <w:rPr/>
        <w:t xml:space="preserve"> I avoid any claims of fixed learner types here and offer these interpretations primarily as a way to encourage meta-cognitive reflections and choice of activity in line with UDL principles.</w:t>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2"/>
        </w:numPr>
        <w:bidi w:val="0"/>
        <w:jc w:val="left"/>
        <w:rPr/>
      </w:pPr>
      <w:r>
        <w:rPr>
          <w:b/>
          <w:bCs/>
        </w:rPr>
        <w:t>Coding Concepts involved:</w:t>
      </w:r>
      <w:r>
        <w:rPr/>
        <w:t xml:space="preserve"> Arrays</w:t>
      </w:r>
      <w:r>
        <w:rPr>
          <w:rStyle w:val="FootnoteAnchor"/>
        </w:rPr>
        <w:footnoteReference w:id="11"/>
      </w:r>
      <w:r>
        <w:rPr/>
        <w:t>, Change Listener</w:t>
      </w:r>
      <w:r>
        <w:rPr>
          <w:rStyle w:val="FootnoteAnchor"/>
        </w:rPr>
        <w:footnoteReference w:id="12"/>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3"/>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TextBody"/>
        <w:bidi w:val="0"/>
        <w:spacing w:before="86" w:after="86"/>
        <w:jc w:val="left"/>
        <w:rPr/>
      </w:pPr>
      <w:r>
        <w:rPr/>
      </w:r>
    </w:p>
    <w:p>
      <w:pPr>
        <w:pStyle w:val="Heading3"/>
        <w:tabs>
          <w:tab w:val="clear" w:pos="709"/>
          <w:tab w:val="left" w:pos="0" w:leader="none"/>
        </w:tabs>
        <w:bidi w:val="0"/>
        <w:ind w:left="0" w:hanging="0"/>
        <w:jc w:val="left"/>
        <w:rPr/>
      </w:pPr>
      <w:bookmarkStart w:id="9" w:name="maps"/>
      <w:r>
        <w:rPr/>
        <w:t>Maps</w:t>
      </w:r>
      <w:bookmarkEnd w:id="9"/>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tabs>
          <w:tab w:val="clear" w:pos="709"/>
          <w:tab w:val="left" w:pos="0" w:leader="none"/>
        </w:tabs>
        <w:bidi w:val="0"/>
        <w:ind w:left="0" w:hanging="0"/>
        <w:jc w:val="left"/>
        <w:rPr/>
      </w:pPr>
      <w:bookmarkStart w:id="10" w:name="motivational-methods"/>
      <w:r>
        <w:rPr/>
        <w:t>Motivational Methods</w:t>
      </w:r>
      <w:bookmarkEnd w:id="10"/>
    </w:p>
    <w:p>
      <w:pPr>
        <w:pStyle w:val="Firstparagraph"/>
        <w:bidi w:val="0"/>
        <w:jc w:val="left"/>
        <w:rPr/>
      </w:pPr>
      <w:r>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Metropolitan University to develop such fictional dramas, but you do not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09"/>
          <w:tab w:val="left" w:pos="0" w:leader="none"/>
        </w:tabs>
        <w:bidi w:val="0"/>
        <w:ind w:left="0" w:hanging="0"/>
        <w:jc w:val="left"/>
        <w:rPr/>
      </w:pPr>
      <w:bookmarkStart w:id="11" w:name="summary-of-3m-game-making-model-and-supp"/>
      <w:r>
        <w:rPr/>
        <w:t>Summary of 3M Game Making Model and Supporting Resources</w:t>
      </w:r>
      <w:bookmarkEnd w:id="11"/>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FigureWithCaption"/>
        <w:keepNext w:val="true"/>
        <w:suppressLineNumbers/>
        <w:bidi w:val="0"/>
        <w:jc w:val="left"/>
        <w:rPr/>
      </w:pPr>
      <w:r>
        <w:rPr/>
        <w:drawing>
          <wp:inline distT="0" distB="0" distL="0" distR="0">
            <wp:extent cx="14846300" cy="125349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4846300" cy="12534900"/>
                    </a:xfrm>
                    <a:prstGeom prst="rect">
                      <a:avLst/>
                    </a:prstGeom>
                  </pic:spPr>
                </pic:pic>
              </a:graphicData>
            </a:graphic>
          </wp:inline>
        </w:drawing>
      </w:r>
    </w:p>
    <w:p>
      <w:pPr>
        <w:pStyle w:val="FigureCaption"/>
        <w:bidi w:val="0"/>
        <w:jc w:val="left"/>
        <w:rPr/>
      </w:pPr>
      <w:r>
        <w:rPr/>
        <w:t>Figure 1.3. Synthesising diagram of 3M Game Making Model</w:t>
      </w:r>
    </w:p>
    <w:tbl>
      <w:tblPr>
        <w:tblW w:w="5000" w:type="pct"/>
        <w:jc w:val="left"/>
        <w:tblInd w:w="0" w:type="dxa"/>
        <w:tblLayout w:type="fixed"/>
        <w:tblCellMar>
          <w:top w:w="0" w:type="dxa"/>
          <w:left w:w="0" w:type="dxa"/>
          <w:bottom w:w="0" w:type="dxa"/>
          <w:right w:w="0" w:type="dxa"/>
        </w:tblCellMar>
      </w:tblPr>
      <w:tblGrid>
        <w:gridCol w:w="3839"/>
        <w:gridCol w:w="2640"/>
        <w:gridCol w:w="2881"/>
      </w:tblGrid>
      <w:tr>
        <w:trPr>
          <w:tblHeader w:val="true"/>
        </w:trPr>
        <w:tc>
          <w:tcPr>
            <w:tcW w:w="3839" w:type="dxa"/>
            <w:tcBorders/>
          </w:tcPr>
          <w:p>
            <w:pPr>
              <w:pStyle w:val="TableHeading"/>
              <w:bidi w:val="0"/>
              <w:jc w:val="left"/>
              <w:rPr>
                <w:b/>
                <w:b/>
                <w:bCs/>
              </w:rPr>
            </w:pPr>
            <w:r>
              <w:rPr>
                <w:b/>
                <w:bCs/>
              </w:rPr>
              <w:t>Missions</w:t>
            </w:r>
          </w:p>
        </w:tc>
        <w:tc>
          <w:tcPr>
            <w:tcW w:w="2640" w:type="dxa"/>
            <w:tcBorders/>
          </w:tcPr>
          <w:p>
            <w:pPr>
              <w:pStyle w:val="TableHeading"/>
              <w:bidi w:val="0"/>
              <w:jc w:val="left"/>
              <w:rPr>
                <w:b/>
                <w:b/>
                <w:bCs/>
              </w:rPr>
            </w:pPr>
            <w:r>
              <w:rPr>
                <w:b/>
                <w:bCs/>
              </w:rPr>
              <w:t>Maps</w:t>
            </w:r>
          </w:p>
        </w:tc>
        <w:tc>
          <w:tcPr>
            <w:tcW w:w="2881" w:type="dxa"/>
            <w:tcBorders/>
          </w:tcPr>
          <w:p>
            <w:pPr>
              <w:pStyle w:val="TableHeading"/>
              <w:bidi w:val="0"/>
              <w:jc w:val="left"/>
              <w:rPr>
                <w:b/>
                <w:b/>
                <w:bCs/>
              </w:rPr>
            </w:pPr>
            <w:r>
              <w:rPr>
                <w:b/>
                <w:bCs/>
              </w:rPr>
              <w:t>Methods</w:t>
            </w:r>
          </w:p>
        </w:tc>
      </w:tr>
      <w:tr>
        <w:trPr/>
        <w:tc>
          <w:tcPr>
            <w:tcW w:w="3839" w:type="dxa"/>
            <w:tcBorders/>
          </w:tcPr>
          <w:p>
            <w:pPr>
              <w:pStyle w:val="TableContents"/>
              <w:suppressLineNumbers/>
              <w:bidi w:val="0"/>
              <w:ind w:left="43" w:right="43" w:hanging="0"/>
              <w:jc w:val="left"/>
              <w:rPr/>
            </w:pPr>
            <w:r>
              <w:rPr/>
              <w:t>Simple code changes yield quick feedback</w:t>
            </w:r>
          </w:p>
        </w:tc>
        <w:tc>
          <w:tcPr>
            <w:tcW w:w="2640" w:type="dxa"/>
            <w:tcBorders/>
          </w:tcPr>
          <w:p>
            <w:pPr>
              <w:pStyle w:val="TableContents"/>
              <w:suppressLineNumbers/>
              <w:bidi w:val="0"/>
              <w:ind w:left="43" w:right="43" w:hanging="0"/>
              <w:jc w:val="left"/>
              <w:rPr/>
            </w:pPr>
            <w:r>
              <w:rPr/>
              <w:t>A map of learning dimensions flexibly linked to main missions/patterns can be used by both learners and facilitators</w:t>
            </w:r>
          </w:p>
        </w:tc>
        <w:tc>
          <w:tcPr>
            <w:tcW w:w="2881" w:type="dxa"/>
            <w:tcBorders/>
          </w:tcPr>
          <w:p>
            <w:pPr>
              <w:pStyle w:val="TableContents"/>
              <w:suppressLineNumbers/>
              <w:bidi w:val="0"/>
              <w:ind w:left="43" w:right="43" w:hanging="0"/>
              <w:jc w:val="left"/>
              <w:rPr/>
            </w:pPr>
            <w:r>
              <w:rPr/>
              <w:t>Play Testing in each session aids short term motivation. Showcase events help longer-term motivation and aid project prioritisation</w:t>
            </w:r>
          </w:p>
        </w:tc>
      </w:tr>
      <w:tr>
        <w:trPr/>
        <w:tc>
          <w:tcPr>
            <w:tcW w:w="3839" w:type="dxa"/>
            <w:tcBorders/>
          </w:tcPr>
          <w:p>
            <w:pPr>
              <w:pStyle w:val="TableContents"/>
              <w:suppressLineNumbers/>
              <w:bidi w:val="0"/>
              <w:ind w:left="43" w:right="43" w:hanging="0"/>
              <w:jc w:val="left"/>
              <w:rPr/>
            </w:pPr>
            <w:r>
              <w:rPr/>
              <w:t>Free choice of Patterns increases learner engagement and ownership</w:t>
            </w:r>
          </w:p>
        </w:tc>
        <w:tc>
          <w:tcPr>
            <w:tcW w:w="2640" w:type="dxa"/>
            <w:tcBorders/>
          </w:tcPr>
          <w:p>
            <w:pPr>
              <w:pStyle w:val="TableContents"/>
              <w:suppressLineNumbers/>
              <w:bidi w:val="0"/>
              <w:ind w:left="43" w:right="43" w:hanging="0"/>
              <w:jc w:val="left"/>
              <w:rPr/>
            </w:pPr>
            <w:r>
              <w:rPr/>
              <w:t>Tracing the learner pathway on an attractive physical map in the learning space can help integrate navigation and reflection into the creative process</w:t>
            </w:r>
          </w:p>
        </w:tc>
        <w:tc>
          <w:tcPr>
            <w:tcW w:w="2881" w:type="dxa"/>
            <w:tcBorders/>
          </w:tcPr>
          <w:p>
            <w:pPr>
              <w:pStyle w:val="TableContents"/>
              <w:suppressLineNumbers/>
              <w:bidi w:val="0"/>
              <w:ind w:left="43" w:right="43" w:hanging="0"/>
              <w:jc w:val="left"/>
              <w:rPr/>
            </w:pPr>
            <w:r>
              <w:rPr/>
              <w:t>Drama and fictional scenarios can help explore issues and reduce learner anxiety though coding in a role</w:t>
            </w:r>
          </w:p>
        </w:tc>
      </w:tr>
      <w:tr>
        <w:trPr/>
        <w:tc>
          <w:tcPr>
            <w:tcW w:w="3839" w:type="dxa"/>
            <w:tcBorders/>
          </w:tcPr>
          <w:p>
            <w:pPr>
              <w:pStyle w:val="TableContents"/>
              <w:suppressLineNumbers/>
              <w:bidi w:val="0"/>
              <w:ind w:left="43" w:right="43" w:hanging="0"/>
              <w:jc w:val="left"/>
              <w:rPr/>
            </w:pPr>
            <w:r>
              <w:rPr/>
              <w:t>Restrict Game Type and number of Patterns to reduce Facilitator stress</w:t>
            </w:r>
          </w:p>
        </w:tc>
        <w:tc>
          <w:tcPr>
            <w:tcW w:w="2640" w:type="dxa"/>
            <w:tcBorders/>
          </w:tcPr>
          <w:p>
            <w:pPr>
              <w:pStyle w:val="Normal"/>
              <w:bidi w:val="0"/>
              <w:jc w:val="left"/>
              <w:rPr/>
            </w:pPr>
            <w:r>
              <w:rPr/>
            </w:r>
          </w:p>
        </w:tc>
        <w:tc>
          <w:tcPr>
            <w:tcW w:w="2881" w:type="dxa"/>
            <w:tcBorders/>
          </w:tcPr>
          <w:p>
            <w:pPr>
              <w:pStyle w:val="TableContents"/>
              <w:suppressLineNumbers/>
              <w:bidi w:val="0"/>
              <w:ind w:left="43" w:right="43" w:hanging="0"/>
              <w:jc w:val="left"/>
              <w:rPr/>
            </w:pPr>
            <w:r>
              <w:rPr/>
              <w:t>Adding electronics to control the game via arcade buttons and cabinets increases engagement and perceptions of project authenticity</w:t>
            </w:r>
          </w:p>
        </w:tc>
      </w:tr>
      <w:tr>
        <w:trPr/>
        <w:tc>
          <w:tcPr>
            <w:tcW w:w="3839" w:type="dxa"/>
            <w:tcBorders/>
          </w:tcPr>
          <w:p>
            <w:pPr>
              <w:pStyle w:val="TableContents"/>
              <w:suppressLineNumbers/>
              <w:bidi w:val="0"/>
              <w:ind w:left="43" w:right="43" w:hanging="0"/>
              <w:jc w:val="left"/>
              <w:rPr/>
            </w:pPr>
            <w:r>
              <w:rPr/>
              <w:t>Limit complexity of patterns. Some are simple but cause a large change in the game</w:t>
            </w:r>
          </w:p>
        </w:tc>
        <w:tc>
          <w:tcPr>
            <w:tcW w:w="2640" w:type="dxa"/>
            <w:tcBorders/>
          </w:tcPr>
          <w:p>
            <w:pPr>
              <w:pStyle w:val="Normal"/>
              <w:bidi w:val="0"/>
              <w:jc w:val="left"/>
              <w:rPr/>
            </w:pPr>
            <w:r>
              <w:rPr/>
            </w:r>
          </w:p>
        </w:tc>
        <w:tc>
          <w:tcPr>
            <w:tcW w:w="2881" w:type="dxa"/>
            <w:tcBorders/>
          </w:tcPr>
          <w:p>
            <w:pPr>
              <w:pStyle w:val="Normal"/>
              <w:bidi w:val="0"/>
              <w:jc w:val="left"/>
              <w:rPr/>
            </w:pPr>
            <w:r>
              <w:rPr/>
            </w:r>
          </w:p>
        </w:tc>
      </w:tr>
      <w:tr>
        <w:trPr/>
        <w:tc>
          <w:tcPr>
            <w:tcW w:w="3839" w:type="dxa"/>
            <w:tcBorders/>
          </w:tcPr>
          <w:p>
            <w:pPr>
              <w:pStyle w:val="TableContents"/>
              <w:suppressLineNumbers/>
              <w:bidi w:val="0"/>
              <w:ind w:left="43" w:right="43" w:hanging="0"/>
              <w:jc w:val="left"/>
              <w:rPr/>
            </w:pPr>
            <w:r>
              <w:rPr/>
              <w:t>Side missions which explore and celebrate different ‘maker types’ (from Bartle’s player types)</w:t>
            </w:r>
          </w:p>
        </w:tc>
        <w:tc>
          <w:tcPr>
            <w:tcW w:w="2640" w:type="dxa"/>
            <w:tcBorders/>
          </w:tcPr>
          <w:p>
            <w:pPr>
              <w:pStyle w:val="Normal"/>
              <w:bidi w:val="0"/>
              <w:jc w:val="left"/>
              <w:rPr/>
            </w:pPr>
            <w:r>
              <w:rPr/>
            </w:r>
          </w:p>
        </w:tc>
        <w:tc>
          <w:tcPr>
            <w:tcW w:w="2881" w:type="dxa"/>
            <w:tcBorders/>
          </w:tcPr>
          <w:p>
            <w:pPr>
              <w:pStyle w:val="Normal"/>
              <w:bidi w:val="0"/>
              <w:jc w:val="left"/>
              <w:rPr/>
            </w:pPr>
            <w:r>
              <w:rPr/>
            </w:r>
          </w:p>
        </w:tc>
      </w:tr>
    </w:tbl>
    <w:p>
      <w:pPr>
        <w:pStyle w:val="Firstparagraph"/>
        <w:bidi w:val="0"/>
        <w:jc w:val="left"/>
        <w:rPr/>
      </w:pPr>
      <w:r>
        <w:rPr/>
        <w:t>Table 1.2. Key Features of 3M Game Making Model</w:t>
      </w:r>
    </w:p>
    <w:p>
      <w:pPr>
        <w:pStyle w:val="Heading3"/>
        <w:tabs>
          <w:tab w:val="clear" w:pos="709"/>
          <w:tab w:val="left" w:pos="0" w:leader="none"/>
        </w:tabs>
        <w:bidi w:val="0"/>
        <w:ind w:left="0" w:hanging="0"/>
        <w:jc w:val="left"/>
        <w:rPr/>
      </w:pPr>
      <w:bookmarkStart w:id="12" w:name="supporting-resource-1-phaser-and-glitch."/>
      <w:r>
        <w:rPr/>
        <w:t>Supporting Resource 1: Phaser and Glitch.com</w:t>
      </w:r>
      <w:bookmarkEnd w:id="12"/>
    </w:p>
    <w:p>
      <w:pPr>
        <w:pStyle w:val="Firstparagraph"/>
        <w:bidi w:val="0"/>
        <w:jc w:val="left"/>
        <w:rPr/>
      </w:pPr>
      <w:r>
        <w:rPr/>
        <w:t>The following resources exist for text-based coding using the Phaser javascript framework. While other programming environments can be used, these resources are based on learners using the glitch.com code playground website.</w:t>
      </w:r>
    </w:p>
    <w:p>
      <w:pPr>
        <w:pStyle w:val="TextBody"/>
        <w:numPr>
          <w:ilvl w:val="0"/>
          <w:numId w:val="4"/>
        </w:numPr>
        <w:bidi w:val="0"/>
        <w:spacing w:before="0" w:after="0"/>
        <w:jc w:val="left"/>
        <w:rPr/>
      </w:pPr>
      <w:r>
        <w:rPr/>
        <w:t>A splash page for Phaser / Glitch.com resources. This contains links to print outs, tutorials and activities - https://glitch-game-makers-manual.glitch.me/</w:t>
      </w:r>
    </w:p>
    <w:p>
      <w:pPr>
        <w:pStyle w:val="TextBody"/>
        <w:numPr>
          <w:ilvl w:val="0"/>
          <w:numId w:val="4"/>
        </w:numPr>
        <w:bidi w:val="0"/>
        <w:spacing w:before="0" w:after="0"/>
        <w:jc w:val="left"/>
        <w:rPr/>
      </w:pPr>
      <w:r>
        <w:rPr/>
        <w:t>An interactive starting template and grid of game design patterns that learners can add to the incomplete template - https://ggc-examples.glitch.me/</w:t>
      </w:r>
    </w:p>
    <w:p>
      <w:pPr>
        <w:pStyle w:val="Heading3"/>
        <w:tabs>
          <w:tab w:val="clear" w:pos="709"/>
          <w:tab w:val="left" w:pos="0" w:leader="none"/>
        </w:tabs>
        <w:bidi w:val="0"/>
        <w:ind w:left="0" w:hanging="0"/>
        <w:jc w:val="left"/>
        <w:rPr/>
      </w:pPr>
      <w:bookmarkStart w:id="13" w:name="supporting-resource-2-3m-makecode-arcade"/>
      <w:r>
        <w:rPr/>
        <w:t>Supporting Resource 2: 3M &amp; MakeCode Arcade</w:t>
      </w:r>
      <w:bookmarkEnd w:id="13"/>
    </w:p>
    <w:p>
      <w:pPr>
        <w:pStyle w:val="Firstparagraph"/>
        <w:bidi w:val="0"/>
        <w:jc w:val="left"/>
        <w:rPr/>
      </w:pPr>
      <w:r>
        <w:rPr/>
        <w:t>The application of the 3M model applied using the MakeCode Arcade software is available online as part of a collaborative online documentation repository. The resource includes a template of a broken game to fix, printable cards offering quick changes to core design patterns, printable documents which describe game design patterns and steps of how to implement them, a map of learning dimensions that learners are likely to encounter when making games, and an adaptable five-week course of activities. All of these resources are available at https://mickfuzz.github.io/makecode-platformer-101</w:t>
      </w:r>
    </w:p>
    <w:p>
      <w:pPr>
        <w:pStyle w:val="Heading3"/>
        <w:tabs>
          <w:tab w:val="clear" w:pos="709"/>
          <w:tab w:val="left" w:pos="0" w:leader="none"/>
        </w:tabs>
        <w:bidi w:val="0"/>
        <w:ind w:left="0" w:hanging="0"/>
        <w:jc w:val="left"/>
        <w:rPr/>
      </w:pPr>
      <w:bookmarkStart w:id="14" w:name="supporting-resource-3-other-makecode-arc"/>
      <w:r>
        <w:rPr/>
        <w:t>Supporting Resource 3: Other MakeCode Arcade Tutorials</w:t>
      </w:r>
      <w:bookmarkEnd w:id="14"/>
    </w:p>
    <w:p>
      <w:pPr>
        <w:pStyle w:val="Firstparagraph"/>
        <w:bidi w:val="0"/>
        <w:jc w:val="left"/>
        <w:rPr/>
      </w:pPr>
      <w:r>
        <w:rPr/>
        <w:t>While the above iteration of the 3M Model applies to a Platformer Game, many other genres of games can be made using the MakeCode Arcade software. Many resources and tutorials are available at https://arcade.makecode.com/</w:t>
      </w:r>
    </w:p>
    <w:p>
      <w:pPr>
        <w:pStyle w:val="Heading2"/>
        <w:tabs>
          <w:tab w:val="clear" w:pos="709"/>
          <w:tab w:val="left" w:pos="0" w:leader="none"/>
        </w:tabs>
        <w:bidi w:val="0"/>
        <w:ind w:left="0" w:hanging="0"/>
        <w:jc w:val="left"/>
        <w:rPr/>
      </w:pPr>
      <w:bookmarkStart w:id="15" w:name="conclusion"/>
      <w:r>
        <w:rPr/>
        <w:t>Conclusion</w:t>
      </w:r>
      <w:bookmarkEnd w:id="15"/>
    </w:p>
    <w:p>
      <w:pPr>
        <w:pStyle w:val="Firstparagraph"/>
        <w:bidi w:val="0"/>
        <w:jc w:val="left"/>
        <w:rPr/>
      </w:pPr>
      <w:r>
        <w:rPr/>
        <w:t>In this chapter I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p>
    <w:p>
      <w:pPr>
        <w:sectPr>
          <w:footerReference w:type="default" r:id="rId5"/>
          <w:footnotePr>
            <w:numFmt w:val="decimal"/>
          </w:footnotePr>
          <w:type w:val="nextPage"/>
          <w:pgSz w:w="12240" w:h="15840"/>
          <w:pgMar w:left="1440" w:right="1440" w:gutter="0" w:header="0" w:top="1440" w:footer="1440" w:bottom="2016"/>
          <w:pgNumType w:fmt="decimal"/>
          <w:formProt w:val="false"/>
          <w:textDirection w:val="lrTb"/>
          <w:docGrid w:type="default" w:linePitch="312" w:charSpace="4294961151"/>
        </w:sectPr>
      </w:pPr>
    </w:p>
    <w:p>
      <w:pPr>
        <w:pStyle w:val="Bibliography1"/>
        <w:bidi w:val="0"/>
        <w:spacing w:lineRule="atLeast" w:line="480" w:before="0" w:after="0"/>
        <w:ind w:left="720" w:hanging="720"/>
        <w:jc w:val="left"/>
        <w:rPr/>
      </w:pPr>
      <w:r>
        <w:rPr/>
        <w:t xml:space="preserve">Barab, S., &amp; Squire, K. (2004). Design-based research: Putting a stake in the ground. </w:t>
      </w:r>
      <w:r>
        <w:rPr>
          <w:i/>
        </w:rPr>
        <w:t>Journal of the Learning Sciences</w:t>
      </w:r>
      <w:r>
        <w:rPr/>
        <w:t xml:space="preserve">, </w:t>
      </w:r>
      <w:r>
        <w:rPr>
          <w:i/>
        </w:rPr>
        <w:t>13</w:t>
      </w:r>
      <w:r>
        <w:rPr/>
        <w:t>(1), 1–14. https://doi.org/10.1207/s15327809jls1301_1</w:t>
      </w:r>
    </w:p>
    <w:p>
      <w:pPr>
        <w:pStyle w:val="Bibliography1"/>
        <w:bidi w:val="0"/>
        <w:spacing w:lineRule="atLeast" w:line="480" w:before="0" w:after="0"/>
        <w:ind w:left="720" w:hanging="720"/>
        <w:jc w:val="left"/>
        <w:rPr/>
      </w:pPr>
      <w:r>
        <w:rPr/>
        <w:t xml:space="preserve">Barab, S., Thomas, M. K., Dodge, T., Squire, K., &amp; Newell, M. (2004). Critical design ethnography: Designing for change. </w:t>
      </w:r>
      <w:r>
        <w:rPr>
          <w:i/>
        </w:rPr>
        <w:t>Anthropology &amp; Education Quarterly</w:t>
      </w:r>
      <w:r>
        <w:rPr/>
        <w:t xml:space="preserve">, </w:t>
      </w:r>
      <w:r>
        <w:rPr>
          <w:i/>
        </w:rPr>
        <w:t>35</w:t>
      </w:r>
      <w:r>
        <w:rPr/>
        <w:t>(2), 254–268. https://doi.org/10.1525/aeq.2004.35.2.254</w:t>
      </w:r>
    </w:p>
    <w:p>
      <w:pPr>
        <w:pStyle w:val="Bibliography1"/>
        <w:bidi w:val="0"/>
        <w:spacing w:lineRule="atLeast" w:line="480" w:before="0" w:after="0"/>
        <w:ind w:left="720" w:hanging="720"/>
        <w:jc w:val="left"/>
        <w:rPr/>
      </w:pPr>
      <w:r>
        <w:rPr/>
        <w:t xml:space="preserve">Barron, B., &amp; Darling-Hammond, L. (2008). Teaching for meaningful learning: A review of research on inquiry-based and cooperative learning. In </w:t>
      </w:r>
      <w:r>
        <w:rPr>
          <w:i/>
        </w:rPr>
        <w:t>Powerful learning: What we know about teaching for understanding</w:t>
      </w:r>
      <w:r>
        <w:rPr/>
        <w:t>. Jossey-Bass. https://files.eric.ed.gov/fulltext/ED539399.pdf</w:t>
      </w:r>
    </w:p>
    <w:p>
      <w:pPr>
        <w:pStyle w:val="Bibliography1"/>
        <w:bidi w:val="0"/>
        <w:spacing w:lineRule="atLeast" w:line="480" w:before="0" w:after="0"/>
        <w:ind w:left="720" w:hanging="720"/>
        <w:jc w:val="left"/>
        <w:rPr/>
      </w:pPr>
      <w:r>
        <w:rPr/>
        <w:t xml:space="preserve">Basham, J. D., &amp; Marino, M. T. (2013). Understanding stem education and supporting students through universal design for learning. </w:t>
      </w:r>
      <w:r>
        <w:rPr>
          <w:i/>
        </w:rPr>
        <w:t>TEACHING Exceptional Children</w:t>
      </w:r>
      <w:r>
        <w:rPr/>
        <w:t xml:space="preserve">, </w:t>
      </w:r>
      <w:r>
        <w:rPr>
          <w:i/>
        </w:rPr>
        <w:t>45</w:t>
      </w:r>
      <w:r>
        <w:rPr/>
        <w:t>(4), 8–15. https://doi.org/10.1177/004005991304500401</w:t>
      </w:r>
    </w:p>
    <w:p>
      <w:pPr>
        <w:pStyle w:val="Bibliography1"/>
        <w:bidi w:val="0"/>
        <w:spacing w:lineRule="atLeast" w:line="480" w:before="0" w:after="0"/>
        <w:ind w:left="720" w:hanging="720"/>
        <w:jc w:val="left"/>
        <w:rPr/>
      </w:pPr>
      <w:r>
        <w:rPr/>
        <w:t xml:space="preserve">Boyle, J., &amp; Kao, W.-C. (Eds.). (2017). </w:t>
      </w:r>
      <w:r>
        <w:rPr>
          <w:i/>
        </w:rPr>
        <w:t>The Retro-Futurism of Cuteness</w:t>
      </w:r>
      <w:r>
        <w:rPr/>
        <w:t>. punctum books. https://doi.org/10.21983/P3.0188.1.00</w:t>
      </w:r>
    </w:p>
    <w:p>
      <w:pPr>
        <w:pStyle w:val="Bibliography1"/>
        <w:bidi w:val="0"/>
        <w:spacing w:lineRule="atLeast" w:line="480" w:before="0" w:after="0"/>
        <w:ind w:left="720" w:hanging="720"/>
        <w:jc w:val="left"/>
        <w:rPr/>
      </w:pPr>
      <w:r>
        <w:rPr/>
        <w:t xml:space="preserve">Brown, A. L. (1992). Design experiments: Theoretical and methodological challenges in creating complex interventions in classroom settings. </w:t>
      </w:r>
      <w:r>
        <w:rPr>
          <w:i/>
        </w:rPr>
        <w:t>Journal of the Learning Sciences</w:t>
      </w:r>
      <w:r>
        <w:rPr/>
        <w:t xml:space="preserve">, </w:t>
      </w:r>
      <w:r>
        <w:rPr>
          <w:i/>
        </w:rPr>
        <w:t>2</w:t>
      </w:r>
      <w:r>
        <w:rPr/>
        <w:t>(2), 141–178. https://doi.org/10.1207/s15327809jls0202_2</w:t>
      </w:r>
    </w:p>
    <w:p>
      <w:pPr>
        <w:pStyle w:val="Bibliography1"/>
        <w:bidi w:val="0"/>
        <w:spacing w:lineRule="atLeast" w:line="480" w:before="0" w:after="0"/>
        <w:ind w:left="720" w:hanging="720"/>
        <w:jc w:val="left"/>
        <w:rPr/>
      </w:pPr>
      <w:r>
        <w:rPr/>
        <w:t xml:space="preserve">Cobb, P., Confrey, J., diSessa, A., Lehrer, R., &amp; Schauble, L. (2003). Design experiments in educational research. </w:t>
      </w:r>
      <w:r>
        <w:rPr>
          <w:i/>
        </w:rPr>
        <w:t>Educational Researcher</w:t>
      </w:r>
      <w:r>
        <w:rPr/>
        <w:t xml:space="preserve">, </w:t>
      </w:r>
      <w:r>
        <w:rPr>
          <w:i/>
        </w:rPr>
        <w:t>32</w:t>
      </w:r>
      <w:r>
        <w:rPr/>
        <w:t>(1), 9–13. https://doi.org/10.3102/0013189X032001009</w:t>
      </w:r>
    </w:p>
    <w:p>
      <w:pPr>
        <w:pStyle w:val="Bibliography1"/>
        <w:bidi w:val="0"/>
        <w:spacing w:lineRule="atLeast" w:line="480" w:before="0" w:after="0"/>
        <w:ind w:left="720" w:hanging="720"/>
        <w:jc w:val="left"/>
        <w:rPr/>
      </w:pPr>
      <w:r>
        <w:rPr/>
        <w:t xml:space="preserve">Denner, J., Werner, L., Campe, S., &amp; Ortiz, E. (2014). Using game mechanics to measure what students learn from programming games. </w:t>
      </w:r>
      <w:r>
        <w:rPr>
          <w:i/>
        </w:rPr>
        <w:t>International Journal of Game-Based Learning (IJGBL)</w:t>
      </w:r>
      <w:r>
        <w:rPr/>
        <w:t xml:space="preserve">, </w:t>
      </w:r>
      <w:r>
        <w:rPr>
          <w:i/>
        </w:rPr>
        <w:t>4</w:t>
      </w:r>
      <w:r>
        <w:rPr/>
        <w:t>(3), 13–22. https://doi.org/10.4018/ijgbl.2014070102</w:t>
      </w:r>
    </w:p>
    <w:p>
      <w:pPr>
        <w:pStyle w:val="Bibliography1"/>
        <w:bidi w:val="0"/>
        <w:spacing w:lineRule="atLeast" w:line="480" w:before="0" w:after="0"/>
        <w:ind w:left="720" w:hanging="720"/>
        <w:jc w:val="left"/>
        <w:rPr/>
      </w:pPr>
      <w:r>
        <w:rPr/>
        <w:t xml:space="preserve">Downing-Wilson, D., Lecusay, R., &amp; Cole, M. (2011). Design experimentation and mutual appropriation: Two strategies for university/community collaborative after-school interventions. </w:t>
      </w:r>
      <w:r>
        <w:rPr>
          <w:i/>
        </w:rPr>
        <w:t>Theory &amp; Psychology</w:t>
      </w:r>
      <w:r>
        <w:rPr/>
        <w:t xml:space="preserve">, </w:t>
      </w:r>
      <w:r>
        <w:rPr>
          <w:i/>
        </w:rPr>
        <w:t>21</w:t>
      </w:r>
      <w:r>
        <w:rPr/>
        <w:t>(5), 656–680. https://doi.org/10.1177/0959354311414456</w:t>
      </w:r>
    </w:p>
    <w:p>
      <w:pPr>
        <w:pStyle w:val="Bibliography1"/>
        <w:bidi w:val="0"/>
        <w:spacing w:lineRule="atLeast" w:line="480" w:before="0" w:after="0"/>
        <w:ind w:left="720" w:hanging="720"/>
        <w:jc w:val="left"/>
        <w:rPr/>
      </w:pPr>
      <w:r>
        <w:rPr/>
        <w:t xml:space="preserve">Easterday, M. W., Lewis, D. R., &amp; Gerber, E. M. (2014). Design-based research process: Problems, phases, and applications. </w:t>
      </w:r>
      <w:r>
        <w:rPr>
          <w:i/>
        </w:rPr>
        <w:t>Proceedings of International Conference of the Learning Sciences, ICLS</w:t>
      </w:r>
      <w:r>
        <w:rPr/>
        <w:t xml:space="preserve">, </w:t>
      </w:r>
      <w:r>
        <w:rPr>
          <w:i/>
        </w:rPr>
        <w:t>1</w:t>
      </w:r>
      <w:r>
        <w:rPr/>
        <w:t>(January), 317–324.</w:t>
      </w:r>
    </w:p>
    <w:p>
      <w:pPr>
        <w:pStyle w:val="Bibliography1"/>
        <w:bidi w:val="0"/>
        <w:spacing w:lineRule="atLeast" w:line="480" w:before="0" w:after="0"/>
        <w:ind w:left="720" w:hanging="720"/>
        <w:jc w:val="left"/>
        <w:rPr/>
      </w:pPr>
      <w:r>
        <w:rPr/>
        <w:t xml:space="preserve">Garda, M. B. (2014, August). Nostalgia in retro game design. </w:t>
      </w:r>
      <w:r>
        <w:rPr>
          <w:i/>
        </w:rPr>
        <w:t>DiGRA - Proceedings of the 2013 DiGRA International Conference: DeFragging Game Studies</w:t>
      </w:r>
      <w:r>
        <w:rPr/>
        <w:t>. http://www.digra.org/wp-content/uploads/digital-library/paper_310.pdf</w:t>
      </w:r>
    </w:p>
    <w:p>
      <w:pPr>
        <w:pStyle w:val="Bibliography1"/>
        <w:bidi w:val="0"/>
        <w:spacing w:lineRule="atLeast" w:line="480" w:before="0" w:after="0"/>
        <w:ind w:left="720" w:hanging="720"/>
        <w:jc w:val="left"/>
        <w:rPr/>
      </w:pPr>
      <w:r>
        <w:rPr/>
        <w:t xml:space="preserve">Hamari, J., &amp; Tuunanen, J. (2014). Player types: A meta-synthesis. </w:t>
      </w:r>
      <w:r>
        <w:rPr>
          <w:i/>
        </w:rPr>
        <w:t>Transactions of the Digital Games Research Association</w:t>
      </w:r>
      <w:r>
        <w:rPr/>
        <w:t xml:space="preserve">, </w:t>
      </w:r>
      <w:r>
        <w:rPr>
          <w:i/>
        </w:rPr>
        <w:t>1</w:t>
      </w:r>
      <w:r>
        <w:rPr/>
        <w:t>(2). https://doi.org/10.26503/todigra.v1i2.13</w:t>
      </w:r>
    </w:p>
    <w:p>
      <w:pPr>
        <w:pStyle w:val="Bibliography1"/>
        <w:bidi w:val="0"/>
        <w:spacing w:lineRule="atLeast" w:line="480" w:before="0" w:after="0"/>
        <w:ind w:left="720" w:hanging="720"/>
        <w:jc w:val="left"/>
        <w:rPr/>
      </w:pPr>
      <w:r>
        <w:rPr/>
        <w:t xml:space="preserve">Kafai, Y., &amp; Burke, Q. (2014). Beyond game design for broadening participation: Building new clubhouses of computing for girls. </w:t>
      </w:r>
      <w:r>
        <w:rPr>
          <w:i/>
        </w:rPr>
        <w:t>Proceedings of Gender and IT Appropriation. Science and Practice on Dialogue - Forum for Interdisciplinary Exchange</w:t>
      </w:r>
      <w:r>
        <w:rPr/>
        <w:t>, 21:21-21:28. http://dl.acm.org/citation.cfm?id=2670296.2670301</w:t>
      </w:r>
    </w:p>
    <w:p>
      <w:pPr>
        <w:pStyle w:val="Bibliography1"/>
        <w:bidi w:val="0"/>
        <w:spacing w:lineRule="atLeast" w:line="480" w:before="0" w:after="0"/>
        <w:ind w:left="720" w:hanging="720"/>
        <w:jc w:val="left"/>
        <w:rPr/>
      </w:pPr>
      <w:r>
        <w:rPr/>
        <w:t xml:space="preserve">Kafai, Y., &amp; Burke, Q. (2015). Constructionist gaming: Understanding the benefits of making games for learning. </w:t>
      </w:r>
      <w:r>
        <w:rPr>
          <w:i/>
        </w:rPr>
        <w:t>Educational Psychologist</w:t>
      </w:r>
      <w:r>
        <w:rPr/>
        <w:t xml:space="preserve">, </w:t>
      </w:r>
      <w:r>
        <w:rPr>
          <w:i/>
        </w:rPr>
        <w:t>50</w:t>
      </w:r>
      <w:r>
        <w:rPr/>
        <w:t>(4), 313–334. https://doi.org/10.1080/00461520.2015.1124022</w:t>
      </w:r>
    </w:p>
    <w:p>
      <w:pPr>
        <w:pStyle w:val="Bibliography1"/>
        <w:bidi w:val="0"/>
        <w:spacing w:lineRule="atLeast" w:line="480" w:before="0" w:after="0"/>
        <w:ind w:left="720" w:hanging="720"/>
        <w:jc w:val="left"/>
        <w:rPr/>
      </w:pPr>
      <w:r>
        <w:rPr/>
        <w:t xml:space="preserve">Kafai, Y., Richard, G. T., &amp; Tynes, B. M. (2017). </w:t>
      </w:r>
      <w:r>
        <w:rPr>
          <w:i/>
        </w:rPr>
        <w:t>Diversifying barbie and mortal kombat: Intersectional perspectives and inclusive designs in gaming</w:t>
      </w:r>
      <w:r>
        <w:rPr/>
        <w:t>. ETC Press. https://doi.org/10.1184/R1/6686738</w:t>
      </w:r>
    </w:p>
    <w:p>
      <w:pPr>
        <w:pStyle w:val="Bibliography1"/>
        <w:bidi w:val="0"/>
        <w:spacing w:lineRule="atLeast" w:line="480" w:before="0" w:after="0"/>
        <w:ind w:left="720" w:hanging="720"/>
        <w:jc w:val="left"/>
        <w:rPr/>
      </w:pPr>
      <w:r>
        <w:rPr/>
        <w:t xml:space="preserve">Kaloti-Hallak, F., Armoni, M., &amp; Ben-Ari, M. (2015). Students’ attitudes and motivation during robotics activities. </w:t>
      </w:r>
      <w:r>
        <w:rPr>
          <w:i/>
        </w:rPr>
        <w:t>Proceedings of the Workshop in Primary and Secondary Computing Education</w:t>
      </w:r>
      <w:r>
        <w:rPr/>
        <w:t>, 102–110. https://doi.org/10.1145/2818314.2818317</w:t>
      </w:r>
    </w:p>
    <w:p>
      <w:pPr>
        <w:pStyle w:val="Bibliography1"/>
        <w:bidi w:val="0"/>
        <w:spacing w:lineRule="atLeast" w:line="480" w:before="0" w:after="0"/>
        <w:ind w:left="720" w:hanging="720"/>
        <w:jc w:val="left"/>
        <w:rPr/>
      </w:pPr>
      <w:r>
        <w:rPr/>
        <w:t xml:space="preserve">Lee, I., Martin, F., Denner, J., Coulter, B., Allan, W., Erickson, J., Malyn-Smith, J., &amp; Werner, L. (2011). Computational thinking for youth in practice. </w:t>
      </w:r>
      <w:r>
        <w:rPr>
          <w:i/>
        </w:rPr>
        <w:t>ACM Inroads</w:t>
      </w:r>
      <w:r>
        <w:rPr/>
        <w:t xml:space="preserve">, </w:t>
      </w:r>
      <w:r>
        <w:rPr>
          <w:i/>
        </w:rPr>
        <w:t>2</w:t>
      </w:r>
      <w:r>
        <w:rPr/>
        <w:t>(1), 32–37. https://doi.org/10.1145/1929887.1929902</w:t>
      </w:r>
    </w:p>
    <w:p>
      <w:pPr>
        <w:pStyle w:val="Bibliography1"/>
        <w:bidi w:val="0"/>
        <w:spacing w:lineRule="atLeast" w:line="480" w:before="0" w:after="0"/>
        <w:ind w:left="720" w:hanging="720"/>
        <w:jc w:val="left"/>
        <w:rPr/>
      </w:pPr>
      <w:r>
        <w:rPr/>
        <w:t xml:space="preserve">Livingstone, I., &amp; Hope, A. (2011). Next Gen: Transforming the UK into the world’s leading talent hub for the video games and visual effects industries. </w:t>
      </w:r>
      <w:r>
        <w:rPr>
          <w:i/>
        </w:rPr>
        <w:t>National Endowment for Science, Technology and the Arts (NESTA), London, UK</w:t>
      </w:r>
      <w:r>
        <w:rPr/>
        <w:t>.</w:t>
      </w:r>
    </w:p>
    <w:p>
      <w:pPr>
        <w:pStyle w:val="Bibliography1"/>
        <w:bidi w:val="0"/>
        <w:spacing w:lineRule="atLeast" w:line="480" w:before="0" w:after="0"/>
        <w:ind w:left="720" w:hanging="720"/>
        <w:jc w:val="left"/>
        <w:rPr/>
      </w:pPr>
      <w:r>
        <w:rPr/>
        <w:t xml:space="preserve">McKenney, S., &amp; Reeves, T. C. (2021). Educational design research: Portraying, conducting, and enhancing productive scholarship. </w:t>
      </w:r>
      <w:r>
        <w:rPr>
          <w:i/>
        </w:rPr>
        <w:t>Medical Education</w:t>
      </w:r>
      <w:r>
        <w:rPr/>
        <w:t xml:space="preserve">, </w:t>
      </w:r>
      <w:r>
        <w:rPr>
          <w:i/>
        </w:rPr>
        <w:t>55</w:t>
      </w:r>
      <w:r>
        <w:rPr/>
        <w:t>(1), 82–92. https://doi.org/10.1111/medu.14280</w:t>
      </w:r>
    </w:p>
    <w:p>
      <w:pPr>
        <w:pStyle w:val="Bibliography1"/>
        <w:bidi w:val="0"/>
        <w:spacing w:lineRule="atLeast" w:line="480" w:before="0" w:after="0"/>
        <w:ind w:left="720" w:hanging="720"/>
        <w:jc w:val="left"/>
        <w:rPr/>
      </w:pPr>
      <w:r>
        <w:rPr/>
        <w:t xml:space="preserve">Moll, L. C., Amanti, C., Neff, D., &amp; Gonzalez, N. (1992). Funds of knowledge for teaching: Using a qualitative approach to connect homes and classrooms. </w:t>
      </w:r>
      <w:r>
        <w:rPr>
          <w:i/>
        </w:rPr>
        <w:t>Theory into Practice</w:t>
      </w:r>
      <w:r>
        <w:rPr/>
        <w:t xml:space="preserve">, </w:t>
      </w:r>
      <w:r>
        <w:rPr>
          <w:i/>
        </w:rPr>
        <w:t>31</w:t>
      </w:r>
      <w:r>
        <w:rPr/>
        <w:t>(2,), 132–141.</w:t>
      </w:r>
    </w:p>
    <w:p>
      <w:pPr>
        <w:pStyle w:val="Bibliography1"/>
        <w:bidi w:val="0"/>
        <w:spacing w:lineRule="atLeast" w:line="480" w:before="0" w:after="0"/>
        <w:ind w:left="720" w:hanging="720"/>
        <w:jc w:val="left"/>
        <w:rPr/>
      </w:pPr>
      <w:r>
        <w:rPr/>
        <w:t xml:space="preserve">Petrich, M., Wilkinson, K., &amp; Bevan, B. (2013). It Looks Like Fun, But Are They Learning? In </w:t>
      </w:r>
      <w:r>
        <w:rPr>
          <w:i/>
        </w:rPr>
        <w:t>Design, Make, Play</w:t>
      </w:r>
      <w:r>
        <w:rPr/>
        <w:t xml:space="preserve"> (Vol. 1, p. 21). Routledge.</w:t>
      </w:r>
    </w:p>
    <w:p>
      <w:pPr>
        <w:pStyle w:val="Bibliography1"/>
        <w:bidi w:val="0"/>
        <w:spacing w:lineRule="atLeast" w:line="480" w:before="0" w:after="0"/>
        <w:ind w:left="720" w:hanging="720"/>
        <w:jc w:val="left"/>
        <w:rPr/>
      </w:pPr>
      <w:r>
        <w:rPr/>
        <w:t xml:space="preserve">Picton, I., Clark, C., &amp; Judge, T. (2020). </w:t>
      </w:r>
      <w:r>
        <w:rPr>
          <w:i/>
        </w:rPr>
        <w:t>Video game playing and literacy: A survey of young people aged 11 to 16</w:t>
      </w:r>
      <w:r>
        <w:rPr/>
        <w:t xml:space="preserve"> (p. 31). National Literacy Trust. https://cdn.literacytrust.org.uk/media/documents/Video_game_playing_and_literacy_report_final_updated.pdf</w:t>
      </w:r>
    </w:p>
    <w:p>
      <w:pPr>
        <w:pStyle w:val="Bibliography1"/>
        <w:bidi w:val="0"/>
        <w:spacing w:lineRule="atLeast" w:line="480" w:before="0" w:after="0"/>
        <w:ind w:left="720" w:hanging="720"/>
        <w:jc w:val="left"/>
        <w:rPr/>
      </w:pPr>
      <w:r>
        <w:rPr/>
        <w:t xml:space="preserve">Resnick, M., &amp; Rusk, N. (2020). Coding at a crossroads. </w:t>
      </w:r>
      <w:r>
        <w:rPr>
          <w:i/>
        </w:rPr>
        <w:t>Communications of the ACM</w:t>
      </w:r>
      <w:r>
        <w:rPr/>
        <w:t xml:space="preserve">, </w:t>
      </w:r>
      <w:r>
        <w:rPr>
          <w:i/>
        </w:rPr>
        <w:t>63</w:t>
      </w:r>
      <w:r>
        <w:rPr/>
        <w:t>(11), 120–127. https://doi.org/10.1145/3375546</w:t>
      </w:r>
    </w:p>
    <w:p>
      <w:pPr>
        <w:pStyle w:val="Bibliography1"/>
        <w:bidi w:val="0"/>
        <w:spacing w:lineRule="atLeast" w:line="480" w:before="0" w:after="0"/>
        <w:ind w:left="720" w:hanging="720"/>
        <w:jc w:val="left"/>
        <w:rPr/>
      </w:pPr>
      <w:r>
        <w:rPr/>
        <w:t xml:space="preserve">Tekinbaş, K. S., Torres, R., Wolozin, L., Rufo-Tepper, R., &amp; Shapiro, A. (2010). </w:t>
      </w:r>
      <w:r>
        <w:rPr>
          <w:i/>
        </w:rPr>
        <w:t>Quest to learn: Developing the school for digital kids</w:t>
      </w:r>
      <w:r>
        <w:rPr/>
        <w:t>. The MIT Press. https://doi.org/10.7551/mitpress/8909.001.0001</w:t>
      </w:r>
    </w:p>
    <w:p>
      <w:pPr>
        <w:pStyle w:val="Bibliography1"/>
        <w:bidi w:val="0"/>
        <w:spacing w:lineRule="atLeast" w:line="480" w:before="0" w:after="0"/>
        <w:ind w:left="720" w:hanging="720"/>
        <w:jc w:val="left"/>
        <w:rPr/>
      </w:pPr>
      <w:r>
        <w:rPr/>
        <w:t xml:space="preserve">Waite, J. (2017). </w:t>
      </w:r>
      <w:r>
        <w:rPr>
          <w:i/>
        </w:rPr>
        <w:t>Pedagogy in teaching Computer Science in schools: A Literature Review</w:t>
      </w:r>
      <w:r>
        <w:rPr/>
        <w:t xml:space="preserve"> (p. 90). Royal Society. https://royalsociety.org/%7E/media/policy/projects/computing-education/literature-review-pedagogy-in-teaching.pdf</w:t>
      </w:r>
    </w:p>
    <w:sectPr>
      <w:footnotePr>
        <w:numFmt w:val="decimal"/>
      </w:footnotePr>
      <w:type w:val="continuous"/>
      <w:pgSz w:w="12240" w:h="15840"/>
      <w:pgMar w:left="1440" w:right="1440" w:gutter="0" w:header="0" w:top="1440" w:footer="1440" w:bottom="2016"/>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17</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https://matthewbarr.co.uk/bartle/</w:t>
      </w:r>
    </w:p>
  </w:footnote>
  <w:footnote w:id="6">
    <w:p>
      <w:pPr>
        <w:pStyle w:val="Footnote"/>
        <w:suppressLineNumbers/>
        <w:bidi w:val="0"/>
        <w:ind w:left="283" w:right="0" w:hanging="283"/>
        <w:jc w:val="left"/>
        <w:rPr/>
      </w:pPr>
      <w:r>
        <w:rPr>
          <w:rStyle w:val="FootnoteCharacters"/>
        </w:rPr>
        <w:footnoteRef/>
      </w:r>
      <w:r>
        <w:rPr/>
        <w:tab/>
        <w:t>https://mickfuzz.github.io/makecode-platformer-101</w:t>
      </w:r>
    </w:p>
  </w:footnote>
  <w:footnote w:id="7">
    <w:p>
      <w:pPr>
        <w:pStyle w:val="Footnote"/>
        <w:suppressLineNumbers/>
        <w:bidi w:val="0"/>
        <w:ind w:left="283" w:right="0" w:hanging="283"/>
        <w:jc w:val="left"/>
        <w:rPr/>
      </w:pPr>
      <w:r>
        <w:rPr>
          <w:rStyle w:val="FootnoteCharacters"/>
        </w:rPr>
        <w:footnoteRef/>
      </w:r>
      <w:r>
        <w:rPr/>
        <w:tab/>
        <w:t>https://mickfuzz.github.io/makecode-platformer-101/</w:t>
      </w:r>
    </w:p>
  </w:footnote>
  <w:footnote w:id="8">
    <w:p>
      <w:pPr>
        <w:pStyle w:val="Footnote"/>
        <w:suppressLineNumbers/>
        <w:bidi w:val="0"/>
        <w:ind w:left="283" w:right="0" w:hanging="283"/>
        <w:jc w:val="left"/>
        <w:rPr/>
      </w:pPr>
      <w:r>
        <w:rPr>
          <w:rStyle w:val="FootnoteCharacters"/>
        </w:rPr>
        <w:footnoteRef/>
      </w:r>
      <w:r>
        <w:rPr/>
        <w:tab/>
        <w:t>https://glitch-game-makers-manual.glitch.me/</w:t>
      </w:r>
    </w:p>
  </w:footnote>
  <w:footnote w:id="9">
    <w:p>
      <w:pPr>
        <w:pStyle w:val="Footnote"/>
        <w:suppressLineNumbers/>
        <w:bidi w:val="0"/>
        <w:ind w:left="283" w:right="0" w:hanging="283"/>
        <w:jc w:val="left"/>
        <w:rPr/>
      </w:pPr>
      <w:r>
        <w:rPr>
          <w:rStyle w:val="FootnoteCharacters"/>
        </w:rPr>
        <w:footnoteRef/>
      </w:r>
      <w:r>
        <w:rPr/>
        <w:tab/>
        <w:t>https://matthewbarr.co.uk/bartle/</w:t>
      </w:r>
    </w:p>
  </w:footnote>
  <w:footnote w:id="10">
    <w:p>
      <w:pPr>
        <w:pStyle w:val="Footnote"/>
        <w:suppressLineNumbers/>
        <w:bidi w:val="0"/>
        <w:ind w:left="283" w:right="0" w:hanging="283"/>
        <w:jc w:val="left"/>
        <w:rPr/>
      </w:pPr>
      <w:r>
        <w:rPr>
          <w:rStyle w:val="FootnoteCharacters"/>
        </w:rPr>
        <w:footnoteRef/>
      </w:r>
      <w:r>
        <w:rPr/>
        <w:tab/>
        <w:t>https://mickfuzz.github.io/makecode-platformer-101/missions</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2">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3">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48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17</Pages>
  <Words>6524</Words>
  <Characters>37002</Characters>
  <CharactersWithSpaces>43351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2022-08-08T13:59:20Z</dcterms:created>
  <dc:creator/>
  <dc:description/>
  <cp:keywords/>
  <dc:language>en-GB</dc:language>
  <cp:lastModifiedBy>Mick Chesterman</cp:lastModifiedBy>
  <dcterms:modified xsi:type="dcterms:W3CDTF">2022-08-08T15:01:36Z</dcterms:modified>
  <cp:revision>1</cp:revision>
  <dc:subject/>
  <dc:title>Game Making and Coding Fluency in a Primary Computing Context Anon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id="rUJVJJYF"/&gt;&lt;style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