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7862ab2ced9ff2bf5401088233470ce0614543"/>
    <w:p>
      <w:pPr>
        <w:pStyle w:val="Heading1"/>
      </w:pPr>
      <w:r>
        <w:t xml:space="preserve">DSCI9001 Assignment 2 marking rubric (FICTIONAL EXAMPLE)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 (85-100%)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(75-84%)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(65-74%)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(50-64%)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(0-49%)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Critical discussion of reproducibility practices (Q1)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Insightful evaluation of two practices with well-supported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 evaluation of two practices with some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Describes two practices with limited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Describes practices with little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Practices missing or 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 Correct implementation and evaluation of the smoother 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Correct, tested implementation; RMSE results interpreted with 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implementation; results interpreted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correct implementation; results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working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missing or 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 Communication, structure and referencing (whole assignment)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concise and well structured; referencing accurate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and structured; minor referencing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clear; some referencing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Understandable; frequent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Unclear; referencing missing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2026-10-18T22:49:27Z</dcterms:created>
  <dcterms:modified xsi:type="dcterms:W3CDTF">2026-10-18T22:49:27Z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