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15240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96B24"/>
          <w:sz w:val="40"/>
          <w:szCs w:val="40"/>
        </w:rPr>
        <w:t xml:space="preserve">PLAN DE REESTRUCTURA — ERP PLEIN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A5A5A"/>
          <w:sz w:val="24"/>
          <w:szCs w:val="24"/>
        </w:rPr>
        <w:t xml:space="preserve">De parchar a pavimentar: el camino para migrar con confianza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Documento de trabajo para la junta de socios · Plein Produce LLC · 30 de julio de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1. Por qué este documento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El ERP ya opera: 87 embarques, tesorería conciliada al centavo contra el banco, cierres mensuales, liquidaciones PACA y documentos oficiales. Eso está logrado y no se tira. Pero al usarlo a fondo aparecieron hoyos de estructura: cosas que hoy se resuelven con parches (vistas, notas, reglas de memoria) y que un ERP serio debe resolver por diseño.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nombra esos hoyos, propone el modelo al que hay que llegar, y define el método para llegar sin romper lo que ya funciona. La junta de mañana es el primer paso: capturar el proceso REAL de Plein, carga por carga, en palabras de los cuatro socios. Sin eso, cualquier estructura es adivinanza.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2. Dónde estamos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Lo que ya funciona (y se conserva)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Tesorería conciliada contra JP Morgan Chase al centavo; regla de oro "banco manda" operando.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Embarques con estados, costos por concepto, CxC/CxP, cierres mensuales inmutables y centinela de cuadre en 0.00.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Módulos vivos: programas comerciales, proyectos de financiamiento a productor, liquidaciones PACA, documentos con membrete (Invoice, PO, Quote), inventario, tareas.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Seguridad: nada expuesto a anónimos, escritura solo por funciones controladas, bitácora de ediciones.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5"/>
          <w:szCs w:val="25"/>
        </w:rPr>
        <w:t xml:space="preserve">Los hoyos de estructura (lo que hoy se parcha)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carga, un solo proveedor. </w:t>
      </w:r>
      <w:r>
        <w:rPr>
          <w:rFonts w:ascii="Calibri" w:cs="Calibri" w:eastAsia="Calibri" w:hAnsi="Calibri"/>
          <w:sz w:val="22"/>
          <w:szCs w:val="22"/>
        </w:rPr>
        <w:t xml:space="preserve">La realidad: una carga tiene 4+ proveedores (productor, flete, aduana, cartón). Hoy todo el costo cae bajo uno solo y las cuentas por pagar mienten por contraparte. Ejemplo real: la carga FMU01 mezcla Las Brisas/AGROFEPAC, BBA Logistics, Suárez Brokerage y Papayas &amp; More.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Cobros y pagos sin contraparte en la carga. </w:t>
      </w:r>
      <w:r>
        <w:rPr>
          <w:rFonts w:ascii="Calibri" w:cs="Calibri" w:eastAsia="Calibri" w:hAnsi="Calibri"/>
          <w:sz w:val="22"/>
          <w:szCs w:val="22"/>
        </w:rPr>
        <w:t xml:space="preserve">Se puede aplicar dinero a un embarque, pero no decir a qué proveedor o cliente corresponde ese dinero dentro del embarque.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existe el "Pedido de Cliente". </w:t>
      </w:r>
      <w:r>
        <w:rPr>
          <w:rFonts w:ascii="Calibri" w:cs="Calibri" w:eastAsia="Calibri" w:hAnsi="Calibri"/>
          <w:sz w:val="22"/>
          <w:szCs w:val="22"/>
        </w:rPr>
        <w:t xml:space="preserve">La orden de compra que manda el cliente (qué pide, cuánto, calibre, fecha) no vive en el sistema como objeto propio; no hay hilo pedido del cliente → orden a proveedor → carga.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Directorio Comercial incompleto. </w:t>
      </w:r>
      <w:r>
        <w:rPr>
          <w:rFonts w:ascii="Calibri" w:cs="Calibri" w:eastAsia="Calibri" w:hAnsi="Calibri"/>
          <w:sz w:val="22"/>
          <w:szCs w:val="22"/>
        </w:rPr>
        <w:t xml:space="preserve">Al dar clic no se ve la ficha completa; solo un contacto por empresa; WhatsApp y correo no son clicables.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Documentos sin checklist. </w:t>
      </w:r>
      <w:r>
        <w:rPr>
          <w:rFonts w:ascii="Calibri" w:cs="Calibri" w:eastAsia="Calibri" w:hAnsi="Calibri"/>
          <w:sz w:val="22"/>
          <w:szCs w:val="22"/>
        </w:rPr>
        <w:t xml:space="preserve">Se pueden subir archivos, pero no hay lista de documentos requeridos por carga ni aviso automático de lo que falta.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Casos de negocio metidos con calzador. </w:t>
      </w:r>
      <w:r>
        <w:rPr>
          <w:rFonts w:ascii="Calibri" w:cs="Calibri" w:eastAsia="Calibri" w:hAnsi="Calibri"/>
          <w:sz w:val="22"/>
          <w:szCs w:val="22"/>
        </w:rPr>
        <w:t xml:space="preserve">Trueques (Papayas &amp; More), agente pagador, comisiones 50/50, reembolsos: hoy se documentan en notas y vistas especiales en vez de estar modelados.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3. El modelo objetivo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Un ERP de comercialización de fruta se sostiene sobre dos cadenas, unidas por la Carga: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800"/>
      </w:tblGrid>
      <w:tr>
        <w:tc>
          <w:tcPr>
            <w:tcW w:type="dxa" w:w="2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Cadena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Qué es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Objetos del sistema</w:t>
            </w:r>
          </w:p>
        </w:tc>
      </w:tr>
      <w:tr>
        <w:tc>
          <w:tcPr>
            <w:tcW w:type="dxa" w:w="2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Venta (Order-to-Cash)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 pedido del cliente al cobro en banco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Pedido de Cliente → Carga → Factura/Invoice → Cobro</w:t>
            </w:r>
          </w:p>
        </w:tc>
      </w:tr>
      <w:tr>
        <w:tc>
          <w:tcPr>
            <w:tcW w:type="dxa" w:w="2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Compra (Procure-to-Pay)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 abasto al pago a cada proveedor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Orden de Compra a proveedor → Recepción/Carga → Costo por línea → Pago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tres relaciones que hoy faltan y que este modelo agrega: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Costos multi-proveedor: </w:t>
      </w:r>
      <w:r>
        <w:rPr>
          <w:rFonts w:ascii="Calibri" w:cs="Calibri" w:eastAsia="Calibri" w:hAnsi="Calibri"/>
          <w:sz w:val="22"/>
          <w:szCs w:val="22"/>
        </w:rPr>
        <w:t xml:space="preserve">cada línea de costo de la carga (materia prima, flete, aduana, in&amp;out, cartón, comisión) lleva SU contraparte. La deuda por proveedor sale sola y correcta.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Dinero ligado a contraparte: </w:t>
      </w:r>
      <w:r>
        <w:rPr>
          <w:rFonts w:ascii="Calibri" w:cs="Calibri" w:eastAsia="Calibri" w:hAnsi="Calibri"/>
          <w:sz w:val="22"/>
          <w:szCs w:val="22"/>
        </w:rPr>
        <w:t xml:space="preserve">cada cobro/pago aplicado a una carga puede señalar a qué cliente/proveedor (y a qué línea) corresponde.</w:t>
      </w:r>
    </w:p>
    <w:p>
      <w:pPr>
        <w:pStyle w:val="ListParagraph"/>
        <w:numPr>
          <w:ilvl w:val="0"/>
          <w:numId w:val="3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Trazabilidad pedido ↔ orden ↔ carga: </w:t>
      </w:r>
      <w:r>
        <w:rPr>
          <w:rFonts w:ascii="Calibri" w:cs="Calibri" w:eastAsia="Calibri" w:hAnsi="Calibri"/>
          <w:sz w:val="22"/>
          <w:szCs w:val="22"/>
        </w:rPr>
        <w:t xml:space="preserve">del pedido del cliente se cuelgan las órdenes a proveedor y las cargas que lo surten. Se puede seguir el hilo completo en ambos sentidos.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Además: contrapartes con MÚLTIPLES contactos (nombre, puesto, WhatsApp clicable, correo clicable), y catálogo de documentos requeridos por tipo de operación con semáforo de faltantes por carga.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4. El flujo canónico propuesto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Propuesta a validar mañana contra la realidad (el orden puede variar; eso es justo lo que la junta define):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Entra el Pedido de Cliente. </w:t>
      </w:r>
      <w:r>
        <w:rPr>
          <w:rFonts w:ascii="Calibri" w:cs="Calibri" w:eastAsia="Calibri" w:hAnsi="Calibri"/>
          <w:sz w:val="22"/>
          <w:szCs w:val="22"/>
        </w:rPr>
        <w:t xml:space="preserve">Se captura su orden de compra (producto, cantidad, medidas/calibre, fecha, precio) y se sube el PDF. El pedido es el ancla de la demanda: NO se entierra dentro de la carga.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Decisión de abasto. </w:t>
      </w:r>
      <w:r>
        <w:rPr>
          <w:rFonts w:ascii="Calibri" w:cs="Calibri" w:eastAsia="Calibri" w:hAnsi="Calibri"/>
          <w:sz w:val="22"/>
          <w:szCs w:val="22"/>
        </w:rPr>
        <w:t xml:space="preserve">¿Hay inventario en bodega? Se asigna. ¿No hay? Se genera Orden de Compra a proveedor (una o varias), ligada al pedido, con el PDF de membrete Plein.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 elabora la Carga </w:t>
      </w:r>
      <w:r>
        <w:rPr>
          <w:rFonts w:ascii="Calibri" w:cs="Calibri" w:eastAsia="Calibri" w:hAnsi="Calibri"/>
          <w:sz w:val="22"/>
          <w:szCs w:val="22"/>
        </w:rPr>
        <w:t xml:space="preserve">cuando el abasto está confirmado. La carga referencia el pedido y las órdenes a proveedor. Aquí caen los costos, cada uno con su proveedor.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Documentos por etapa. </w:t>
      </w:r>
      <w:r>
        <w:rPr>
          <w:rFonts w:ascii="Calibri" w:cs="Calibri" w:eastAsia="Calibri" w:hAnsi="Calibri"/>
          <w:sz w:val="22"/>
          <w:szCs w:val="22"/>
        </w:rPr>
        <w:t xml:space="preserve">El sistema sabe qué documentos requiere la operación (OC cliente, OC proveedor, invoice, BL/guía, aduana, liquidación...) y avisa qué falta.</w:t>
      </w:r>
    </w:p>
    <w:p>
      <w:pPr>
        <w:pStyle w:val="ListParagraph"/>
        <w:numPr>
          <w:ilvl w:val="0"/>
          <w:numId w:val="4"/>
        </w:numPr>
        <w:spacing w:after="11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Dinero. </w:t>
      </w:r>
      <w:r>
        <w:rPr>
          <w:rFonts w:ascii="Calibri" w:cs="Calibri" w:eastAsia="Calibri" w:hAnsi="Calibri"/>
          <w:sz w:val="22"/>
          <w:szCs w:val="22"/>
        </w:rPr>
        <w:t xml:space="preserve">Cobros contra el pedido/carga del cliente; pagos contra la orden/línea de costo del proveedor. Casos especiales (trueque, agente pagador, comisión 50/50) modelados, no anotados.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Nota: la relación pedido ↔ carga debe soportar que un pedido se parta en varias cargas y que una carga junte varios pedidos. Confirmar mañana con casos reales qué tan seguido pasa.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5. Hoja de ruta (sin big-bang)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Modelo primero, luego pantallas, luego automatización. Cada fase se entrega con plan de pruebas y sin romper lo vivo: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4300"/>
      </w:tblGrid>
      <w:t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Fase</w:t>
            </w:r>
          </w:p>
        </w:tc>
        <w:tc>
          <w:tcPr>
            <w:tcW w:type="dxa" w:w="4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Qué obtienen los socios</w:t>
            </w:r>
          </w:p>
        </w:tc>
      </w:tr>
      <w:t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 Descubrimiento</w:t>
            </w:r>
          </w:p>
        </w:tc>
        <w:tc>
          <w:tcPr>
            <w:tcW w:type="dxa" w:w="4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Junta de socios: recorrer 3–4 cargas reales de punta a punta y documentar el proceso verdadero con sus variantes.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proceso de Plein por escrito, acordado por los 4.</w:t>
            </w:r>
          </w:p>
        </w:tc>
      </w:tr>
      <w:t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Modelo de datos</w:t>
            </w:r>
          </w:p>
        </w:tc>
        <w:tc>
          <w:tcPr>
            <w:tcW w:type="dxa" w:w="4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Diseñar y acordar el esqueleto: pedidos, órdenes a proveedor, costos multi-proveedor, contactos, documentos requeridos.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sola decisión de arquitectura bien pensada; nada de parches nuevos.</w:t>
            </w:r>
          </w:p>
        </w:tc>
      </w:tr>
      <w:t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Migración por módulos</w:t>
            </w:r>
          </w:p>
        </w:tc>
        <w:tc>
          <w:tcPr>
            <w:tcW w:type="dxa" w:w="4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Implementar módulo por módulo (primero costos multi-proveedor y pedidos), migrando lo histórico con verificación contra banco.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 semana algo nuevo funcionando, sin descuadrar lo anterior.</w:t>
            </w:r>
          </w:p>
        </w:tc>
      </w:tr>
      <w:t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UX y documentos</w:t>
            </w:r>
          </w:p>
        </w:tc>
        <w:tc>
          <w:tcPr>
            <w:tcW w:type="dxa" w:w="4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Directorio con ficha completa y contactos clicables; checklist de documentos con avisos; generación ligada y guardada donde toca.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sistema que se siente profesional y no deja pasar faltantes.</w:t>
            </w:r>
          </w:p>
        </w:tc>
      </w:tr>
      <w:t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Preparar el futuro</w:t>
            </w:r>
          </w:p>
        </w:tc>
        <w:tc>
          <w:tcPr>
            <w:tcW w:type="dxa" w:w="46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Casos que aún no pasan pero vendrán (más volumen, más clientes, auditorías): dejarlos contemplados en el diseño.</w:t>
            </w:r>
          </w:p>
        </w:tc>
        <w:tc>
          <w:tcPr>
            <w:tcW w:type="dxa" w:w="4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sistema que crece con Plein en vez de quedarle chico.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6. Cómo se valida cada entrega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Regla permanente de aquí en adelante — todo desarrollo se entrega con tres cosas: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Qué cambió, en simple (una frase, sin tecnicismos).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Qué revisar: pantalla exacta y pasos, para que cualquier socio lo pruebe sin ser programador.</w:t>
      </w:r>
    </w:p>
    <w:p>
      <w:pPr>
        <w:pStyle w:val="ListParagraph"/>
        <w:numPr>
          <w:ilvl w:val="0"/>
          <w:numId w:val="5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Criterio de "está bien": el número o comportamiento exacto que se debe ver (por ejemplo: "AGROFEPAC debe mostrar $55,567.23").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Además se mantienen las reglas duras de siempre: el cuadre contable en 0.00, conciliación contra banco, meses cerrados inmutables, y ensayo con reversa antes de cualquier cambio estructural.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7. Agenda para la junta de mañana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800"/>
      </w:tblGrid>
      <w:tr>
        <w:tc>
          <w:tcPr>
            <w:tcW w:type="dxa" w:w="1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Bloque</w:t>
            </w:r>
          </w:p>
        </w:tc>
        <w:tc>
          <w:tcPr>
            <w:tcW w:type="dxa" w:w="5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Actividad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E8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96B24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Recorrer 3–4 cargas reales de punta a punta (incluir una multi-proveedor tipo FMU01 y un trueque tipo Papayas &amp; More): quién pidió, cómo se surtió, qué costos y de quién, qué documentos hubo, cómo se cobró y pagó.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proceso real, con nombres y montos.</w:t>
            </w:r>
          </w:p>
        </w:tc>
      </w:tr>
      <w:tr>
        <w:tc>
          <w:tcPr>
            <w:tcW w:type="dxa" w:w="1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 cada carga: ¿siempre es igual o hay variantes? Anotar cada variante (consignación, comisión, trueque, agente pagador, rechazos, reempaques).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lista de variantes que el modelo debe soportar.</w:t>
            </w:r>
          </w:p>
        </w:tc>
      </w:tr>
      <w:tr>
        <w:tc>
          <w:tcPr>
            <w:tcW w:type="dxa" w:w="1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Acordar el flujo canónico (sección 4) ajustado a la realidad de Plein.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flujo oficial, firmado por los 4.</w:t>
            </w:r>
          </w:p>
        </w:tc>
      </w:tr>
      <w:tr>
        <w:tc>
          <w:tcPr>
            <w:tcW w:type="dxa" w:w="1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documentos requeridos por tipo de operación.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checklist que el sistema vigilará.</w:t>
            </w:r>
          </w:p>
        </w:tc>
      </w:tr>
      <w:tr>
        <w:tc>
          <w:tcPr>
            <w:tcW w:type="dxa" w:w="1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"lo que va a venir": casos que hoy no pasan pero pasarán.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diseño no queda encajonado.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96B24"/>
          <w:sz w:val="30"/>
          <w:szCs w:val="30"/>
        </w:rPr>
        <w:t xml:space="preserve">8. Preguntas que los socios deben responder mañana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¿Un pedido de cliente es siempre una carga, o se parte en varias / se juntan varios pedidos en una carga?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¿Quién captura qué? (Samuel ventas/operación, Juan compras, Miguel administración, José consejo) — el sistema debe reflejar esa división.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¿Qué documentos son obligatorios en TODA carga y cuáles solo en ciertos tipos?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¿Qué acuerdos especiales existen hoy además de Papayas &amp; More (trueques, agentes pagadores, comisiones compartidas) y cómo deben verse en las cuentas?</w:t>
      </w:r>
    </w:p>
    <w:p>
      <w:pPr>
        <w:pStyle w:val="ListParagraph"/>
        <w:numPr>
          <w:ilvl w:val="0"/>
          <w:numId w:val="6"/>
        </w:numPr>
        <w:spacing w:after="110" w:line="276"/>
      </w:pPr>
      <w:r>
        <w:rPr>
          <w:rFonts w:ascii="Calibri" w:cs="Calibri" w:eastAsia="Calibri" w:hAnsi="Calibri"/>
          <w:sz w:val="22"/>
          <w:szCs w:val="22"/>
        </w:rPr>
        <w:t xml:space="preserve">¿Qué reportes necesita cada socio ver cada semana para operar con confianza?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196B24" w:sz="6"/>
        </w:pBdr>
        <w:spacing w:before="20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Plein Produce LLC · Documento interno de trabajo · Preparado por administración (PP04) con apoyo del asistente del ERP · 29-jul-2026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Plein Produce LLC — Plan de Reestructura ERP · Pág.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445a0186f7397750a60d6546debbb0adf9b8e5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2026-07-30T02:10:47.181Z</dcterms:created>
  <dcterms:modified xsi:type="dcterms:W3CDTF">2026-07-30T02:10:47.201Z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