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Light" w:hAnsi="Calibri Light"/>
          <w:b/>
          <w:color w:val="003366"/>
          <w:sz w:val="36"/>
        </w:rPr>
        <w:t>Przywrócenie lokalności metrycznej w symplicjalnej grawitacji kwantowej poprzez ważoną impedancję krawędziową w obecności anomalii topologicznych</w:t>
      </w:r>
    </w:p>
    <w:p>
      <w:pPr>
        <w:spacing w:after="360"/>
        <w:jc w:val="center"/>
      </w:pPr>
      <w:r>
        <w:rPr>
          <w:b/>
          <w:sz w:val="22"/>
        </w:rPr>
        <w:t>Michał Ślusarczyk</w:t>
        <w:br/>
      </w:r>
      <w:r>
        <w:rPr>
          <w:i/>
          <w:color w:val="555555"/>
          <w:sz w:val="20"/>
        </w:rPr>
        <w:t>Lipiec 2026 | Słowa kluczowe: grawitacja kwantowa, przyczynowe triangulacje dynamiczne (CDT), wymiar widmowy, problem piast, oversmoothing, GNN, operator Laplace'a-Beltramiego.</w:t>
      </w:r>
    </w:p>
    <w:p>
      <w:pPr>
        <w:spacing w:after="240"/>
        <w:pBdr>
          <w:bottom w:val="single" w:sz="12" w:space="1" w:color="003366"/>
        </w:pBdr>
      </w:pPr>
    </w:p>
    <w:p>
      <w:pPr>
        <w:pStyle w:val="Heading1"/>
        <w:spacing w:before="120" w:after="120"/>
      </w:pPr>
      <w:r>
        <w:rPr>
          <w:rFonts w:ascii="Calibri Light" w:hAnsi="Calibri Light"/>
          <w:b/>
          <w:color w:val="003366"/>
          <w:sz w:val="28"/>
        </w:rPr>
        <w:t>Abstrakt</w:t>
      </w:r>
    </w:p>
    <w:p>
      <w:pPr>
        <w:spacing w:after="360"/>
        <w:ind w:left="360" w:right="360"/>
        <w:jc w:val="both"/>
      </w:pPr>
      <w:r>
        <w:rPr>
          <w:i/>
          <w:sz w:val="21"/>
        </w:rPr>
        <w:t>W numerycznych symulacjach grawitacji kwantowej opartej na triangulacjach symplicjalnych – takich jak Przyczynowe Triangulacje Dynamiczne (CDT) czy relacyjne modele grawitacji (ROI) – generowanie rozmaitości czasoprzestrzennych często prowadzi do powstawania anomalii topologicznych znanych jako faza „miękkich piast” (soft hub phase) lub faza rozgałęzionego polimeru. W reżimie tym niewielki odsetek wierzchołków skupia ekstremalnie dużą liczbę sąsiednich sympleksów (d_u &gt;&gt; &lt;d&gt;). Tradycyjne badania geometrii z wykorzystaniem nieważonego błądzenia losowego (q=0) na 1-szkielecie dualnym ulegają w tej fazie patologicznej degradacji: piasty działają jak niefizyczne skróty metryczne, wywołując sztuczny zapaść wymiaru widmowego D_s -&gt; 0. W niniejszej pracy prezentujemy bezinwazyjne rozwiązanie tego problemu, polegające na wprowadzeniu ważonej metryki przejścia z impedancją krawędziową w_uv = (d_u * d_v)^(-q). Wykazujemy teoretycznie i numerycznie (dla rozmaitości o objętości N_3 = 5000 czarościanów), że wybór wykładnika impedancji q = 0.25 stanowi optymalny punkt krytyczny. Pozwala on na zachowanie piast w sumie po stanach (nie naruszając niezmienniczości topologicznej ani ergodyczności algorytmu Metropolis-Hastingsa), przy jednoczesnym drastycznym stłumieniu niefizycznego transportu informacji przez anomalie topologiczne. Rozwiązanie to wykazuje głęboką zbieżność z dyskretną aproksymacją operatora Laplace'a-Beltramiego w silnie zakrzywionej czasoprzestrzeni oraz z mechanizmami symetrycznej normalizacji stopnia stosowanymi w grafowych sieciach neuronowych (GCN) do zwalczania zjawiska oversmoothingu.</w:t>
      </w:r>
    </w:p>
    <w:p>
      <w:pPr>
        <w:pStyle w:val="Heading1"/>
        <w:spacing w:before="280" w:after="120"/>
      </w:pPr>
      <w:r>
        <w:rPr>
          <w:rFonts w:ascii="Calibri Light" w:hAnsi="Calibri Light"/>
          <w:b/>
          <w:color w:val="003366"/>
          <w:sz w:val="28"/>
        </w:rPr>
        <w:t>1. Wprowadzenie: Fazy polimerowe i problem skrótów w symplicjalnej grawitacji</w:t>
      </w:r>
    </w:p>
    <w:p>
      <w:r>
        <w:t>Jednym z fundamentalnych wyzwań współczesnej fizyki jest sformułowanie spójnej kwantowej teorii grawitacji. W podejściach bezłańcuchowych i dyskretnych – w szczególności w Przyczynowych Triangulacjach Dynamicznych (CDT) [1], rachunku Reggego [2] oraz modelach relacyjnych obserwabli (ROI) – ciągła rozmaitość czasoprzestrzenna zastępowana jest przez sieci połączonych sympleksów (np. 4-wymiarowych pentatopów lub 3-wymiarowych czarościanów w przekrojach czasowych). Całka po drogach Feynmana realizowana jest wówczas jako suma po stanach wszystkich możliwych konfiguracji topologicznych i metrycznych, generowanych metodami Monte Carlo:</w:t>
      </w:r>
    </w:p>
    <w:p>
      <w:pPr>
        <w:spacing w:before="120" w:after="160"/>
        <w:ind w:left="720" w:right="720"/>
        <w:jc w:val="center"/>
      </w:pPr>
      <w:r>
        <w:rPr>
          <w:rFonts w:ascii="Cambria Math" w:hAnsi="Cambria Math"/>
          <w:b/>
          <w:color w:val="002244"/>
          <w:sz w:val="22"/>
        </w:rPr>
        <w:t>Z = Σ_{T} [ 1 / C(T) ] * exp( - S_Regge[T] )</w:t>
      </w:r>
    </w:p>
    <w:p>
      <w:r>
        <w:t>W tak zdefiniowanej przestrzeni fazowej naturalnie pojawiają się przejścia fazowe. Z matematycznego punktu widzenia, dla określonych wartości stałych sprzężenia (zwłaszcza w obszarach o wysokiej krzywiźnie lub niskiej kalibracji), suma po stanach zdominowana jest przez tzw. fazę rozgałęzionego polimeru lub fazę miękkich piast (soft hub phase) [3]. W tej konfiguracji układ dąży do minimalizacji działania poprzez koncentrację ogromnej liczby sympleksów wokół niewielkiego zbioru wierzchołków. Stopnie tych wierzchołków (d_u) przewyższają średnią liczbę koordynacyjną sieci o rzędy wielkości:</w:t>
      </w:r>
    </w:p>
    <w:p>
      <w:pPr>
        <w:spacing w:before="120" w:after="160"/>
        <w:ind w:left="720" w:right="720"/>
        <w:jc w:val="center"/>
      </w:pPr>
      <w:r>
        <w:rPr>
          <w:rFonts w:ascii="Cambria Math" w:hAnsi="Cambria Math"/>
          <w:b/>
          <w:color w:val="002244"/>
          <w:sz w:val="22"/>
        </w:rPr>
        <w:t>max_{u in V} (d_u) / &lt;d&gt; &gt;&gt; 10^2</w:t>
      </w:r>
    </w:p>
    <w:p>
      <w:r>
        <w:t>W dotychczasowej praktyce badawczej obecność takich hiper-połączonych węzłów stanowiła poważną przeszkodę w ekstrakcji makroskopowych obserwabili geometrycznych. Aby zbadać efektywną wymiarowość wyłaniającej się czasoprzestrzeni, standardowo stosuje się proces dyfuzji ciepła lub błądzenie losowe na 1-szkielecie (grafie dualnym) rozmaitości. W przypadku klasycznego, nieważonego błądzenia losowego, prawdopodobieństwo przejścia z węzła u do sąsiada v wynosi P(u -&gt; v) = 1 / d_u. Ponieważ piasta topologiczna h posiada tysiące połączeń, próbniki dyfuzyjne z całej rozmaitości są do niej nieustannie zasysane. Po wejściu do piasty, w kolejnym kroku wędrowiec może przemieścić się do niemal dowolnego punktu w sieci.</w:t>
      </w:r>
    </w:p>
    <w:p>
      <w:r>
        <w:t>W konsekwencji piasty działają jak niefizyczne skróty metryczne (tunele czasoprzestrzenne). Powodują one sztuczną redukcję średnicy grafu do zaledwie kilku kroków, co w analizie wymiaru widmowego prowadzi do błędnego wniosku, iż badany wszechświat zapada się do punktu lub formy fraktalnej o wymiarze bliskim zeru (D_s -&gt; 0).</w:t>
      </w:r>
    </w:p>
    <w:p>
      <w:r>
        <w:t>Dotychczasowe próby rozwiązania tego problemu polegały na ingerencji w samą procedurę generowania sieci – np. poprzez sztuczne odrzucanie ruchów Ergodica/Pachnera, które tworzyły wierzchołki o stopniu przekraczającym ustalony próg (np. d_max &gt; 70) [4]. Takie „brutalne” usuwanie piast narusza jednak podstawowe założenia fizyki statystycznej: niszczy ergodyczność łańcucha Markowa, wprowadza niefizyczne potencjały brzegowe do sumy po stanach oraz zaburza niezmienniczość dyfeomorficzną triangulacji.</w:t>
      </w:r>
    </w:p>
    <w:p>
      <w:pPr>
        <w:pStyle w:val="Heading1"/>
        <w:spacing w:before="280" w:after="120"/>
      </w:pPr>
      <w:r>
        <w:rPr>
          <w:rFonts w:ascii="Calibri Light" w:hAnsi="Calibri Light"/>
          <w:b/>
          <w:color w:val="003366"/>
          <w:sz w:val="28"/>
        </w:rPr>
        <w:t>2. Metodologia: Ważona metryka fizyczna i impedancja krawędziowa</w:t>
      </w:r>
    </w:p>
    <w:p>
      <w:r>
        <w:t>Zamiast modyfikować topologię poprzez usuwanie wierzchołków, proponujemy nowatorskie podejście: rozdzielenie topologii symplicjalnej od operatora metrycznego transportu. Piasty topologiczne mają prawo istnieć jako fluktuacje kwantowe w sumie po stanach, jednak ich wpływ na metrykę propagacji sygnału musi zostać skorygowany o lokalną gęstość geometrii.</w:t>
      </w:r>
    </w:p>
    <w:p>
      <w:r>
        <w:t>Definiujemy graf dualny 1-szkieletu jako G = (V, E). Każdej krawędzi (u, v) in E przypisujemy symetryczną wagę przewodnictwa (impedancję odwrotną), zależną od iloczynu stopni połączonych węzłów:</w:t>
      </w:r>
    </w:p>
    <w:p>
      <w:pPr>
        <w:spacing w:before="120" w:after="160"/>
        <w:ind w:left="720" w:right="720"/>
        <w:jc w:val="center"/>
      </w:pPr>
      <w:r>
        <w:rPr>
          <w:rFonts w:ascii="Cambria Math" w:hAnsi="Cambria Math"/>
          <w:b/>
          <w:color w:val="002244"/>
          <w:sz w:val="22"/>
        </w:rPr>
        <w:t>w_{uv} = [ max(1, d_u) * max(1, d_v) ]^(-q)</w:t>
      </w:r>
    </w:p>
    <w:p>
      <w:r>
        <w:t>gdzie q &gt;= 0 jest wykładnikiem impedancji metrycznej. Znormalizowane prawdopodobieństwo przejścia w dyskretnym procesie Markowa dla krawędzi skierowanej z u do v przyjmuje wówczas postać:</w:t>
      </w:r>
    </w:p>
    <w:p>
      <w:pPr>
        <w:spacing w:before="120" w:after="160"/>
        <w:ind w:left="720" w:right="720"/>
        <w:jc w:val="center"/>
      </w:pPr>
      <w:r>
        <w:rPr>
          <w:rFonts w:ascii="Cambria Math" w:hAnsi="Cambria Math"/>
          <w:b/>
          <w:color w:val="002244"/>
          <w:sz w:val="22"/>
        </w:rPr>
        <w:t>P_q(u -&gt; v) = w_{uv} / Σ_{k in N(u)} w_{uk} = d_v^(-q) / Σ_{k in N(u)} d_k^(-q)</w:t>
      </w:r>
    </w:p>
    <w:p>
      <w:r>
        <w:t>gdzie N(u) oznacza zbiór sąsiadów węzła u.</w:t>
      </w:r>
    </w:p>
    <w:p>
      <w:pPr>
        <w:pStyle w:val="Heading2"/>
        <w:spacing w:before="200" w:after="120"/>
      </w:pPr>
      <w:r>
        <w:rPr>
          <w:rFonts w:ascii="Calibri Light" w:hAnsi="Calibri Light"/>
          <w:b/>
          <w:color w:val="005588"/>
          <w:sz w:val="24"/>
        </w:rPr>
        <w:t>2.1. Analiza wyboru wykładnika q = 0.25</w:t>
      </w:r>
    </w:p>
    <w:p>
      <w:r>
        <w:t>Wykładnik q kontroluje stopień tłumienia skrótów topologicznych:</w:t>
      </w:r>
    </w:p>
    <w:p>
      <w:pPr>
        <w:pStyle w:val="ListBullet"/>
      </w:pPr>
      <w:r>
        <w:rPr>
          <w:b/>
        </w:rPr>
        <w:t xml:space="preserve">Dla q = 0.0 (nieważone błądzenie): </w:t>
      </w:r>
      <w:r>
        <w:t>Otrzymujemy klasyczny operator przejścia P_0(u -&gt; v) = 1 / d_u. Przewodnictwo krawędziowe jest jednorodne, a strumień informacji zdominowany jest przez piasty.</w:t>
      </w:r>
    </w:p>
    <w:p>
      <w:pPr>
        <w:pStyle w:val="ListBullet"/>
      </w:pPr>
      <w:r>
        <w:rPr>
          <w:b/>
        </w:rPr>
        <w:t xml:space="preserve">Dla q = 0.5 (pełna normalizacja symetryczna): </w:t>
      </w:r>
      <w:r>
        <w:t>Waga krawędzi skaluje się jako (d_u * d_v)^(-0.5). Wybór ten całkowicie eliminuje wpływ stopnia węzła na prawdopodobieństwo stacjonarne, jednak w sieciach symplicjalnych o silnej krzywiźnie wprowadza zbyt agresywne tłumienie transportu w obszarach o umiarkowanie podwyższonej gęstości (tzw. „gładkim rdzeniu” rozmaitości).</w:t>
      </w:r>
    </w:p>
    <w:p>
      <w:pPr>
        <w:pStyle w:val="ListBullet"/>
      </w:pPr>
      <w:r>
        <w:rPr>
          <w:b/>
        </w:rPr>
        <w:t xml:space="preserve">Dla q = 0.25 (optymalna impedancja ułamkowa): </w:t>
      </w:r>
      <w:r>
        <w:t>Waga krawędzi wynosi w_{uv} = (d_u * d_v)^(-1/4). Dla przejścia ze zwykłego wierzchołka bulkowego (d_u ~ &lt;d&gt;) do piasty topologicznej (d_h &gt;&gt; &lt;d&gt;), prawdopodobieństwo przejścia zostaje stłumione współczynnikiem tłumienia γ ~ (d_h / &lt;d&gt;)^(-0.25).</w:t>
      </w:r>
    </w:p>
    <w:p>
      <w:r>
        <w:t>Dzięki temu transport wewnątrz gładkich, regularnych obszarów wszechświata (d_u ~ d_v) pozostaje niemal niezaburzony, natomiast skok do „hyper-autostrady” łączącej odległe obszary czasoprzestrzeni wiąże się z wysokim oporem metrycznym.</w:t>
      </w:r>
    </w:p>
    <w:p>
      <w:pPr>
        <w:pStyle w:val="Heading1"/>
        <w:spacing w:before="280" w:after="120"/>
      </w:pPr>
      <w:r>
        <w:rPr>
          <w:rFonts w:ascii="Calibri Light" w:hAnsi="Calibri Light"/>
          <w:b/>
          <w:color w:val="003366"/>
          <w:sz w:val="28"/>
        </w:rPr>
        <w:t>3. Analiza Wymiaru Widmowego (D_s) i Udziału Piast w Transporcie</w:t>
      </w:r>
    </w:p>
    <w:p>
      <w:pPr>
        <w:pStyle w:val="Heading2"/>
        <w:spacing w:before="200" w:after="120"/>
      </w:pPr>
      <w:r>
        <w:rPr>
          <w:rFonts w:ascii="Calibri Light" w:hAnsi="Calibri Light"/>
          <w:b/>
          <w:color w:val="005588"/>
          <w:sz w:val="24"/>
        </w:rPr>
        <w:t>3.1. Dyskretne jądro ciepła i wymiar widmowy</w:t>
      </w:r>
    </w:p>
    <w:p>
      <w:r>
        <w:t>Na ciągłej rozmaitości riemannowskiej M o wymiarze topologicznym D, fundamentalne rozwiązanie równania przewodnictwa ciepła określa prawdopodobieństwo powrotu dyfundującego punktu do położenia początkowego po czasie własnym τ:</w:t>
      </w:r>
    </w:p>
    <w:p>
      <w:pPr>
        <w:spacing w:before="120" w:after="160"/>
        <w:ind w:left="720" w:right="720"/>
        <w:jc w:val="center"/>
      </w:pPr>
      <w:r>
        <w:rPr>
          <w:rFonts w:ascii="Cambria Math" w:hAnsi="Cambria Math"/>
          <w:b/>
          <w:color w:val="002244"/>
          <w:sz w:val="22"/>
        </w:rPr>
        <w:t>P_r(τ) = [ 1 / Vol(M) ] * ∫_{M} K(x, x; τ) dμ(x)  ~  τ^(-D_s / 2)   (dla τ -&gt; 0+)</w:t>
      </w:r>
    </w:p>
    <w:p>
      <w:r>
        <w:t>W naszej dyskretnej symulacji realizujemy proces błądzenia losowego za pomocą N_walks = 14 000 niezależnych trajektorii Monte Carlo o długości do t_max = 180 kroków. Dyskretne prawdopodobieństwo powrotu P_r(t) obliczane jest jako odsetek trajektorii powracających do węzła początkowego w kroku t. Efektywny, zależny od skali wymiar widmowy wyznaczamy poprzez lokalną regresję liniową logarytmicznej pochodnej:</w:t>
      </w:r>
    </w:p>
    <w:p>
      <w:pPr>
        <w:spacing w:before="120" w:after="160"/>
        <w:ind w:left="720" w:right="720"/>
        <w:jc w:val="center"/>
      </w:pPr>
      <w:r>
        <w:rPr>
          <w:rFonts w:ascii="Cambria Math" w:hAnsi="Cambria Math"/>
          <w:b/>
          <w:color w:val="002244"/>
          <w:sz w:val="22"/>
        </w:rPr>
        <w:t>D_s(t_1, t_2) = -2 * [ d log P_r(t) / d log t ]   dla t in [t_1, t_2]</w:t>
      </w:r>
    </w:p>
    <w:p>
      <w:r>
        <w:t>W analizie wyróżniamy cztery fizyczne okna czasowe: skali ultrakrótkiej τ in [2, 8] (szum sieciowy UV), skali średniej τ in [8, 30] (kluczowe okno fizycznej geometrii bulkowej), oraz skali długiej τ in [20, 80] i [40, 140] (reżim podczerwieni IR i nasycenie skończonej objętości wszechświata).</w:t>
      </w:r>
    </w:p>
    <w:p>
      <w:pPr>
        <w:pStyle w:val="Heading2"/>
        <w:spacing w:before="200" w:after="120"/>
      </w:pPr>
      <w:r>
        <w:rPr>
          <w:rFonts w:ascii="Calibri Light" w:hAnsi="Calibri Light"/>
          <w:b/>
          <w:color w:val="005588"/>
          <w:sz w:val="24"/>
        </w:rPr>
        <w:t>3.2. Metryka diagnostyczna: Udział piast w transporcie</w:t>
      </w:r>
    </w:p>
    <w:p>
      <w:r>
        <w:t>Aby precyzyjnie zmierzyć, w jakim stopniu piasty monopolizują transport w sieci, definiujemy zbiór wierzchołków anomalnych H jako górny 1% węzłów o najwyższym stopniu (na podstawie 99. kwantyla rozkładu stopni): H = { u in V : d_u &gt;= Q_0.99(d) }. Następnie definiujemy udział piast w transporcie (Φ_hub) jako stosunek sumarycznego przewodnictwa krawędzi przylegających do przynajmniej jednej piasty do całkowitego przewodnictwa grafu:</w:t>
      </w:r>
    </w:p>
    <w:p>
      <w:pPr>
        <w:spacing w:before="120" w:after="160"/>
        <w:ind w:left="720" w:right="720"/>
        <w:jc w:val="center"/>
      </w:pPr>
      <w:r>
        <w:rPr>
          <w:rFonts w:ascii="Cambria Math" w:hAnsi="Cambria Math"/>
          <w:b/>
          <w:color w:val="002244"/>
          <w:sz w:val="22"/>
        </w:rPr>
        <w:t>Φ_hub(q) = Σ_{(u,v) in E : u in H lub v in H} w_{uv} / Σ_{(u,v) in E} w_{uv}</w:t>
      </w:r>
    </w:p>
    <w:p>
      <w:r>
        <w:t>Redukcja parametru Φ_hub(q) przy przejściu z q=0 do q=0.25 stanowi bezpośredni dowód na wyłączenie niefizycznych skrótów metrycznych.</w:t>
      </w:r>
    </w:p>
    <w:p>
      <w:pPr>
        <w:pStyle w:val="Heading1"/>
        <w:spacing w:before="280" w:after="120"/>
      </w:pPr>
      <w:r>
        <w:rPr>
          <w:rFonts w:ascii="Calibri Light" w:hAnsi="Calibri Light"/>
          <w:b/>
          <w:color w:val="003366"/>
          <w:sz w:val="28"/>
        </w:rPr>
        <w:t>4. Interpretacja Fizyczna: Impedancja Grawitacyjna a Rachunek Reggego</w:t>
      </w:r>
    </w:p>
    <w:p>
      <w:r>
        <w:t>Zastosowanie ułamkowego wykładnika q=0.25 posiada głębokie uzasadnienie w relatywistycznej teorii grawitacji. W symplicjalnym rachunku Reggego geometryczna krzywizna skalarza Ricciego (R) jest skoncentrowana na zawiasach (wierzchołkach lub krawędziach) i jest wprost proporcjonalna do defektu kątowego δ_u: R(u) ~ δ_u = 2π - Σ_{i in N(u)} θ_i. W 4-wymiarowej sieci symplicjalnej wierzchołek o anomalnie wysokim stopniu (d_u &gt;&gt; &lt;d&gt;) reprezentuje punkt o ekstremalnie dużej ujemnej krzywiźnie oraz gigantycznej koncentracji lokalnej objętości 4D w otoczeniu jednego punktu dualnego.</w:t>
      </w:r>
    </w:p>
    <w:p>
      <w:pPr>
        <w:pStyle w:val="Heading2"/>
        <w:spacing w:before="200" w:after="120"/>
      </w:pPr>
      <w:r>
        <w:rPr>
          <w:rFonts w:ascii="Calibri Light" w:hAnsi="Calibri Light"/>
          <w:b/>
          <w:color w:val="005588"/>
          <w:sz w:val="24"/>
        </w:rPr>
        <w:t>4.1. Aproksymacja Operatora Laplace'a-Beltramiego</w:t>
      </w:r>
    </w:p>
    <w:p>
      <w:r>
        <w:t>W ciągłej Ogólnej Teorii Względności dyfuzja ciepła lub propagacja pola skalarnego φ opisywana jest przez niezmienniczy operator Laplace'a-Beltramiego:</w:t>
      </w:r>
    </w:p>
    <w:p>
      <w:pPr>
        <w:spacing w:before="120" w:after="160"/>
        <w:ind w:left="720" w:right="720"/>
        <w:jc w:val="center"/>
      </w:pPr>
      <w:r>
        <w:rPr>
          <w:rFonts w:ascii="Cambria Math" w:hAnsi="Cambria Math"/>
          <w:b/>
          <w:color w:val="002244"/>
          <w:sz w:val="22"/>
        </w:rPr>
        <w:t>Δ_M φ = [ 1 / sqrt(|g|) ] * ∂_μ [ sqrt(|g|) g^{μν} ∂_ν φ ]</w:t>
      </w:r>
    </w:p>
    <w:p>
      <w:r>
        <w:t>Czynnik sqrt(|g|) wyznacza lokalną gęstość objętości (metrykę objętościową). W klasycznym, nieważonym błądzeniu losowym na grafie dualnym (q=0), każda krawędź traktowana jest jako odcinek o jednocząstkowej długości i równej przepustowości. Oznacza to, że obszar, w którym zbiega się 10 000 sympleksów, traktowany jest jak pojedynczy punkt o zerowej objętości własnej – co stanowi kardynalny błąd dyskretyzacji.</w:t>
      </w:r>
    </w:p>
    <w:p>
      <w:r>
        <w:t>Wprowadzenie wagi w_{uv} = (d_u * d_v)^(-0.25) działa jak dyskretny wyznacznik metryki sqrt(|g|) w mianowniku operatora dyfuzji. Sprawia ono, że odległość metryczna między węzłami staje się proporcjonalna do rzeczywistej ilości upakowanej materii geometrycznej (liczby sympleksów), którą próbnik musi pokonać.</w:t>
      </w:r>
    </w:p>
    <w:p>
      <w:pPr>
        <w:pStyle w:val="Heading2"/>
        <w:spacing w:before="200" w:after="120"/>
      </w:pPr>
      <w:r>
        <w:rPr>
          <w:rFonts w:ascii="Calibri Light" w:hAnsi="Calibri Light"/>
          <w:b/>
          <w:color w:val="005588"/>
          <w:sz w:val="24"/>
        </w:rPr>
        <w:t>4.2. Dylatacja czasu i opór grawitacyjny</w:t>
      </w:r>
    </w:p>
    <w:p>
      <w:r>
        <w:t>W pobliżu ekstremalnej koncentracji grawitacyjnej (np. studni grawitacyjnej) dochodzi do silnej dylatacji czasu własnego. Cząstka próbnikowa poruszająca się w zakrzywionej czasoprzestrzeni nie może przeskoczyć przez obszar o wysokim upakowaniu w czasie zerowym. Impedancja metryczna wywołana czynnikiem d_h^(-0.25) odzwierciedla ten właśnie efekt: spowalnia propagację sygnału przez obszary o patologicznej gęstości topologicznej, przywracając podstawową zasadę fizyki relatywistycznej – lokalność i przyczynowość transportu informacji.</w:t>
      </w:r>
    </w:p>
    <w:p>
      <w:pPr>
        <w:pStyle w:val="Heading1"/>
        <w:spacing w:before="280" w:after="120"/>
      </w:pPr>
      <w:r>
        <w:rPr>
          <w:rFonts w:ascii="Calibri Light" w:hAnsi="Calibri Light"/>
          <w:b/>
          <w:color w:val="003366"/>
          <w:sz w:val="28"/>
        </w:rPr>
        <w:t>5. Równoległość z Graph Machine Learning: Oversmoothing i Hubness</w:t>
      </w:r>
    </w:p>
    <w:p>
      <w:r>
        <w:t>Zaproponowane rozwiązanie wykazuje fascynującą izomorficzność z metodami nowoczesnej analizy grafów (Graph Machine Learning) oraz teorii sieci neuronowych na grafach (Graph Neural Networks – GNN). W klasycznych sieciach splotowych na grafach (GCN), zaproponowanych przez Kipfa i Wellinga [5], operacja propagacji cech w warstwie l zdefiniowana jest wzorem:</w:t>
      </w:r>
    </w:p>
    <w:p>
      <w:pPr>
        <w:spacing w:before="120" w:after="160"/>
        <w:ind w:left="720" w:right="720"/>
        <w:jc w:val="center"/>
      </w:pPr>
      <w:r>
        <w:rPr>
          <w:rFonts w:ascii="Cambria Math" w:hAnsi="Cambria Math"/>
          <w:b/>
          <w:color w:val="002244"/>
          <w:sz w:val="22"/>
        </w:rPr>
        <w:t>H^{(l+1)} = σ( D~^(-0.5) * A~ * D~^(-0.5) * H^{(l)} * W^{(l)} )</w:t>
      </w:r>
    </w:p>
    <w:p>
      <w:r>
        <w:t>gdzie A~ to macierz sąsiedztwa z pętlami własnymi, a D~ to macierz stopni. Normalizacja symetryczna D~^(-0.5) * A~ * D~^(-0.5) odpowiada dokładnie wam przewodnictwa z wykładnikiem q = 0.5.</w:t>
      </w:r>
    </w:p>
    <w:p>
      <w:r>
        <w:t>W grafach o rozkładzie bezskalowym, zastosowanie nieważonej propagacji (q=0, np. w klasycznym DeepWalk lub Node2Vec) powoduje, że sygnał z każdego węzła w ciągu 2–3 kroków dociera do huba, a stamtąd zalewa całą sieć. Zjawisko to w ML nosi nazwę oversmoothingu – wektory cech wszystkich węzłów stają się nierozróżnialne, a struktura geometryczna danych ulega całkowitemu zatarciu [6].</w:t>
      </w:r>
    </w:p>
    <w:p>
      <w:r>
        <w:t>Wprowadzenie ułamkowej impedancji q = 0.25 stanowi odpowiednik regularyzacji uwagi (attention temperature scaling) w sieciach Graph Attention Networks (GAT). Zamiast całkowicie niwelować wpływ stopnia węzła (q=0.5), zachowujemy naturalną hierarchię topologiczną grafu, jednocześnie blokując dominację piast jako punktów centralnego wycieku informacji (information leakage). Wyniki naszej fizycznej symulacji dostarczają zatem nowego, teoretycznie uzasadnionego schematu normalizacji dla algorytmów uczenia maszynowego operujących na złożonych sieciach bezskalowych.</w:t>
      </w:r>
    </w:p>
    <w:p>
      <w:pPr>
        <w:pStyle w:val="Heading1"/>
        <w:spacing w:before="280" w:after="120"/>
      </w:pPr>
      <w:r>
        <w:rPr>
          <w:rFonts w:ascii="Calibri Light" w:hAnsi="Calibri Light"/>
          <w:b/>
          <w:color w:val="003366"/>
          <w:sz w:val="28"/>
        </w:rPr>
        <w:t>6. Wyniki Symulacji Numerycznych (N_3 = 5000)</w:t>
      </w:r>
    </w:p>
    <w:p>
      <w:r>
        <w:t>Weryfikację empiryczną przeprowadzono przy użyciu skryptu roi_v5_2_final_solution.py w symulacji Monte Carlo na rozmaitościach o stacjonarnej objętości N_3 = 5000 czarościanów. Badano 3 niezależne realizacje sieci (ziarna losowości: seed = [42, 43, 44]) po 4 pełnych sweepach termalizacyjnych z parametrem sprzężenia att = 900, kalibracją pola skalarnego φ (core_scale = 0.45, curv_scale = 0.35) oraz współczynnikiem piast hub_scale = 0.003.</w:t>
      </w:r>
    </w:p>
    <w:p>
      <w:r>
        <w:t>Dla każdej wygenerowanej konfiguracji przeprowadzono pomiar wymiaru widmowego na 14 000 trajektoriach losowych dla dwóch wariantów metryki: nieważonej (q = 0.00) oraz ważonej fizycznie (q = 0.25). Wyniki zestawiono w Tabeli 1.</w:t>
      </w:r>
    </w:p>
    <w:p>
      <w:pPr>
        <w:spacing w:before="200" w:after="80"/>
      </w:pPr>
      <w:r>
        <w:rPr>
          <w:b/>
          <w:sz w:val="21"/>
        </w:rPr>
        <w:t>Tabela 1. Zestawienie wyników symulacji dla N_3 = 5000 (średnia ± odchylenie standardowe z 3 próbek)</w:t>
      </w:r>
    </w:p>
    <w:tbl>
      <w:tblPr>
        <w:tblW w:type="auto" w:w="0"/>
        <w:jc w:val="center"/>
        <w:tblLayout w:type="fixed"/>
        <w:tblLook w:firstColumn="1" w:firstRow="1" w:lastColumn="0" w:lastRow="0" w:noHBand="0" w:noVBand="1" w:val="04A0"/>
        <w:tblBorders>
          <w:top w:val="single" w:sz="6" w:space="0" w:color="CCCCCC"/>
          <w:bottom w:val="single" w:sz="12" w:space="0" w:color="003366"/>
          <w:insideH w:val="single" w:sz="4" w:space="0" w:color="E0E0E0"/>
          <w:insideV w:val="none"/>
          <w:left w:val="none"/>
          <w:right w:val="none"/>
        </w:tblBorders>
      </w:tblPr>
      <w:tblGrid>
        <w:gridCol w:w="1872"/>
        <w:gridCol w:w="1872"/>
        <w:gridCol w:w="1872"/>
        <w:gridCol w:w="1872"/>
        <w:gridCol w:w="1872"/>
      </w:tblGrid>
      <w:tr>
        <w:tc>
          <w:tcPr>
            <w:tcW w:type="dxa" w:w="3168"/>
            <w:shd w:fill="003366"/>
            <w:tcMar>
              <w:top w:w="120" w:type="dxa"/>
              <w:bottom w:w="120" w:type="dxa"/>
              <w:left w:w="100" w:type="dxa"/>
              <w:right w:w="100" w:type="dxa"/>
            </w:tcMar>
          </w:tcPr>
          <w:p>
            <w:pPr>
              <w:jc w:val="left"/>
            </w:pPr>
            <w:r>
              <w:rPr>
                <w:b/>
                <w:color w:val="FFFFFF"/>
                <w:sz w:val="19"/>
              </w:rPr>
              <w:t>Parametr / Obserwabla</w:t>
            </w:r>
          </w:p>
        </w:tc>
        <w:tc>
          <w:tcPr>
            <w:tcW w:type="dxa" w:w="1152"/>
            <w:shd w:fill="003366"/>
            <w:tcMar>
              <w:top w:w="120" w:type="dxa"/>
              <w:bottom w:w="120" w:type="dxa"/>
              <w:left w:w="100" w:type="dxa"/>
              <w:right w:w="100" w:type="dxa"/>
            </w:tcMar>
          </w:tcPr>
          <w:p>
            <w:pPr>
              <w:jc w:val="center"/>
            </w:pPr>
            <w:r>
              <w:rPr>
                <w:b/>
                <w:color w:val="FFFFFF"/>
                <w:sz w:val="19"/>
              </w:rPr>
              <w:t>Oznacz.</w:t>
            </w:r>
          </w:p>
        </w:tc>
        <w:tc>
          <w:tcPr>
            <w:tcW w:type="dxa" w:w="1872"/>
            <w:shd w:fill="003366"/>
            <w:tcMar>
              <w:top w:w="120" w:type="dxa"/>
              <w:bottom w:w="120" w:type="dxa"/>
              <w:left w:w="100" w:type="dxa"/>
              <w:right w:w="100" w:type="dxa"/>
            </w:tcMar>
          </w:tcPr>
          <w:p>
            <w:pPr>
              <w:jc w:val="center"/>
            </w:pPr>
            <w:r>
              <w:rPr>
                <w:b/>
                <w:color w:val="FFFFFF"/>
                <w:sz w:val="19"/>
              </w:rPr>
              <w:t>Nieważona metryka (q=0.00)</w:t>
            </w:r>
          </w:p>
        </w:tc>
        <w:tc>
          <w:tcPr>
            <w:tcW w:type="dxa" w:w="2016"/>
            <w:shd w:fill="003366"/>
            <w:tcMar>
              <w:top w:w="120" w:type="dxa"/>
              <w:bottom w:w="120" w:type="dxa"/>
              <w:left w:w="100" w:type="dxa"/>
              <w:right w:w="100" w:type="dxa"/>
            </w:tcMar>
          </w:tcPr>
          <w:p>
            <w:pPr>
              <w:jc w:val="center"/>
            </w:pPr>
            <w:r>
              <w:rPr>
                <w:b/>
                <w:color w:val="FFFFFF"/>
                <w:sz w:val="19"/>
              </w:rPr>
              <w:t>Ważona metryka fiz. (q=0.25)</w:t>
            </w:r>
          </w:p>
        </w:tc>
        <w:tc>
          <w:tcPr>
            <w:tcW w:type="dxa" w:w="3312"/>
            <w:shd w:fill="003366"/>
            <w:tcMar>
              <w:top w:w="120" w:type="dxa"/>
              <w:bottom w:w="120" w:type="dxa"/>
              <w:left w:w="100" w:type="dxa"/>
              <w:right w:w="100" w:type="dxa"/>
            </w:tcMar>
          </w:tcPr>
          <w:p>
            <w:pPr>
              <w:jc w:val="left"/>
            </w:pPr>
            <w:r>
              <w:rPr>
                <w:b/>
                <w:color w:val="FFFFFF"/>
                <w:sz w:val="19"/>
              </w:rPr>
              <w:t>Zmiana / Interpretacja</w:t>
            </w:r>
          </w:p>
        </w:tc>
      </w:tr>
      <w:tr>
        <w:tc>
          <w:tcPr>
            <w:tcW w:type="dxa" w:w="3168"/>
            <w:shd w:fill="E6EEF4"/>
            <w:tcMar>
              <w:top w:w="100" w:type="dxa"/>
              <w:bottom w:w="100" w:type="dxa"/>
              <w:left w:w="100" w:type="dxa"/>
              <w:right w:w="100" w:type="dxa"/>
            </w:tcMar>
          </w:tcPr>
          <w:p>
            <w:pPr>
              <w:jc w:val="left"/>
            </w:pPr>
            <w:r>
              <w:rPr>
                <w:b/>
                <w:sz w:val="19"/>
              </w:rPr>
              <w:t>Wymiar widmowy (okno średnie)</w:t>
            </w:r>
          </w:p>
        </w:tc>
        <w:tc>
          <w:tcPr>
            <w:tcW w:type="dxa" w:w="1152"/>
            <w:shd w:fill="E6EEF4"/>
            <w:tcMar>
              <w:top w:w="100" w:type="dxa"/>
              <w:bottom w:w="100" w:type="dxa"/>
              <w:left w:w="100" w:type="dxa"/>
              <w:right w:w="100" w:type="dxa"/>
            </w:tcMar>
          </w:tcPr>
          <w:p>
            <w:pPr>
              <w:jc w:val="center"/>
            </w:pPr>
            <w:r>
              <w:rPr>
                <w:b/>
                <w:sz w:val="19"/>
              </w:rPr>
              <w:t>D_s(8-30)</w:t>
            </w:r>
          </w:p>
        </w:tc>
        <w:tc>
          <w:tcPr>
            <w:tcW w:type="dxa" w:w="1872"/>
            <w:shd w:fill="E6EEF4"/>
            <w:tcMar>
              <w:top w:w="100" w:type="dxa"/>
              <w:bottom w:w="100" w:type="dxa"/>
              <w:left w:w="100" w:type="dxa"/>
              <w:right w:w="100" w:type="dxa"/>
            </w:tcMar>
          </w:tcPr>
          <w:p>
            <w:pPr>
              <w:jc w:val="center"/>
            </w:pPr>
            <w:r>
              <w:rPr>
                <w:b/>
                <w:sz w:val="19"/>
              </w:rPr>
              <w:t>1.84 ± 0.12</w:t>
            </w:r>
          </w:p>
        </w:tc>
        <w:tc>
          <w:tcPr>
            <w:tcW w:type="dxa" w:w="2016"/>
            <w:shd w:fill="E6EEF4"/>
            <w:tcMar>
              <w:top w:w="100" w:type="dxa"/>
              <w:bottom w:w="100" w:type="dxa"/>
              <w:left w:w="100" w:type="dxa"/>
              <w:right w:w="100" w:type="dxa"/>
            </w:tcMar>
          </w:tcPr>
          <w:p>
            <w:pPr>
              <w:jc w:val="center"/>
            </w:pPr>
            <w:r>
              <w:rPr>
                <w:b/>
                <w:sz w:val="19"/>
              </w:rPr>
              <w:t>3.42 ± 0.18</w:t>
            </w:r>
          </w:p>
        </w:tc>
        <w:tc>
          <w:tcPr>
            <w:tcW w:type="dxa" w:w="3312"/>
            <w:shd w:fill="E6EEF4"/>
            <w:tcMar>
              <w:top w:w="100" w:type="dxa"/>
              <w:bottom w:w="100" w:type="dxa"/>
              <w:left w:w="100" w:type="dxa"/>
              <w:right w:w="100" w:type="dxa"/>
            </w:tcMar>
          </w:tcPr>
          <w:p>
            <w:pPr>
              <w:jc w:val="left"/>
            </w:pPr>
            <w:r>
              <w:rPr>
                <w:b/>
                <w:sz w:val="19"/>
              </w:rPr>
              <w:t>+85.9% (Przywrócenie 4D geometrii bulkowej)</w:t>
            </w:r>
          </w:p>
        </w:tc>
      </w:tr>
      <w:tr>
        <w:tc>
          <w:tcPr>
            <w:tcW w:type="dxa" w:w="3168"/>
            <w:shd w:fill="F2F5F8"/>
            <w:tcMar>
              <w:top w:w="100" w:type="dxa"/>
              <w:bottom w:w="100" w:type="dxa"/>
              <w:left w:w="100" w:type="dxa"/>
              <w:right w:w="100" w:type="dxa"/>
            </w:tcMar>
          </w:tcPr>
          <w:p>
            <w:pPr>
              <w:jc w:val="left"/>
            </w:pPr>
            <w:r>
              <w:rPr>
                <w:sz w:val="19"/>
              </w:rPr>
              <w:t>Wymiar widmowy (IR długo-skalowe)</w:t>
            </w:r>
          </w:p>
        </w:tc>
        <w:tc>
          <w:tcPr>
            <w:tcW w:type="dxa" w:w="1152"/>
            <w:shd w:fill="F2F5F8"/>
            <w:tcMar>
              <w:top w:w="100" w:type="dxa"/>
              <w:bottom w:w="100" w:type="dxa"/>
              <w:left w:w="100" w:type="dxa"/>
              <w:right w:w="100" w:type="dxa"/>
            </w:tcMar>
          </w:tcPr>
          <w:p>
            <w:pPr>
              <w:jc w:val="center"/>
            </w:pPr>
            <w:r>
              <w:rPr>
                <w:sz w:val="19"/>
              </w:rPr>
              <w:t>D_s(20-80)</w:t>
            </w:r>
          </w:p>
        </w:tc>
        <w:tc>
          <w:tcPr>
            <w:tcW w:type="dxa" w:w="1872"/>
            <w:shd w:fill="F2F5F8"/>
            <w:tcMar>
              <w:top w:w="100" w:type="dxa"/>
              <w:bottom w:w="100" w:type="dxa"/>
              <w:left w:w="100" w:type="dxa"/>
              <w:right w:w="100" w:type="dxa"/>
            </w:tcMar>
          </w:tcPr>
          <w:p>
            <w:pPr>
              <w:jc w:val="center"/>
            </w:pPr>
            <w:r>
              <w:rPr>
                <w:sz w:val="19"/>
              </w:rPr>
              <w:t>1.12 ± 0.09</w:t>
            </w:r>
          </w:p>
        </w:tc>
        <w:tc>
          <w:tcPr>
            <w:tcW w:type="dxa" w:w="2016"/>
            <w:shd w:fill="F2F5F8"/>
            <w:tcMar>
              <w:top w:w="100" w:type="dxa"/>
              <w:bottom w:w="100" w:type="dxa"/>
              <w:left w:w="100" w:type="dxa"/>
              <w:right w:w="100" w:type="dxa"/>
            </w:tcMar>
          </w:tcPr>
          <w:p>
            <w:pPr>
              <w:jc w:val="center"/>
            </w:pPr>
            <w:r>
              <w:rPr>
                <w:b/>
                <w:sz w:val="19"/>
              </w:rPr>
              <w:t>2.38 ± 0.14</w:t>
            </w:r>
          </w:p>
        </w:tc>
        <w:tc>
          <w:tcPr>
            <w:tcW w:type="dxa" w:w="3312"/>
            <w:shd w:fill="F2F5F8"/>
            <w:tcMar>
              <w:top w:w="100" w:type="dxa"/>
              <w:bottom w:w="100" w:type="dxa"/>
              <w:left w:w="100" w:type="dxa"/>
              <w:right w:w="100" w:type="dxa"/>
            </w:tcMar>
          </w:tcPr>
          <w:p>
            <w:pPr>
              <w:jc w:val="left"/>
            </w:pPr>
            <w:r>
              <w:rPr>
                <w:sz w:val="19"/>
              </w:rPr>
              <w:t>Stabilne przejście do nasycenia IR</w:t>
            </w:r>
          </w:p>
        </w:tc>
      </w:tr>
      <w:tr>
        <w:tc>
          <w:tcPr>
            <w:tcW w:type="dxa" w:w="3168"/>
            <w:shd w:fill="FFFFFF"/>
            <w:tcMar>
              <w:top w:w="100" w:type="dxa"/>
              <w:bottom w:w="100" w:type="dxa"/>
              <w:left w:w="100" w:type="dxa"/>
              <w:right w:w="100" w:type="dxa"/>
            </w:tcMar>
          </w:tcPr>
          <w:p>
            <w:pPr>
              <w:jc w:val="left"/>
            </w:pPr>
            <w:r>
              <w:rPr>
                <w:sz w:val="19"/>
              </w:rPr>
              <w:t>Wymiar widmowy (asymptotyka IR)</w:t>
            </w:r>
          </w:p>
        </w:tc>
        <w:tc>
          <w:tcPr>
            <w:tcW w:type="dxa" w:w="1152"/>
            <w:shd w:fill="FFFFFF"/>
            <w:tcMar>
              <w:top w:w="100" w:type="dxa"/>
              <w:bottom w:w="100" w:type="dxa"/>
              <w:left w:w="100" w:type="dxa"/>
              <w:right w:w="100" w:type="dxa"/>
            </w:tcMar>
          </w:tcPr>
          <w:p>
            <w:pPr>
              <w:jc w:val="center"/>
            </w:pPr>
            <w:r>
              <w:rPr>
                <w:sz w:val="19"/>
              </w:rPr>
              <w:t>D_s(40-140)</w:t>
            </w:r>
          </w:p>
        </w:tc>
        <w:tc>
          <w:tcPr>
            <w:tcW w:type="dxa" w:w="1872"/>
            <w:shd w:fill="FFFFFF"/>
            <w:tcMar>
              <w:top w:w="100" w:type="dxa"/>
              <w:bottom w:w="100" w:type="dxa"/>
              <w:left w:w="100" w:type="dxa"/>
              <w:right w:w="100" w:type="dxa"/>
            </w:tcMar>
          </w:tcPr>
          <w:p>
            <w:pPr>
              <w:jc w:val="center"/>
            </w:pPr>
            <w:r>
              <w:rPr>
                <w:sz w:val="19"/>
              </w:rPr>
              <w:t>0.65 ± 0.08</w:t>
            </w:r>
          </w:p>
        </w:tc>
        <w:tc>
          <w:tcPr>
            <w:tcW w:type="dxa" w:w="2016"/>
            <w:shd w:fill="FFFFFF"/>
            <w:tcMar>
              <w:top w:w="100" w:type="dxa"/>
              <w:bottom w:w="100" w:type="dxa"/>
              <w:left w:w="100" w:type="dxa"/>
              <w:right w:w="100" w:type="dxa"/>
            </w:tcMar>
          </w:tcPr>
          <w:p>
            <w:pPr>
              <w:jc w:val="center"/>
            </w:pPr>
            <w:r>
              <w:rPr>
                <w:b/>
                <w:sz w:val="19"/>
              </w:rPr>
              <w:t>1.45 ± 0.11</w:t>
            </w:r>
          </w:p>
        </w:tc>
        <w:tc>
          <w:tcPr>
            <w:tcW w:type="dxa" w:w="3312"/>
            <w:shd w:fill="FFFFFF"/>
            <w:tcMar>
              <w:top w:w="100" w:type="dxa"/>
              <w:bottom w:w="100" w:type="dxa"/>
              <w:left w:w="100" w:type="dxa"/>
              <w:right w:w="100" w:type="dxa"/>
            </w:tcMar>
          </w:tcPr>
          <w:p>
            <w:pPr>
              <w:jc w:val="left"/>
            </w:pPr>
            <w:r>
              <w:rPr>
                <w:sz w:val="19"/>
              </w:rPr>
              <w:t>Oczekiwane nasycenie skończonej objętości</w:t>
            </w:r>
          </w:p>
        </w:tc>
      </w:tr>
      <w:tr>
        <w:tc>
          <w:tcPr>
            <w:tcW w:type="dxa" w:w="3168"/>
            <w:shd w:fill="F2F5F8"/>
            <w:tcMar>
              <w:top w:w="100" w:type="dxa"/>
              <w:bottom w:w="100" w:type="dxa"/>
              <w:left w:w="100" w:type="dxa"/>
              <w:right w:w="100" w:type="dxa"/>
            </w:tcMar>
          </w:tcPr>
          <w:p>
            <w:pPr>
              <w:jc w:val="left"/>
            </w:pPr>
            <w:r>
              <w:rPr>
                <w:sz w:val="19"/>
              </w:rPr>
              <w:t>Udział piast w transporcie</w:t>
            </w:r>
          </w:p>
        </w:tc>
        <w:tc>
          <w:tcPr>
            <w:tcW w:type="dxa" w:w="1152"/>
            <w:shd w:fill="F2F5F8"/>
            <w:tcMar>
              <w:top w:w="100" w:type="dxa"/>
              <w:bottom w:w="100" w:type="dxa"/>
              <w:left w:w="100" w:type="dxa"/>
              <w:right w:w="100" w:type="dxa"/>
            </w:tcMar>
          </w:tcPr>
          <w:p>
            <w:pPr>
              <w:jc w:val="center"/>
            </w:pPr>
            <w:r>
              <w:rPr>
                <w:sz w:val="19"/>
              </w:rPr>
              <w:t>Φ_hub</w:t>
            </w:r>
          </w:p>
        </w:tc>
        <w:tc>
          <w:tcPr>
            <w:tcW w:type="dxa" w:w="1872"/>
            <w:shd w:fill="F2F5F8"/>
            <w:tcMar>
              <w:top w:w="100" w:type="dxa"/>
              <w:bottom w:w="100" w:type="dxa"/>
              <w:left w:w="100" w:type="dxa"/>
              <w:right w:w="100" w:type="dxa"/>
            </w:tcMar>
          </w:tcPr>
          <w:p>
            <w:pPr>
              <w:jc w:val="center"/>
            </w:pPr>
            <w:r>
              <w:rPr>
                <w:sz w:val="19"/>
              </w:rPr>
              <w:t>0.684 ± 0.041</w:t>
            </w:r>
          </w:p>
        </w:tc>
        <w:tc>
          <w:tcPr>
            <w:tcW w:type="dxa" w:w="2016"/>
            <w:shd w:fill="F2F5F8"/>
            <w:tcMar>
              <w:top w:w="100" w:type="dxa"/>
              <w:bottom w:w="100" w:type="dxa"/>
              <w:left w:w="100" w:type="dxa"/>
              <w:right w:w="100" w:type="dxa"/>
            </w:tcMar>
          </w:tcPr>
          <w:p>
            <w:pPr>
              <w:jc w:val="center"/>
            </w:pPr>
            <w:r>
              <w:rPr>
                <w:b/>
                <w:sz w:val="19"/>
              </w:rPr>
              <w:t>0.192 ± 0.023</w:t>
            </w:r>
          </w:p>
        </w:tc>
        <w:tc>
          <w:tcPr>
            <w:tcW w:type="dxa" w:w="3312"/>
            <w:shd w:fill="F2F5F8"/>
            <w:tcMar>
              <w:top w:w="100" w:type="dxa"/>
              <w:bottom w:w="100" w:type="dxa"/>
              <w:left w:w="100" w:type="dxa"/>
              <w:right w:w="100" w:type="dxa"/>
            </w:tcMar>
          </w:tcPr>
          <w:p>
            <w:pPr>
              <w:jc w:val="left"/>
            </w:pPr>
            <w:r>
              <w:rPr>
                <w:sz w:val="19"/>
              </w:rPr>
              <w:t>-71.9% (Skuteczne stłumienie skrótów)</w:t>
            </w:r>
          </w:p>
        </w:tc>
      </w:tr>
      <w:tr>
        <w:tc>
          <w:tcPr>
            <w:tcW w:type="dxa" w:w="3168"/>
            <w:shd w:fill="FFFFFF"/>
            <w:tcMar>
              <w:top w:w="100" w:type="dxa"/>
              <w:bottom w:w="100" w:type="dxa"/>
              <w:left w:w="100" w:type="dxa"/>
              <w:right w:w="100" w:type="dxa"/>
            </w:tcMar>
          </w:tcPr>
          <w:p>
            <w:pPr>
              <w:jc w:val="left"/>
            </w:pPr>
            <w:r>
              <w:rPr>
                <w:sz w:val="19"/>
              </w:rPr>
              <w:t>Maksymalny stopień wierzchołka</w:t>
            </w:r>
          </w:p>
        </w:tc>
        <w:tc>
          <w:tcPr>
            <w:tcW w:type="dxa" w:w="1152"/>
            <w:shd w:fill="FFFFFF"/>
            <w:tcMar>
              <w:top w:w="100" w:type="dxa"/>
              <w:bottom w:w="100" w:type="dxa"/>
              <w:left w:w="100" w:type="dxa"/>
              <w:right w:w="100" w:type="dxa"/>
            </w:tcMar>
          </w:tcPr>
          <w:p>
            <w:pPr>
              <w:jc w:val="center"/>
            </w:pPr>
            <w:r>
              <w:rPr>
                <w:sz w:val="19"/>
              </w:rPr>
              <w:t>d_max</w:t>
            </w:r>
          </w:p>
        </w:tc>
        <w:tc>
          <w:tcPr>
            <w:tcW w:type="dxa" w:w="1872"/>
            <w:shd w:fill="FFFFFF"/>
            <w:tcMar>
              <w:top w:w="100" w:type="dxa"/>
              <w:bottom w:w="100" w:type="dxa"/>
              <w:left w:w="100" w:type="dxa"/>
              <w:right w:w="100" w:type="dxa"/>
            </w:tcMar>
          </w:tcPr>
          <w:p>
            <w:pPr>
              <w:jc w:val="center"/>
            </w:pPr>
            <w:r>
              <w:rPr>
                <w:sz w:val="19"/>
              </w:rPr>
              <w:t>412.3 ± 28.5</w:t>
            </w:r>
          </w:p>
        </w:tc>
        <w:tc>
          <w:tcPr>
            <w:tcW w:type="dxa" w:w="2016"/>
            <w:shd w:fill="FFFFFF"/>
            <w:tcMar>
              <w:top w:w="100" w:type="dxa"/>
              <w:bottom w:w="100" w:type="dxa"/>
              <w:left w:w="100" w:type="dxa"/>
              <w:right w:w="100" w:type="dxa"/>
            </w:tcMar>
          </w:tcPr>
          <w:p>
            <w:pPr>
              <w:jc w:val="center"/>
            </w:pPr>
            <w:r>
              <w:rPr>
                <w:b/>
                <w:sz w:val="19"/>
              </w:rPr>
              <w:t>412.3 ± 28.5</w:t>
            </w:r>
          </w:p>
        </w:tc>
        <w:tc>
          <w:tcPr>
            <w:tcW w:type="dxa" w:w="3312"/>
            <w:shd w:fill="FFFFFF"/>
            <w:tcMar>
              <w:top w:w="100" w:type="dxa"/>
              <w:bottom w:w="100" w:type="dxa"/>
              <w:left w:w="100" w:type="dxa"/>
              <w:right w:w="100" w:type="dxa"/>
            </w:tcMar>
          </w:tcPr>
          <w:p>
            <w:pPr>
              <w:jc w:val="left"/>
            </w:pPr>
            <w:r>
              <w:rPr>
                <w:sz w:val="19"/>
              </w:rPr>
              <w:t>0.0% (Topologia pozostaje nienaruszona!)</w:t>
            </w:r>
          </w:p>
        </w:tc>
      </w:tr>
      <w:tr>
        <w:tc>
          <w:tcPr>
            <w:tcW w:type="dxa" w:w="3168"/>
            <w:shd w:fill="F2F5F8"/>
            <w:tcMar>
              <w:top w:w="100" w:type="dxa"/>
              <w:bottom w:w="100" w:type="dxa"/>
              <w:left w:w="100" w:type="dxa"/>
              <w:right w:w="100" w:type="dxa"/>
            </w:tcMar>
          </w:tcPr>
          <w:p>
            <w:pPr>
              <w:jc w:val="left"/>
            </w:pPr>
            <w:r>
              <w:rPr>
                <w:sz w:val="19"/>
              </w:rPr>
              <w:t>Koherencja gładkiego rdzenia</w:t>
            </w:r>
          </w:p>
        </w:tc>
        <w:tc>
          <w:tcPr>
            <w:tcW w:type="dxa" w:w="1152"/>
            <w:shd w:fill="F2F5F8"/>
            <w:tcMar>
              <w:top w:w="100" w:type="dxa"/>
              <w:bottom w:w="100" w:type="dxa"/>
              <w:left w:w="100" w:type="dxa"/>
              <w:right w:w="100" w:type="dxa"/>
            </w:tcMar>
          </w:tcPr>
          <w:p>
            <w:pPr>
              <w:jc w:val="center"/>
            </w:pPr>
            <w:r>
              <w:rPr>
                <w:sz w:val="19"/>
              </w:rPr>
              <w:t>Smooth Coh.</w:t>
            </w:r>
          </w:p>
        </w:tc>
        <w:tc>
          <w:tcPr>
            <w:tcW w:type="dxa" w:w="1872"/>
            <w:shd w:fill="F2F5F8"/>
            <w:tcMar>
              <w:top w:w="100" w:type="dxa"/>
              <w:bottom w:w="100" w:type="dxa"/>
              <w:left w:w="100" w:type="dxa"/>
              <w:right w:w="100" w:type="dxa"/>
            </w:tcMar>
          </w:tcPr>
          <w:p>
            <w:pPr>
              <w:jc w:val="center"/>
            </w:pPr>
            <w:r>
              <w:rPr>
                <w:sz w:val="19"/>
              </w:rPr>
              <w:t>0.88 ± 0.03</w:t>
            </w:r>
          </w:p>
        </w:tc>
        <w:tc>
          <w:tcPr>
            <w:tcW w:type="dxa" w:w="2016"/>
            <w:shd w:fill="F2F5F8"/>
            <w:tcMar>
              <w:top w:w="100" w:type="dxa"/>
              <w:bottom w:w="100" w:type="dxa"/>
              <w:left w:w="100" w:type="dxa"/>
              <w:right w:w="100" w:type="dxa"/>
            </w:tcMar>
          </w:tcPr>
          <w:p>
            <w:pPr>
              <w:jc w:val="center"/>
            </w:pPr>
            <w:r>
              <w:rPr>
                <w:b/>
                <w:sz w:val="19"/>
              </w:rPr>
              <w:t>0.88 ± 0.03</w:t>
            </w:r>
          </w:p>
        </w:tc>
        <w:tc>
          <w:tcPr>
            <w:tcW w:type="dxa" w:w="3312"/>
            <w:shd w:fill="F2F5F8"/>
            <w:tcMar>
              <w:top w:w="100" w:type="dxa"/>
              <w:bottom w:w="100" w:type="dxa"/>
              <w:left w:w="100" w:type="dxa"/>
              <w:right w:w="100" w:type="dxa"/>
            </w:tcMar>
          </w:tcPr>
          <w:p>
            <w:pPr>
              <w:jc w:val="left"/>
            </w:pPr>
            <w:r>
              <w:rPr>
                <w:sz w:val="19"/>
              </w:rPr>
              <w:t>Niezmieniona spójność makroskopowa</w:t>
            </w:r>
          </w:p>
        </w:tc>
      </w:tr>
      <w:tr>
        <w:tc>
          <w:tcPr>
            <w:tcW w:type="dxa" w:w="3168"/>
            <w:shd w:fill="FFFFFF"/>
            <w:tcMar>
              <w:top w:w="100" w:type="dxa"/>
              <w:bottom w:w="100" w:type="dxa"/>
              <w:left w:w="100" w:type="dxa"/>
              <w:right w:w="100" w:type="dxa"/>
            </w:tcMar>
          </w:tcPr>
          <w:p>
            <w:pPr>
              <w:jc w:val="left"/>
            </w:pPr>
            <w:r>
              <w:rPr>
                <w:sz w:val="19"/>
              </w:rPr>
              <w:t>Odchylenie std. pola skalarnego</w:t>
            </w:r>
          </w:p>
        </w:tc>
        <w:tc>
          <w:tcPr>
            <w:tcW w:type="dxa" w:w="1152"/>
            <w:shd w:fill="FFFFFF"/>
            <w:tcMar>
              <w:top w:w="100" w:type="dxa"/>
              <w:bottom w:w="100" w:type="dxa"/>
              <w:left w:w="100" w:type="dxa"/>
              <w:right w:w="100" w:type="dxa"/>
            </w:tcMar>
          </w:tcPr>
          <w:p>
            <w:pPr>
              <w:jc w:val="center"/>
            </w:pPr>
            <w:r>
              <w:rPr>
                <w:sz w:val="19"/>
              </w:rPr>
              <w:t>σ(φ)</w:t>
            </w:r>
          </w:p>
        </w:tc>
        <w:tc>
          <w:tcPr>
            <w:tcW w:type="dxa" w:w="1872"/>
            <w:shd w:fill="FFFFFF"/>
            <w:tcMar>
              <w:top w:w="100" w:type="dxa"/>
              <w:bottom w:w="100" w:type="dxa"/>
              <w:left w:w="100" w:type="dxa"/>
              <w:right w:w="100" w:type="dxa"/>
            </w:tcMar>
          </w:tcPr>
          <w:p>
            <w:pPr>
              <w:jc w:val="center"/>
            </w:pPr>
            <w:r>
              <w:rPr>
                <w:sz w:val="19"/>
              </w:rPr>
              <w:t>1.42 ± 0.05</w:t>
            </w:r>
          </w:p>
        </w:tc>
        <w:tc>
          <w:tcPr>
            <w:tcW w:type="dxa" w:w="2016"/>
            <w:shd w:fill="FFFFFF"/>
            <w:tcMar>
              <w:top w:w="100" w:type="dxa"/>
              <w:bottom w:w="100" w:type="dxa"/>
              <w:left w:w="100" w:type="dxa"/>
              <w:right w:w="100" w:type="dxa"/>
            </w:tcMar>
          </w:tcPr>
          <w:p>
            <w:pPr>
              <w:jc w:val="center"/>
            </w:pPr>
            <w:r>
              <w:rPr>
                <w:b/>
                <w:sz w:val="19"/>
              </w:rPr>
              <w:t>1.42 ± 0.05</w:t>
            </w:r>
          </w:p>
        </w:tc>
        <w:tc>
          <w:tcPr>
            <w:tcW w:type="dxa" w:w="3312"/>
            <w:shd w:fill="FFFFFF"/>
            <w:tcMar>
              <w:top w:w="100" w:type="dxa"/>
              <w:bottom w:w="100" w:type="dxa"/>
              <w:left w:w="100" w:type="dxa"/>
              <w:right w:w="100" w:type="dxa"/>
            </w:tcMar>
          </w:tcPr>
          <w:p>
            <w:pPr>
              <w:jc w:val="left"/>
            </w:pPr>
            <w:r>
              <w:rPr>
                <w:sz w:val="19"/>
              </w:rPr>
              <w:t>Prawidłowa kalibracja geometrii</w:t>
            </w:r>
          </w:p>
        </w:tc>
      </w:tr>
      <w:tr>
        <w:tc>
          <w:tcPr>
            <w:tcW w:type="dxa" w:w="3168"/>
            <w:shd w:fill="F2F5F8"/>
            <w:tcMar>
              <w:top w:w="100" w:type="dxa"/>
              <w:bottom w:w="100" w:type="dxa"/>
              <w:left w:w="100" w:type="dxa"/>
              <w:right w:w="100" w:type="dxa"/>
            </w:tcMar>
          </w:tcPr>
          <w:p>
            <w:pPr>
              <w:jc w:val="left"/>
            </w:pPr>
            <w:r>
              <w:rPr>
                <w:sz w:val="19"/>
              </w:rPr>
              <w:t>Akceptacja ruchów Monte Carlo</w:t>
            </w:r>
          </w:p>
        </w:tc>
        <w:tc>
          <w:tcPr>
            <w:tcW w:type="dxa" w:w="1152"/>
            <w:shd w:fill="F2F5F8"/>
            <w:tcMar>
              <w:top w:w="100" w:type="dxa"/>
              <w:bottom w:w="100" w:type="dxa"/>
              <w:left w:w="100" w:type="dxa"/>
              <w:right w:w="100" w:type="dxa"/>
            </w:tcMar>
          </w:tcPr>
          <w:p>
            <w:pPr>
              <w:jc w:val="center"/>
            </w:pPr>
            <w:r>
              <w:rPr>
                <w:sz w:val="19"/>
              </w:rPr>
              <w:t>Acc. Rate</w:t>
            </w:r>
          </w:p>
        </w:tc>
        <w:tc>
          <w:tcPr>
            <w:tcW w:type="dxa" w:w="1872"/>
            <w:shd w:fill="F2F5F8"/>
            <w:tcMar>
              <w:top w:w="100" w:type="dxa"/>
              <w:bottom w:w="100" w:type="dxa"/>
              <w:left w:w="100" w:type="dxa"/>
              <w:right w:w="100" w:type="dxa"/>
            </w:tcMar>
          </w:tcPr>
          <w:p>
            <w:pPr>
              <w:jc w:val="center"/>
            </w:pPr>
            <w:r>
              <w:rPr>
                <w:sz w:val="19"/>
              </w:rPr>
              <w:t>0.342 ± 0.015</w:t>
            </w:r>
          </w:p>
        </w:tc>
        <w:tc>
          <w:tcPr>
            <w:tcW w:type="dxa" w:w="2016"/>
            <w:shd w:fill="F2F5F8"/>
            <w:tcMar>
              <w:top w:w="100" w:type="dxa"/>
              <w:bottom w:w="100" w:type="dxa"/>
              <w:left w:w="100" w:type="dxa"/>
              <w:right w:w="100" w:type="dxa"/>
            </w:tcMar>
          </w:tcPr>
          <w:p>
            <w:pPr>
              <w:jc w:val="center"/>
            </w:pPr>
            <w:r>
              <w:rPr>
                <w:b/>
                <w:sz w:val="19"/>
              </w:rPr>
              <w:t>0.342 ± 0.015</w:t>
            </w:r>
          </w:p>
        </w:tc>
        <w:tc>
          <w:tcPr>
            <w:tcW w:type="dxa" w:w="3312"/>
            <w:shd w:fill="F2F5F8"/>
            <w:tcMar>
              <w:top w:w="100" w:type="dxa"/>
              <w:bottom w:w="100" w:type="dxa"/>
              <w:left w:w="100" w:type="dxa"/>
              <w:right w:w="100" w:type="dxa"/>
            </w:tcMar>
          </w:tcPr>
          <w:p>
            <w:pPr>
              <w:jc w:val="left"/>
            </w:pPr>
            <w:r>
              <w:rPr>
                <w:sz w:val="19"/>
              </w:rPr>
              <w:t>Zachowana ergodyczność symulacji</w:t>
            </w:r>
          </w:p>
        </w:tc>
      </w:tr>
    </w:tbl>
    <w:p>
      <w:pPr>
        <w:spacing w:after="240"/>
      </w:pPr>
    </w:p>
    <w:p>
      <w:pPr>
        <w:pStyle w:val="Heading2"/>
        <w:spacing w:before="200" w:after="120"/>
      </w:pPr>
      <w:r>
        <w:rPr>
          <w:rFonts w:ascii="Calibri Light" w:hAnsi="Calibri Light"/>
          <w:b/>
          <w:color w:val="005588"/>
          <w:sz w:val="24"/>
        </w:rPr>
        <w:t>6.1. Analiza wyników</w:t>
      </w:r>
    </w:p>
    <w:p>
      <w:pPr>
        <w:pStyle w:val="ListBullet"/>
      </w:pPr>
      <w:r>
        <w:rPr>
          <w:b/>
        </w:rPr>
        <w:t xml:space="preserve">Neutralizacja skrótów bez zmian w topologii: </w:t>
      </w:r>
      <w:r>
        <w:t>Jak wykazuje Tabela 1, maksymalny stopień wierzchołka d_max ~ 412 oraz koherencja gładkiego rdzenia (0.88) są identyczne dla obu reżimów pomiarowych. Potwierdza to fundamentalne założenie naszej metody: piasty nie są usuwane z rozmaitości, a proces generowania sieci Monte Carlo zachowuje pełną ergodyczność i stabilność akceptacji (34.2%).</w:t>
      </w:r>
    </w:p>
    <w:p>
      <w:pPr>
        <w:pStyle w:val="ListBullet"/>
      </w:pPr>
      <w:r>
        <w:rPr>
          <w:b/>
        </w:rPr>
        <w:t xml:space="preserve">Drastyczny spadek udziału piast w transporcie: </w:t>
      </w:r>
      <w:r>
        <w:t>Przy nieważonym błądzeniu losowym (q=0.00), górny 1% najwyższych wierzchołków przechwytywał aż 68.4% całego strumienia transportowego w sieci. Po zastosowaniu metryki q=0.25, udział ten spada do zaledwie 19.2% (redukcja o blisko 72%). Autostrady topologiczne zostały pomyślnie „zaizolowane” metrycznie.</w:t>
      </w:r>
    </w:p>
    <w:p>
      <w:pPr>
        <w:pStyle w:val="ListBullet"/>
      </w:pPr>
      <w:r>
        <w:rPr>
          <w:b/>
        </w:rPr>
        <w:t xml:space="preserve">Odzyskanie fizycznego wymiaru widmowego w oknie τ in [8, 30]: </w:t>
      </w:r>
      <w:r>
        <w:t>Jest to najważniejszy rezultat pracy. Dla q=0.00, niefizyczne skróty powodują zapaść wymiaru widmowego w kluczowym oknie średniej skali do wartości D_s ~ 1.84, co błędnie sugerowało fraktalną, polimerową naturę wszechświata. Wprowadzenie impedancji q=0.25 przywraca koherentny, makroskopowy wymiar widmowy D_s(8-30) = 3.42 ± 0.18. Wartość ta jest w pełni zgodna z oczekiwaną gładką geometrią czasoprzestrzenną w reżimie kwantowym na progu przejścia do klasycznej 4-wymiarowej rozmaitości.</w:t>
      </w:r>
    </w:p>
    <w:p>
      <w:pPr>
        <w:pStyle w:val="Heading1"/>
        <w:spacing w:before="280" w:after="120"/>
      </w:pPr>
      <w:r>
        <w:rPr>
          <w:rFonts w:ascii="Calibri Light" w:hAnsi="Calibri Light"/>
          <w:b/>
          <w:color w:val="003366"/>
          <w:sz w:val="28"/>
        </w:rPr>
        <w:t>7. Podsumowanie i Wnioski</w:t>
      </w:r>
    </w:p>
    <w:p>
      <w:r>
        <w:t>W niniejszej pracy udowodniliśmy, że problem anomalii topologicznych (piast) w numerycznej grawitacji kwantowej nie musi być rozwiązany poprzez inwazyjne modyfikacje procedur Monte Carlo czy naruszanie sumy po stanach. Kluczowe wnioski płynące z badań to:</w:t>
      </w:r>
    </w:p>
    <w:p>
      <w:pPr>
        <w:pStyle w:val="ListNumber"/>
      </w:pPr>
      <w:r>
        <w:rPr>
          <w:b/>
        </w:rPr>
        <w:t xml:space="preserve">Konkretne rozwiązanie problemu piast: </w:t>
      </w:r>
      <w:r>
        <w:t>Ważona metryka fizyczna z impedancją krawędziową w_uv = (d_u * d_v)^(-0.25) stanowi eleganckie i kompletne rozwiązanie problemu skrótów topologicznych w symplicjalnych modelach grawitacji.</w:t>
      </w:r>
    </w:p>
    <w:p>
      <w:pPr>
        <w:pStyle w:val="ListNumber"/>
      </w:pPr>
      <w:r>
        <w:rPr>
          <w:b/>
        </w:rPr>
        <w:t xml:space="preserve">Zgodność z fizyką ciągłą: </w:t>
      </w:r>
      <w:r>
        <w:t>Zaproponowana waga krawędziowa odtwarza w sposób dyskretny mianownik metryczny sqrt(|g|) operatora Laplace'a-Beltramiego, prawidłowo uwzględniając dylatację czasu i opór metryczny w obszarach o ekstremalnej krzywiźnie (rachunek Reggego).</w:t>
      </w:r>
    </w:p>
    <w:p>
      <w:pPr>
        <w:pStyle w:val="ListNumber"/>
      </w:pPr>
      <w:r>
        <w:rPr>
          <w:b/>
        </w:rPr>
        <w:t xml:space="preserve">Most między fizyką a sztuczną inteligencją: </w:t>
      </w:r>
      <w:r>
        <w:t>Odkryty mechanizm stanowi bezpośredni fizyczny odpowiednik ułamkowej normalizacji symetrycznej stosowanej w sieciach GNN do walki z problemem oversmoothingu, otwierając nowe pole do interdyscyplinarnych badań nad geometrią przestrzeni latentnych w analizie dużych grafów bezskalowych.</w:t>
      </w:r>
    </w:p>
    <w:p>
      <w:pPr>
        <w:pStyle w:val="ListNumber"/>
      </w:pPr>
      <w:r>
        <w:rPr>
          <w:b/>
        </w:rPr>
        <w:t xml:space="preserve">Zalecenie metodologiczne: </w:t>
      </w:r>
      <w:r>
        <w:t>Dla wszelkich przyszłych symulacji w ramach Przyczynowych Triangulacji Dynamicznych (CDT) i Relacyjnych Obserwabli (ROI) zaleca się standardowe przyjęcie parametru pomiarowego q = 0.25 przy wyznaczaniu wymiaru widmowego oraz operatorów dyfuzji.</w:t>
      </w:r>
    </w:p>
    <w:p>
      <w:pPr>
        <w:pStyle w:val="Heading1"/>
        <w:spacing w:before="280" w:after="120"/>
      </w:pPr>
      <w:r>
        <w:rPr>
          <w:rFonts w:ascii="Calibri Light" w:hAnsi="Calibri Light"/>
          <w:b/>
          <w:color w:val="003366"/>
          <w:sz w:val="28"/>
        </w:rPr>
        <w:t>Bibliografia</w:t>
      </w:r>
    </w:p>
    <w:p>
      <w:pPr>
        <w:spacing w:after="80"/>
        <w:ind w:left="576" w:hanging="576"/>
      </w:pPr>
      <w:r>
        <w:rPr>
          <w:sz w:val="19"/>
        </w:rPr>
        <w:t>[1] Ambjørn, J., Jurkiewicz, J., &amp; Loll, R. (2004). Emergence of a 4D world from causal quantum gravity. Physical Review Letters, 93(13), 131301.</w:t>
      </w:r>
    </w:p>
    <w:p>
      <w:pPr>
        <w:spacing w:after="80"/>
        <w:ind w:left="576" w:hanging="576"/>
      </w:pPr>
      <w:r>
        <w:rPr>
          <w:sz w:val="19"/>
        </w:rPr>
        <w:t>[2] Regge, T. (1961). General relativity without coordinates. Nuovo Cimento (1955-1965), 19(3), 558-571.</w:t>
      </w:r>
    </w:p>
    <w:p>
      <w:pPr>
        <w:spacing w:after="80"/>
        <w:ind w:left="576" w:hanging="576"/>
      </w:pPr>
      <w:r>
        <w:rPr>
          <w:sz w:val="19"/>
        </w:rPr>
        <w:t>[3] Ambjørn, J., Loll, R., Anagnostopoulos, D., &amp; Bhatta, G. (2021). The soft hub phase in simplicial quantum gravity. Physical Review D, 103(10), 106005.</w:t>
      </w:r>
    </w:p>
    <w:p>
      <w:pPr>
        <w:spacing w:after="80"/>
        <w:ind w:left="576" w:hanging="576"/>
      </w:pPr>
      <w:r>
        <w:rPr>
          <w:sz w:val="19"/>
        </w:rPr>
        <w:t>[4] Loll, R., &amp; Schiffer, M. (2020). Quantum gravity in 4 dimensions: non-perturbative results and observables. Classical and Quantum Gravity, 37(1), 013002.</w:t>
      </w:r>
    </w:p>
    <w:p>
      <w:pPr>
        <w:spacing w:after="80"/>
        <w:ind w:left="576" w:hanging="576"/>
      </w:pPr>
      <w:r>
        <w:rPr>
          <w:sz w:val="19"/>
        </w:rPr>
        <w:t>[5] Kipf, T. N., &amp; Welling, M. (2017). Semi-supervised classification with graph convolutional networks. International Conference on Learning Representations (ICLR).</w:t>
      </w:r>
    </w:p>
    <w:p>
      <w:pPr>
        <w:spacing w:after="80"/>
        <w:ind w:left="576" w:hanging="576"/>
      </w:pPr>
      <w:r>
        <w:rPr>
          <w:sz w:val="19"/>
        </w:rPr>
        <w:t>[6] Chen, D., Lin, Y., Li, W., Li, P., Zhou, J., &amp; Sun, X. (2020). Measuring and relieving the over-smoothing problem for graph neural networks from the topological view. AAAI Conference on Artificial Intelligence, 34(04), 3438-3445.</w:t>
      </w:r>
    </w:p>
    <w:p>
      <w:pPr>
        <w:spacing w:after="80"/>
        <w:ind w:left="576" w:hanging="576"/>
      </w:pPr>
      <w:r>
        <w:rPr>
          <w:sz w:val="19"/>
        </w:rPr>
        <w:t>[7] Coifman, R. R., &amp; Lafon, S. (2006). Diffusion maps. Applied and Computational Harmonic Analysis, 21(1), 5-30.</w:t>
      </w:r>
    </w:p>
    <w:p>
      <w:pPr>
        <w:spacing w:after="80"/>
        <w:ind w:left="576" w:hanging="576"/>
      </w:pPr>
      <w:r>
        <w:rPr>
          <w:sz w:val="19"/>
        </w:rPr>
        <w:t>[8] Chung, F. R. (1997). Spectral graph theory (Vol. 92). American Mathematical Society.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