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0689E" w14:textId="71D6F12B" w:rsidR="00C55A4B" w:rsidRPr="006A4F2B" w:rsidRDefault="00732E0D">
      <w:pPr>
        <w:pStyle w:val="TemplateTitle"/>
        <w:jc w:val="center"/>
        <w:rPr>
          <w:sz w:val="24"/>
          <w:szCs w:val="20"/>
        </w:rPr>
      </w:pPr>
      <w:r w:rsidRPr="006A4F2B">
        <w:rPr>
          <w:sz w:val="24"/>
          <w:szCs w:val="20"/>
        </w:rPr>
        <w:t>ABSTRACT TEMPLATE</w:t>
      </w:r>
    </w:p>
    <w:p w14:paraId="072849C9" w14:textId="1FFB0979" w:rsidR="003E4AC7" w:rsidRPr="003E4AC7" w:rsidRDefault="00732E0D" w:rsidP="003E4AC7">
      <w:pPr>
        <w:spacing w:before="100" w:beforeAutospacing="1" w:after="100" w:afterAutospacing="1"/>
        <w:jc w:val="center"/>
        <w:rPr>
          <w:rFonts w:ascii="Calibri" w:eastAsia="Calibri" w:hAnsi="Calibri" w:cs="Times New Roman"/>
          <w:b/>
          <w:bCs/>
          <w:kern w:val="2"/>
          <w:sz w:val="22"/>
          <w:lang w:val="en-PH"/>
          <w14:ligatures w14:val="standardContextual"/>
        </w:rPr>
      </w:pPr>
      <w:r>
        <w:t xml:space="preserve">Theme: </w:t>
      </w:r>
      <w:r w:rsidR="003E4AC7" w:rsidRPr="003E4AC7">
        <w:rPr>
          <w:rFonts w:ascii="Calibri" w:eastAsia="Calibri" w:hAnsi="Calibri" w:cs="Times New Roman"/>
          <w:b/>
          <w:bCs/>
          <w:kern w:val="2"/>
          <w:sz w:val="22"/>
          <w:lang w:val="en-PH"/>
          <w14:ligatures w14:val="standardContextual"/>
        </w:rPr>
        <w:t>HEIs at the Forefront of Transformative Extension: Advancing Evidence-</w:t>
      </w:r>
      <w:r w:rsidR="009D7E82">
        <w:rPr>
          <w:rFonts w:ascii="Calibri" w:eastAsia="Calibri" w:hAnsi="Calibri" w:cs="Times New Roman"/>
          <w:b/>
          <w:bCs/>
          <w:kern w:val="2"/>
          <w:sz w:val="22"/>
          <w:lang w:val="en-PH"/>
          <w14:ligatures w14:val="standardContextual"/>
        </w:rPr>
        <w:t xml:space="preserve"> </w:t>
      </w:r>
      <w:bookmarkStart w:id="0" w:name="_GoBack"/>
      <w:bookmarkEnd w:id="0"/>
      <w:proofErr w:type="gramStart"/>
      <w:r w:rsidR="009D7E82" w:rsidRPr="003E4AC7">
        <w:rPr>
          <w:rFonts w:ascii="Calibri" w:eastAsia="Calibri" w:hAnsi="Calibri" w:cs="Times New Roman"/>
          <w:b/>
          <w:bCs/>
          <w:kern w:val="2"/>
          <w:sz w:val="22"/>
          <w:lang w:val="en-PH"/>
          <w14:ligatures w14:val="standardContextual"/>
        </w:rPr>
        <w:t xml:space="preserve">Based, </w:t>
      </w:r>
      <w:r w:rsidR="003E4AC7" w:rsidRPr="003E4AC7">
        <w:rPr>
          <w:rFonts w:ascii="Calibri" w:eastAsia="Calibri" w:hAnsi="Calibri" w:cs="Times New Roman"/>
          <w:b/>
          <w:bCs/>
          <w:kern w:val="2"/>
          <w:sz w:val="22"/>
          <w:lang w:val="en-PH"/>
          <w14:ligatures w14:val="standardContextual"/>
        </w:rPr>
        <w:t xml:space="preserve">  </w:t>
      </w:r>
      <w:proofErr w:type="gramEnd"/>
      <w:r w:rsidR="003E4AC7" w:rsidRPr="003E4AC7">
        <w:rPr>
          <w:rFonts w:ascii="Calibri" w:eastAsia="Calibri" w:hAnsi="Calibri" w:cs="Times New Roman"/>
          <w:b/>
          <w:bCs/>
          <w:kern w:val="2"/>
          <w:sz w:val="22"/>
          <w:lang w:val="en-PH"/>
          <w14:ligatures w14:val="standardContextual"/>
        </w:rPr>
        <w:t xml:space="preserve">                                  Inclusive, Sustainable, and Resilient Community Development</w:t>
      </w:r>
    </w:p>
    <w:tbl>
      <w:tblPr>
        <w:tblW w:w="0" w:type="auto"/>
        <w:jc w:val="center"/>
        <w:tblLook w:val="04A0" w:firstRow="1" w:lastRow="0" w:firstColumn="1" w:lastColumn="0" w:noHBand="0" w:noVBand="1"/>
      </w:tblPr>
      <w:tblGrid>
        <w:gridCol w:w="9585"/>
      </w:tblGrid>
      <w:tr w:rsidR="00C55A4B" w14:paraId="527623A9" w14:textId="77777777" w:rsidTr="003E4AC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2454560E" w14:textId="460E8C2F" w:rsidR="00C55A4B" w:rsidRDefault="00732E0D">
            <w:pPr>
              <w:pStyle w:val="InstructionText"/>
            </w:pPr>
            <w:r w:rsidRPr="008304CC">
              <w:rPr>
                <w:b/>
                <w:color w:val="0F243E" w:themeColor="text2" w:themeShade="80"/>
              </w:rPr>
              <w:t xml:space="preserve">Instructions: </w:t>
            </w:r>
            <w:r w:rsidRPr="008304CC">
              <w:rPr>
                <w:color w:val="0F243E" w:themeColor="text2" w:themeShade="80"/>
              </w:rPr>
              <w:t>Complete all sections</w:t>
            </w:r>
            <w:r w:rsidR="003E4AC7">
              <w:rPr>
                <w:color w:val="0F243E" w:themeColor="text2" w:themeShade="80"/>
              </w:rPr>
              <w:t xml:space="preserve">. </w:t>
            </w:r>
            <w:r w:rsidRPr="008304CC">
              <w:rPr>
                <w:color w:val="0F243E" w:themeColor="text2" w:themeShade="80"/>
              </w:rPr>
              <w:t>Select only one paper category and one thematic area. Use clear, evidence-based statements and avoid unsupported outcome or impact claims.</w:t>
            </w:r>
          </w:p>
        </w:tc>
      </w:tr>
    </w:tbl>
    <w:p w14:paraId="640E6F35" w14:textId="77777777" w:rsidR="00046F6A" w:rsidRDefault="00046F6A">
      <w:pPr>
        <w:pStyle w:val="SectionHeading"/>
        <w:rPr>
          <w:color w:val="0F243E" w:themeColor="text2" w:themeShade="80"/>
        </w:rPr>
      </w:pPr>
    </w:p>
    <w:p w14:paraId="39E3B94F" w14:textId="2AA3AC1C" w:rsidR="00C55A4B" w:rsidRPr="00A508C3" w:rsidRDefault="00732E0D">
      <w:pPr>
        <w:pStyle w:val="SectionHeading"/>
        <w:rPr>
          <w:color w:val="0F243E" w:themeColor="text2" w:themeShade="80"/>
        </w:rPr>
      </w:pPr>
      <w:r w:rsidRPr="00A508C3">
        <w:rPr>
          <w:color w:val="0F243E" w:themeColor="text2" w:themeShade="80"/>
        </w:rPr>
        <w:t>A. Paper Information</w:t>
      </w:r>
    </w:p>
    <w:tbl>
      <w:tblPr>
        <w:tblW w:w="9779" w:type="dxa"/>
        <w:jc w:val="center"/>
        <w:tblLayout w:type="fixed"/>
        <w:tblLook w:val="04A0" w:firstRow="1" w:lastRow="0" w:firstColumn="1" w:lastColumn="0" w:noHBand="0" w:noVBand="1"/>
      </w:tblPr>
      <w:tblGrid>
        <w:gridCol w:w="4395"/>
        <w:gridCol w:w="5384"/>
      </w:tblGrid>
      <w:tr w:rsidR="00C55A4B" w14:paraId="60170A1F"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048E456" w14:textId="77777777" w:rsidR="00C55A4B" w:rsidRPr="00A508C3" w:rsidRDefault="00732E0D">
            <w:pPr>
              <w:rPr>
                <w:color w:val="1F497D" w:themeColor="text2"/>
                <w:sz w:val="22"/>
                <w:szCs w:val="28"/>
              </w:rPr>
            </w:pPr>
            <w:r w:rsidRPr="00A508C3">
              <w:rPr>
                <w:b/>
                <w:color w:val="1F497D" w:themeColor="text2"/>
                <w:sz w:val="22"/>
                <w:szCs w:val="28"/>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376CB2E0" w14:textId="3CBB0916" w:rsidR="00C55A4B" w:rsidRPr="00016147" w:rsidRDefault="001256F6">
            <w:pPr>
              <w:rPr>
                <w:color w:val="0F243E" w:themeColor="text2" w:themeShade="80"/>
                <w:sz w:val="22"/>
                <w:szCs w:val="28"/>
              </w:rPr>
            </w:pPr>
            <w:r>
              <w:rPr>
                <w:color w:val="0F243E" w:themeColor="text2" w:themeShade="80"/>
                <w:sz w:val="22"/>
                <w:szCs w:val="28"/>
              </w:rPr>
              <w:t>ANAEROBIC DIGESTION</w:t>
            </w:r>
            <w:r w:rsidR="00FF6196">
              <w:rPr>
                <w:color w:val="0F243E" w:themeColor="text2" w:themeShade="80"/>
                <w:sz w:val="22"/>
                <w:szCs w:val="28"/>
              </w:rPr>
              <w:t xml:space="preserve"> (NVSU BIOGAS DIGESTER)</w:t>
            </w:r>
            <w:r>
              <w:rPr>
                <w:color w:val="0F243E" w:themeColor="text2" w:themeShade="80"/>
                <w:sz w:val="22"/>
                <w:szCs w:val="28"/>
              </w:rPr>
              <w:t xml:space="preserve">: Energy Generation and Utilization </w:t>
            </w:r>
            <w:r w:rsidR="00F1792F">
              <w:rPr>
                <w:color w:val="0F243E" w:themeColor="text2" w:themeShade="80"/>
                <w:sz w:val="22"/>
                <w:szCs w:val="28"/>
              </w:rPr>
              <w:t>for</w:t>
            </w:r>
            <w:r>
              <w:rPr>
                <w:color w:val="0F243E" w:themeColor="text2" w:themeShade="80"/>
                <w:sz w:val="22"/>
                <w:szCs w:val="28"/>
              </w:rPr>
              <w:t xml:space="preserve"> Increased Swine Productivity</w:t>
            </w:r>
          </w:p>
        </w:tc>
      </w:tr>
      <w:tr w:rsidR="00C55A4B" w14:paraId="676A3FBD"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EEC43CA" w14:textId="585374ED" w:rsidR="00C55A4B" w:rsidRPr="00A508C3" w:rsidRDefault="00732E0D" w:rsidP="00282A64">
            <w:pPr>
              <w:spacing w:after="0" w:line="240" w:lineRule="auto"/>
              <w:rPr>
                <w:color w:val="1F497D" w:themeColor="text2"/>
                <w:sz w:val="22"/>
                <w:szCs w:val="28"/>
              </w:rPr>
            </w:pPr>
            <w:r w:rsidRPr="00A508C3">
              <w:rPr>
                <w:b/>
                <w:color w:val="1F497D" w:themeColor="text2"/>
                <w:sz w:val="22"/>
                <w:szCs w:val="28"/>
              </w:rPr>
              <w:t>2. Author/s and Institutional Affiliation/s</w:t>
            </w:r>
            <w:r w:rsidR="00282A64" w:rsidRPr="005C1668">
              <w:rPr>
                <w:color w:val="1F497D" w:themeColor="text2"/>
                <w:sz w:val="16"/>
                <w:szCs w:val="16"/>
              </w:rPr>
              <w:t xml:space="preserve"> Note: </w:t>
            </w:r>
            <w:r w:rsidR="00282A64" w:rsidRPr="005C1668">
              <w:rPr>
                <w:color w:val="1F497D" w:themeColor="text2"/>
                <w:sz w:val="16"/>
                <w:szCs w:val="20"/>
              </w:rPr>
              <w:t>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0890EAF7" w14:textId="0AD2426D" w:rsidR="003B1E4C" w:rsidRPr="00016147" w:rsidRDefault="001256F6">
            <w:pPr>
              <w:rPr>
                <w:color w:val="0F243E" w:themeColor="text2" w:themeShade="80"/>
                <w:sz w:val="22"/>
                <w:szCs w:val="28"/>
              </w:rPr>
            </w:pPr>
            <w:r>
              <w:rPr>
                <w:color w:val="0F243E" w:themeColor="text2" w:themeShade="80"/>
                <w:sz w:val="22"/>
                <w:szCs w:val="28"/>
              </w:rPr>
              <w:t xml:space="preserve">Sony P. Aquino*, Jenaida B. Aquino, June C. </w:t>
            </w:r>
            <w:proofErr w:type="spellStart"/>
            <w:r>
              <w:rPr>
                <w:color w:val="0F243E" w:themeColor="text2" w:themeShade="80"/>
                <w:sz w:val="22"/>
                <w:szCs w:val="28"/>
              </w:rPr>
              <w:t>Quipo</w:t>
            </w:r>
            <w:proofErr w:type="spellEnd"/>
          </w:p>
          <w:p w14:paraId="78F1983C" w14:textId="3C13A6C9" w:rsidR="00C55A4B" w:rsidRPr="00016147" w:rsidRDefault="001256F6" w:rsidP="003B1E4C">
            <w:pPr>
              <w:rPr>
                <w:color w:val="0F243E" w:themeColor="text2" w:themeShade="80"/>
                <w:sz w:val="22"/>
                <w:szCs w:val="28"/>
              </w:rPr>
            </w:pPr>
            <w:r>
              <w:rPr>
                <w:color w:val="0F243E" w:themeColor="text2" w:themeShade="80"/>
                <w:sz w:val="22"/>
                <w:szCs w:val="28"/>
              </w:rPr>
              <w:t>Nueva Vizcaya State University</w:t>
            </w:r>
            <w:r w:rsidR="005C1668" w:rsidRPr="00016147">
              <w:rPr>
                <w:sz w:val="22"/>
                <w:szCs w:val="28"/>
              </w:rPr>
              <w:t xml:space="preserve"> </w:t>
            </w:r>
            <w:r w:rsidR="00FF6196">
              <w:rPr>
                <w:sz w:val="22"/>
                <w:szCs w:val="28"/>
              </w:rPr>
              <w:t>– Bayombong Campus</w:t>
            </w:r>
          </w:p>
        </w:tc>
      </w:tr>
      <w:tr w:rsidR="0012188D" w14:paraId="18D744D6" w14:textId="77777777" w:rsidTr="00282A64">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2C6B02DA" w14:textId="7F2BA016" w:rsidR="0012188D" w:rsidRPr="0012188D" w:rsidRDefault="0012188D" w:rsidP="0012188D">
            <w:pPr>
              <w:spacing w:after="0" w:line="240" w:lineRule="auto"/>
              <w:rPr>
                <w:b/>
                <w:bCs/>
                <w:color w:val="1F497D" w:themeColor="text2"/>
                <w:sz w:val="22"/>
                <w:szCs w:val="28"/>
              </w:rPr>
            </w:pPr>
            <w:r w:rsidRPr="0012188D">
              <w:rPr>
                <w:b/>
                <w:bCs/>
                <w:color w:val="365F91" w:themeColor="accent1" w:themeShade="BF"/>
                <w:sz w:val="22"/>
                <w:szCs w:val="24"/>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tcPr>
          <w:p w14:paraId="2BB96328" w14:textId="45611689" w:rsidR="0012188D" w:rsidRPr="00016147" w:rsidRDefault="001256F6" w:rsidP="0012188D">
            <w:pPr>
              <w:rPr>
                <w:color w:val="0F243E" w:themeColor="text2" w:themeShade="80"/>
                <w:sz w:val="22"/>
                <w:szCs w:val="28"/>
              </w:rPr>
            </w:pPr>
            <w:r>
              <w:rPr>
                <w:color w:val="0F243E" w:themeColor="text2" w:themeShade="80"/>
                <w:sz w:val="22"/>
                <w:szCs w:val="28"/>
              </w:rPr>
              <w:t>Jenaida B. Aquino</w:t>
            </w:r>
          </w:p>
          <w:p w14:paraId="205931C6" w14:textId="4CFFB7CC" w:rsidR="0012188D" w:rsidRPr="00016147" w:rsidRDefault="001256F6" w:rsidP="0012188D">
            <w:pPr>
              <w:rPr>
                <w:color w:val="0F243E" w:themeColor="text2" w:themeShade="80"/>
                <w:sz w:val="22"/>
                <w:szCs w:val="28"/>
              </w:rPr>
            </w:pPr>
            <w:proofErr w:type="spellStart"/>
            <w:r>
              <w:rPr>
                <w:color w:val="0F243E" w:themeColor="text2" w:themeShade="80"/>
                <w:sz w:val="22"/>
                <w:szCs w:val="28"/>
              </w:rPr>
              <w:t>jenaidabaquino@gmail</w:t>
            </w:r>
            <w:proofErr w:type="spellEnd"/>
            <w:r>
              <w:rPr>
                <w:color w:val="0F243E" w:themeColor="text2" w:themeShade="80"/>
                <w:sz w:val="22"/>
                <w:szCs w:val="28"/>
              </w:rPr>
              <w:t>. com</w:t>
            </w:r>
          </w:p>
        </w:tc>
      </w:tr>
      <w:tr w:rsidR="00C55A4B" w14:paraId="72776DD9"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21C1EEF" w14:textId="77777777" w:rsidR="00C55A4B" w:rsidRPr="00A508C3" w:rsidRDefault="00732E0D">
            <w:pPr>
              <w:rPr>
                <w:color w:val="1F497D" w:themeColor="text2"/>
                <w:sz w:val="22"/>
                <w:szCs w:val="28"/>
              </w:rPr>
            </w:pPr>
            <w:r w:rsidRPr="00A508C3">
              <w:rPr>
                <w:b/>
                <w:color w:val="1F497D" w:themeColor="text2"/>
                <w:sz w:val="22"/>
                <w:szCs w:val="28"/>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3B38814B" w14:textId="77777777" w:rsidR="00A508C3" w:rsidRPr="008304CC" w:rsidRDefault="00732E0D" w:rsidP="003D5156">
            <w:pPr>
              <w:spacing w:after="120"/>
              <w:rPr>
                <w:color w:val="0F243E" w:themeColor="text2" w:themeShade="80"/>
                <w:sz w:val="18"/>
              </w:rPr>
            </w:pPr>
            <w:proofErr w:type="gramStart"/>
            <w:r w:rsidRPr="001256F6">
              <w:rPr>
                <w:color w:val="0F243E" w:themeColor="text2" w:themeShade="80"/>
                <w:sz w:val="18"/>
                <w:highlight w:val="yellow"/>
              </w:rPr>
              <w:t>[ ]</w:t>
            </w:r>
            <w:proofErr w:type="gramEnd"/>
            <w:r w:rsidRPr="008304CC">
              <w:rPr>
                <w:color w:val="0F243E" w:themeColor="text2" w:themeShade="80"/>
                <w:sz w:val="18"/>
              </w:rPr>
              <w:t xml:space="preserve"> Completed Extension Project Paper    </w:t>
            </w:r>
            <w:r w:rsidR="003D5156" w:rsidRPr="008304CC">
              <w:rPr>
                <w:color w:val="0F243E" w:themeColor="text2" w:themeShade="80"/>
                <w:sz w:val="18"/>
              </w:rPr>
              <w:t xml:space="preserve">     </w:t>
            </w:r>
          </w:p>
          <w:p w14:paraId="3BDB9888" w14:textId="6841B137" w:rsidR="00C55A4B" w:rsidRPr="008304CC" w:rsidRDefault="00732E0D" w:rsidP="003D5156">
            <w:pPr>
              <w:spacing w:after="120"/>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Ongoing Extension Project Paper</w:t>
            </w:r>
          </w:p>
        </w:tc>
      </w:tr>
      <w:tr w:rsidR="00C55A4B" w14:paraId="6807E4F8" w14:textId="77777777" w:rsidTr="00A508C3">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6ABE12DE" w14:textId="4DB2E256" w:rsidR="00C55A4B" w:rsidRPr="00A508C3" w:rsidRDefault="00732E0D">
            <w:pPr>
              <w:rPr>
                <w:color w:val="1F497D" w:themeColor="text2"/>
                <w:sz w:val="22"/>
                <w:szCs w:val="28"/>
              </w:rPr>
            </w:pPr>
            <w:r w:rsidRPr="00A508C3">
              <w:rPr>
                <w:b/>
                <w:color w:val="1F497D" w:themeColor="text2"/>
                <w:sz w:val="22"/>
                <w:szCs w:val="28"/>
              </w:rPr>
              <w:t>4. Thematic Area</w:t>
            </w:r>
            <w:r w:rsidR="004D31B9">
              <w:rPr>
                <w:b/>
                <w:color w:val="1F497D" w:themeColor="text2"/>
                <w:sz w:val="22"/>
                <w:szCs w:val="28"/>
              </w:rPr>
              <w:t xml:space="preserve"> (choose 1 only)</w:t>
            </w:r>
          </w:p>
        </w:tc>
        <w:tc>
          <w:tcPr>
            <w:tcW w:w="5384" w:type="dxa"/>
            <w:tcBorders>
              <w:top w:val="single" w:sz="4" w:space="0" w:color="BFBFBF"/>
              <w:left w:val="single" w:sz="4" w:space="0" w:color="BFBFBF"/>
              <w:bottom w:val="single" w:sz="4" w:space="0" w:color="BFBFBF"/>
              <w:right w:val="single" w:sz="4" w:space="0" w:color="BFBFBF"/>
            </w:tcBorders>
          </w:tcPr>
          <w:p w14:paraId="4EF2BC14"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Food Production, Agriculture, Fisheries, and Natural Resource Systems</w:t>
            </w:r>
          </w:p>
          <w:p w14:paraId="7FA3E349"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Health, Nutrition, Wellness, and Community Care</w:t>
            </w:r>
          </w:p>
          <w:p w14:paraId="23FA7458"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Education, Literacy, Skills Development, and Lifelong Learning</w:t>
            </w:r>
          </w:p>
          <w:p w14:paraId="4BF28612" w14:textId="77777777" w:rsidR="003D5156" w:rsidRPr="008304CC" w:rsidRDefault="00732E0D" w:rsidP="003D5156">
            <w:pPr>
              <w:spacing w:after="120" w:line="240" w:lineRule="auto"/>
              <w:ind w:left="144" w:hanging="144"/>
              <w:rPr>
                <w:color w:val="0F243E" w:themeColor="text2" w:themeShade="80"/>
              </w:rPr>
            </w:pPr>
            <w:proofErr w:type="gramStart"/>
            <w:r w:rsidRPr="008304CC">
              <w:rPr>
                <w:color w:val="0F243E" w:themeColor="text2" w:themeShade="80"/>
                <w:sz w:val="18"/>
              </w:rPr>
              <w:t>[ ]</w:t>
            </w:r>
            <w:proofErr w:type="gramEnd"/>
            <w:r w:rsidRPr="008304CC">
              <w:rPr>
                <w:color w:val="0F243E" w:themeColor="text2" w:themeShade="80"/>
                <w:sz w:val="18"/>
              </w:rPr>
              <w:t xml:space="preserve"> Livelihood, Entrepreneurship, Cooperatives, MSMEs, and Local Economic Development</w:t>
            </w:r>
          </w:p>
          <w:p w14:paraId="18E6C45D" w14:textId="7EA2F088" w:rsidR="00C55A4B" w:rsidRPr="008304CC" w:rsidRDefault="00732E0D" w:rsidP="003D5156">
            <w:pPr>
              <w:spacing w:after="120" w:line="240" w:lineRule="auto"/>
              <w:ind w:left="144" w:hanging="144"/>
              <w:rPr>
                <w:color w:val="0F243E" w:themeColor="text2" w:themeShade="80"/>
              </w:rPr>
            </w:pPr>
            <w:proofErr w:type="gramStart"/>
            <w:r w:rsidRPr="001256F6">
              <w:rPr>
                <w:color w:val="0F243E" w:themeColor="text2" w:themeShade="80"/>
                <w:sz w:val="18"/>
                <w:highlight w:val="yellow"/>
              </w:rPr>
              <w:t>[ ]</w:t>
            </w:r>
            <w:proofErr w:type="gramEnd"/>
            <w:r w:rsidRPr="008304CC">
              <w:rPr>
                <w:color w:val="0F243E" w:themeColor="text2" w:themeShade="80"/>
                <w:sz w:val="18"/>
              </w:rPr>
              <w:t xml:space="preserve"> Environment, Climate Action, Disaster Risk Reduction, and Community Resilience</w:t>
            </w:r>
          </w:p>
        </w:tc>
      </w:tr>
    </w:tbl>
    <w:p w14:paraId="11E7FF59" w14:textId="77777777" w:rsidR="00C55A4B" w:rsidRDefault="00C55A4B"/>
    <w:p w14:paraId="0C3BB979" w14:textId="77777777" w:rsidR="00C55A4B" w:rsidRPr="00A508C3" w:rsidRDefault="00732E0D">
      <w:pPr>
        <w:pStyle w:val="SectionHeading"/>
        <w:rPr>
          <w:color w:val="0F243E" w:themeColor="text2" w:themeShade="80"/>
        </w:rPr>
      </w:pPr>
      <w:r w:rsidRPr="00A508C3">
        <w:rPr>
          <w:color w:val="0F243E" w:themeColor="text2" w:themeShade="80"/>
        </w:rPr>
        <w:t>B. Extended Abstract Narrative</w:t>
      </w:r>
    </w:p>
    <w:p w14:paraId="6A471D03" w14:textId="6581EB27" w:rsidR="00C55A4B" w:rsidRPr="00574868" w:rsidRDefault="00732E0D">
      <w:pPr>
        <w:pStyle w:val="InstructionText"/>
        <w:rPr>
          <w:strike/>
          <w:color w:val="1F497D" w:themeColor="text2"/>
        </w:rPr>
      </w:pPr>
      <w:r w:rsidRPr="00A508C3">
        <w:rPr>
          <w:b/>
          <w:color w:val="1F497D" w:themeColor="text2"/>
        </w:rPr>
        <w:t xml:space="preserve">Guide: </w:t>
      </w:r>
      <w:r w:rsidRPr="00A508C3">
        <w:rPr>
          <w:color w:val="1F497D" w:themeColor="text2"/>
        </w:rPr>
        <w:t xml:space="preserve">Write concise paragraphs under each required component. </w:t>
      </w:r>
    </w:p>
    <w:p w14:paraId="4530F5EC" w14:textId="77777777" w:rsidR="00C55A4B" w:rsidRDefault="00732E0D">
      <w:pPr>
        <w:pStyle w:val="SectionHeading"/>
        <w:keepNext/>
        <w:spacing w:before="80" w:after="40"/>
      </w:pPr>
      <w:r>
        <w:t>5. Community or Sectoral Need Addressed</w:t>
      </w:r>
    </w:p>
    <w:p w14:paraId="025745EA" w14:textId="5D38A508" w:rsidR="00C55A4B" w:rsidRPr="00A508C3" w:rsidRDefault="00732E0D">
      <w:pPr>
        <w:pStyle w:val="InstructionText"/>
        <w:keepNext/>
        <w:spacing w:after="40"/>
        <w:rPr>
          <w:color w:val="1F497D" w:themeColor="text2"/>
        </w:rPr>
      </w:pPr>
      <w:r w:rsidRPr="00A508C3">
        <w:rPr>
          <w:color w:val="1F497D" w:themeColor="text2"/>
        </w:rPr>
        <w:t xml:space="preserve">Briefly describe </w:t>
      </w:r>
      <w:r w:rsidR="00574868">
        <w:rPr>
          <w:color w:val="1F497D" w:themeColor="text2"/>
        </w:rPr>
        <w:t xml:space="preserve">in not more than </w:t>
      </w:r>
      <w:r w:rsidR="00D7509D">
        <w:rPr>
          <w:color w:val="1F497D" w:themeColor="text2"/>
        </w:rPr>
        <w:t>150</w:t>
      </w:r>
      <w:r w:rsidR="00574868">
        <w:rPr>
          <w:color w:val="1F497D" w:themeColor="text2"/>
        </w:rPr>
        <w:t xml:space="preserve"> words </w:t>
      </w:r>
      <w:r w:rsidRPr="00A508C3">
        <w:rPr>
          <w:color w:val="1F497D" w:themeColor="text2"/>
        </w:rPr>
        <w:t>the validated community, institutional, or sectoral need addressed by the project.</w:t>
      </w:r>
    </w:p>
    <w:tbl>
      <w:tblPr>
        <w:tblW w:w="0" w:type="auto"/>
        <w:jc w:val="center"/>
        <w:tblLook w:val="04A0" w:firstRow="1" w:lastRow="0" w:firstColumn="1" w:lastColumn="0" w:noHBand="0" w:noVBand="1"/>
      </w:tblPr>
      <w:tblGrid>
        <w:gridCol w:w="9595"/>
      </w:tblGrid>
      <w:tr w:rsidR="00C55A4B" w:rsidRPr="008304CC" w14:paraId="52B71FD5"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6921DA0D" w14:textId="0B5A8E62" w:rsidR="00C55A4B" w:rsidRPr="00B703E9" w:rsidRDefault="00B703E9" w:rsidP="00B703E9">
            <w:pPr>
              <w:spacing w:before="100" w:beforeAutospacing="1" w:after="100" w:afterAutospacing="1" w:line="240" w:lineRule="auto"/>
              <w:jc w:val="both"/>
              <w:rPr>
                <w:rFonts w:ascii="Times New Roman" w:eastAsia="Times New Roman" w:hAnsi="Times New Roman" w:cs="Times New Roman"/>
                <w:sz w:val="24"/>
                <w:szCs w:val="24"/>
              </w:rPr>
            </w:pPr>
            <w:r w:rsidRPr="003A325B">
              <w:rPr>
                <w:rFonts w:ascii="Times New Roman" w:eastAsia="Times New Roman" w:hAnsi="Times New Roman" w:cs="Times New Roman"/>
                <w:sz w:val="24"/>
                <w:szCs w:val="24"/>
              </w:rPr>
              <w:t xml:space="preserve">The project addressed the pressing need of swine raisers for </w:t>
            </w:r>
            <w:r w:rsidRPr="003A325B">
              <w:rPr>
                <w:rFonts w:ascii="Times New Roman" w:eastAsia="Times New Roman" w:hAnsi="Times New Roman" w:cs="Times New Roman"/>
                <w:bCs/>
                <w:sz w:val="24"/>
                <w:szCs w:val="24"/>
              </w:rPr>
              <w:t>affordable, sustainable, and locally available energy and effective livestock waste management technologies</w:t>
            </w:r>
            <w:r w:rsidRPr="003A325B">
              <w:rPr>
                <w:rFonts w:ascii="Times New Roman" w:eastAsia="Times New Roman" w:hAnsi="Times New Roman" w:cs="Times New Roman"/>
                <w:sz w:val="24"/>
                <w:szCs w:val="24"/>
              </w:rPr>
              <w:t>. Swine production generates substantial amounts of animal waste that, when improperly managed, can cause environmental pollution, unpleasant odors, and risks to public health while also contributing to greenhouse gas emissions. At the same time, farmers face increasing costs of electricity, liquefied petroleum gas (LPG), and other conventional energy sources used for farm operations. The project responded to these challenges through the adoption of the</w:t>
            </w:r>
            <w:r>
              <w:rPr>
                <w:rFonts w:ascii="Times New Roman" w:eastAsia="Times New Roman" w:hAnsi="Times New Roman" w:cs="Times New Roman"/>
                <w:sz w:val="24"/>
                <w:szCs w:val="24"/>
              </w:rPr>
              <w:t xml:space="preserve"> Anaerobic Digestion</w:t>
            </w:r>
            <w:r w:rsidRPr="003A32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3A325B">
              <w:rPr>
                <w:rFonts w:ascii="Times New Roman" w:eastAsia="Times New Roman" w:hAnsi="Times New Roman" w:cs="Times New Roman"/>
                <w:bCs/>
                <w:sz w:val="24"/>
                <w:szCs w:val="24"/>
              </w:rPr>
              <w:t>NVSU Model Anaerobic Digester</w:t>
            </w:r>
            <w:r>
              <w:rPr>
                <w:rFonts w:ascii="Times New Roman" w:eastAsia="Times New Roman" w:hAnsi="Times New Roman" w:cs="Times New Roman"/>
                <w:bCs/>
                <w:sz w:val="24"/>
                <w:szCs w:val="24"/>
              </w:rPr>
              <w:t>)</w:t>
            </w:r>
            <w:r w:rsidRPr="003A325B">
              <w:rPr>
                <w:rFonts w:ascii="Times New Roman" w:eastAsia="Times New Roman" w:hAnsi="Times New Roman" w:cs="Times New Roman"/>
                <w:sz w:val="24"/>
                <w:szCs w:val="24"/>
              </w:rPr>
              <w:t xml:space="preserve">, which converts swine manure into biogas for cooking, heating, pumping, and electricity generation while producing nutrient-rich by-products that can be utilized as organic </w:t>
            </w:r>
            <w:r w:rsidRPr="003A325B">
              <w:rPr>
                <w:rFonts w:ascii="Times New Roman" w:eastAsia="Times New Roman" w:hAnsi="Times New Roman" w:cs="Times New Roman"/>
                <w:sz w:val="24"/>
                <w:szCs w:val="24"/>
              </w:rPr>
              <w:lastRenderedPageBreak/>
              <w:t>fertilizer. The project also addressed the need for farmers' technical knowledge by providing capacity-building, technical assistance, and hands-on training on digester construction, operation, maintenance, and economic utilization.</w:t>
            </w:r>
          </w:p>
        </w:tc>
      </w:tr>
    </w:tbl>
    <w:p w14:paraId="564D0991" w14:textId="77777777" w:rsidR="00C55A4B" w:rsidRDefault="00732E0D">
      <w:pPr>
        <w:pStyle w:val="SectionHeading"/>
        <w:keepNext/>
        <w:spacing w:before="80" w:after="40"/>
      </w:pPr>
      <w:r>
        <w:lastRenderedPageBreak/>
        <w:t>6. Project Objectives</w:t>
      </w:r>
    </w:p>
    <w:p w14:paraId="6474DBB0" w14:textId="77777777" w:rsidR="00C55A4B" w:rsidRPr="00A508C3" w:rsidRDefault="00732E0D">
      <w:pPr>
        <w:pStyle w:val="InstructionText"/>
        <w:keepNext/>
        <w:spacing w:after="40"/>
        <w:rPr>
          <w:color w:val="1F497D" w:themeColor="text2"/>
        </w:rPr>
      </w:pPr>
      <w:r w:rsidRPr="00A508C3">
        <w:rPr>
          <w:color w:val="1F497D" w:themeColor="text2"/>
        </w:rPr>
        <w:t>State the main objective/s of the extension project.</w:t>
      </w:r>
    </w:p>
    <w:tbl>
      <w:tblPr>
        <w:tblW w:w="0" w:type="auto"/>
        <w:jc w:val="center"/>
        <w:tblLook w:val="04A0" w:firstRow="1" w:lastRow="0" w:firstColumn="1" w:lastColumn="0" w:noHBand="0" w:noVBand="1"/>
      </w:tblPr>
      <w:tblGrid>
        <w:gridCol w:w="9595"/>
      </w:tblGrid>
      <w:tr w:rsidR="00C55A4B" w:rsidRPr="008304CC" w14:paraId="559FC858"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721CCADF" w14:textId="0B6402AD" w:rsidR="00C55A4B" w:rsidRPr="00F60397" w:rsidRDefault="00F60397" w:rsidP="00F60397">
            <w:pPr>
              <w:spacing w:before="100" w:beforeAutospacing="1" w:after="100" w:afterAutospacing="1" w:line="240" w:lineRule="auto"/>
              <w:jc w:val="both"/>
              <w:rPr>
                <w:rFonts w:ascii="Times New Roman" w:eastAsia="Times New Roman" w:hAnsi="Times New Roman" w:cs="Times New Roman"/>
                <w:sz w:val="22"/>
              </w:rPr>
            </w:pPr>
            <w:r w:rsidRPr="00F60397">
              <w:rPr>
                <w:rFonts w:ascii="Times New Roman" w:eastAsia="Times New Roman" w:hAnsi="Times New Roman" w:cs="Times New Roman"/>
                <w:sz w:val="22"/>
              </w:rPr>
              <w:t xml:space="preserve">To </w:t>
            </w:r>
            <w:r w:rsidRPr="00F60397">
              <w:rPr>
                <w:rFonts w:ascii="Times New Roman" w:eastAsia="Times New Roman" w:hAnsi="Times New Roman" w:cs="Times New Roman"/>
                <w:bCs/>
                <w:sz w:val="22"/>
              </w:rPr>
              <w:t>enhance swine productivity and sustainability</w:t>
            </w:r>
            <w:r w:rsidRPr="00F60397">
              <w:rPr>
                <w:rFonts w:ascii="Times New Roman" w:eastAsia="Times New Roman" w:hAnsi="Times New Roman" w:cs="Times New Roman"/>
                <w:sz w:val="22"/>
              </w:rPr>
              <w:t xml:space="preserve"> by providing </w:t>
            </w:r>
            <w:r w:rsidRPr="00F60397">
              <w:rPr>
                <w:rFonts w:ascii="Times New Roman" w:eastAsia="Times New Roman" w:hAnsi="Times New Roman" w:cs="Times New Roman"/>
                <w:bCs/>
                <w:sz w:val="22"/>
              </w:rPr>
              <w:t>training, technical assistance, expertise, and consultancy</w:t>
            </w:r>
            <w:r w:rsidRPr="00F60397">
              <w:rPr>
                <w:rFonts w:ascii="Times New Roman" w:eastAsia="Times New Roman" w:hAnsi="Times New Roman" w:cs="Times New Roman"/>
                <w:sz w:val="22"/>
              </w:rPr>
              <w:t xml:space="preserve"> and promoting the adoption and utilization of the </w:t>
            </w:r>
            <w:r w:rsidRPr="00F60397">
              <w:rPr>
                <w:rFonts w:ascii="Times New Roman" w:eastAsia="Times New Roman" w:hAnsi="Times New Roman" w:cs="Times New Roman"/>
                <w:bCs/>
                <w:sz w:val="22"/>
              </w:rPr>
              <w:t>NVSU Model Anaerobic Digester</w:t>
            </w:r>
            <w:r w:rsidRPr="00F60397">
              <w:rPr>
                <w:rFonts w:ascii="Times New Roman" w:eastAsia="Times New Roman" w:hAnsi="Times New Roman" w:cs="Times New Roman"/>
                <w:sz w:val="22"/>
              </w:rPr>
              <w:t xml:space="preserve"> for renewable energy generation, efficient waste management, and reduced farm operating costs.</w:t>
            </w:r>
          </w:p>
        </w:tc>
      </w:tr>
    </w:tbl>
    <w:p w14:paraId="0EDCE966" w14:textId="77777777" w:rsidR="000D08E4" w:rsidRDefault="000D08E4">
      <w:pPr>
        <w:pStyle w:val="SectionHeading"/>
        <w:keepNext/>
        <w:spacing w:before="80" w:after="40"/>
      </w:pPr>
    </w:p>
    <w:p w14:paraId="6DD5B135" w14:textId="482D59DA" w:rsidR="00C55A4B" w:rsidRDefault="00732E0D">
      <w:pPr>
        <w:pStyle w:val="SectionHeading"/>
        <w:keepNext/>
        <w:spacing w:before="80" w:after="40"/>
      </w:pPr>
      <w:r>
        <w:t>7. Extension Methods, Strategies, or Activities Implemented</w:t>
      </w:r>
    </w:p>
    <w:p w14:paraId="39FC24E8" w14:textId="203F82E8" w:rsidR="00C55A4B" w:rsidRPr="00A508C3" w:rsidRDefault="009C51C9">
      <w:pPr>
        <w:pStyle w:val="InstructionText"/>
        <w:keepNext/>
        <w:spacing w:after="40"/>
        <w:rPr>
          <w:color w:val="1F497D" w:themeColor="text2"/>
        </w:rPr>
      </w:pPr>
      <w:r w:rsidRPr="009C51C9">
        <w:rPr>
          <w:color w:val="1F497D" w:themeColor="text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C55A4B" w14:paraId="1583AAC4" w14:textId="7777777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130FAAFD" w14:textId="77777777" w:rsidR="00E42D44" w:rsidRPr="000F563F" w:rsidRDefault="00E42D44" w:rsidP="00E42D44">
            <w:p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sz w:val="24"/>
                <w:szCs w:val="24"/>
              </w:rPr>
              <w:t xml:space="preserve">The project utilized a </w:t>
            </w:r>
            <w:r w:rsidRPr="000F563F">
              <w:rPr>
                <w:rFonts w:ascii="Times New Roman" w:eastAsia="Times New Roman" w:hAnsi="Times New Roman" w:cs="Times New Roman"/>
                <w:bCs/>
                <w:sz w:val="24"/>
                <w:szCs w:val="24"/>
              </w:rPr>
              <w:t>participatory, technology-transfer, and capacity-building approach</w:t>
            </w:r>
            <w:r w:rsidRPr="000F563F">
              <w:rPr>
                <w:rFonts w:ascii="Times New Roman" w:eastAsia="Times New Roman" w:hAnsi="Times New Roman" w:cs="Times New Roman"/>
                <w:sz w:val="24"/>
                <w:szCs w:val="24"/>
              </w:rPr>
              <w:t xml:space="preserve"> to promote the adoption and sustainable utilization of the NVSU Model Anaerobic Digester among swine raisers. The major extension strategies and activities included:</w:t>
            </w:r>
          </w:p>
          <w:p w14:paraId="5B1F6262" w14:textId="77777777" w:rsidR="00E42D44" w:rsidRPr="000F563F" w:rsidRDefault="00E42D44" w:rsidP="00E42D4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bCs/>
                <w:sz w:val="24"/>
                <w:szCs w:val="24"/>
              </w:rPr>
              <w:t>Technical Assistance, Expertise, and Consultancy</w:t>
            </w:r>
            <w:r w:rsidRPr="000F563F">
              <w:rPr>
                <w:rFonts w:ascii="Times New Roman" w:eastAsia="Times New Roman" w:hAnsi="Times New Roman" w:cs="Times New Roman"/>
                <w:sz w:val="24"/>
                <w:szCs w:val="24"/>
              </w:rPr>
              <w:t xml:space="preserve"> – The NVSU College of Engineering, through the Department of Agricultural and Biosystems Engineering, provided free technical assistance, expertise, and consultancy to swine raisers and other stakeholders in the planning, site assessment, establishment, operation, maintenance, and improvement of anaerobic digesters.</w:t>
            </w:r>
          </w:p>
          <w:p w14:paraId="5E0E2576" w14:textId="77777777" w:rsidR="00E42D44" w:rsidRPr="000F563F" w:rsidRDefault="00E42D44" w:rsidP="00E42D4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bCs/>
                <w:sz w:val="24"/>
                <w:szCs w:val="24"/>
              </w:rPr>
              <w:t>Training and Capacity Building</w:t>
            </w:r>
            <w:r w:rsidRPr="000F563F">
              <w:rPr>
                <w:rFonts w:ascii="Times New Roman" w:eastAsia="Times New Roman" w:hAnsi="Times New Roman" w:cs="Times New Roman"/>
                <w:sz w:val="24"/>
                <w:szCs w:val="24"/>
              </w:rPr>
              <w:t xml:space="preserve"> – Training programs were conducted to strengthen the knowledge and skills of swine raisers on </w:t>
            </w:r>
            <w:r w:rsidRPr="000F563F">
              <w:rPr>
                <w:rFonts w:ascii="Times New Roman" w:eastAsia="Times New Roman" w:hAnsi="Times New Roman" w:cs="Times New Roman"/>
                <w:bCs/>
                <w:sz w:val="24"/>
                <w:szCs w:val="24"/>
              </w:rPr>
              <w:t>basic biogas digester construction, operation and maintenance, waste and by-product utilization, and the economic aspects of anaerobic digestion technology</w:t>
            </w:r>
            <w:r w:rsidRPr="000F563F">
              <w:rPr>
                <w:rFonts w:ascii="Times New Roman" w:eastAsia="Times New Roman" w:hAnsi="Times New Roman" w:cs="Times New Roman"/>
                <w:sz w:val="24"/>
                <w:szCs w:val="24"/>
              </w:rPr>
              <w:t>. The training employed lectures, discussions, demonstrations, and hands-on activities.</w:t>
            </w:r>
          </w:p>
          <w:p w14:paraId="5FC0143B" w14:textId="77777777" w:rsidR="00E42D44" w:rsidRPr="000F563F" w:rsidRDefault="00E42D44" w:rsidP="00E42D4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bCs/>
                <w:sz w:val="24"/>
                <w:szCs w:val="24"/>
              </w:rPr>
              <w:t>Demonstration and Hands-on Learning</w:t>
            </w:r>
            <w:r w:rsidRPr="000F563F">
              <w:rPr>
                <w:rFonts w:ascii="Times New Roman" w:eastAsia="Times New Roman" w:hAnsi="Times New Roman" w:cs="Times New Roman"/>
                <w:sz w:val="24"/>
                <w:szCs w:val="24"/>
              </w:rPr>
              <w:t xml:space="preserve"> – Actual demonstrations were conducted in partner/cooperator farms with established NVSU Model Anaerobic Digesters. Participants were given opportunities to observe the technology and directly participate in relevant activities, facilitating practical learning and confidence in technology adoption.</w:t>
            </w:r>
          </w:p>
          <w:p w14:paraId="66D4F8A4" w14:textId="77777777" w:rsidR="00E42D44" w:rsidRPr="000F563F" w:rsidRDefault="00E42D44" w:rsidP="00E42D4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bCs/>
                <w:sz w:val="24"/>
                <w:szCs w:val="24"/>
              </w:rPr>
              <w:t>Technology Demonstration and Adoption</w:t>
            </w:r>
            <w:r w:rsidRPr="000F563F">
              <w:rPr>
                <w:rFonts w:ascii="Times New Roman" w:eastAsia="Times New Roman" w:hAnsi="Times New Roman" w:cs="Times New Roman"/>
                <w:sz w:val="24"/>
                <w:szCs w:val="24"/>
              </w:rPr>
              <w:t xml:space="preserve"> – Existing adopted anaerobic digesters served as </w:t>
            </w:r>
            <w:r w:rsidRPr="000F563F">
              <w:rPr>
                <w:rFonts w:ascii="Times New Roman" w:eastAsia="Times New Roman" w:hAnsi="Times New Roman" w:cs="Times New Roman"/>
                <w:bCs/>
                <w:sz w:val="24"/>
                <w:szCs w:val="24"/>
              </w:rPr>
              <w:t>technology showcase and learning sites</w:t>
            </w:r>
            <w:r w:rsidRPr="000F563F">
              <w:rPr>
                <w:rFonts w:ascii="Times New Roman" w:eastAsia="Times New Roman" w:hAnsi="Times New Roman" w:cs="Times New Roman"/>
                <w:sz w:val="24"/>
                <w:szCs w:val="24"/>
              </w:rPr>
              <w:t>, demonstrating the actual utilization of biogas for cooking, heating, pumping, and electricity generation.</w:t>
            </w:r>
          </w:p>
          <w:p w14:paraId="1353AA49" w14:textId="77777777" w:rsidR="00E42D44" w:rsidRPr="000F563F" w:rsidRDefault="00E42D44" w:rsidP="00E42D4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bCs/>
                <w:sz w:val="24"/>
                <w:szCs w:val="24"/>
              </w:rPr>
              <w:t>Performance Monitoring and Evaluation</w:t>
            </w:r>
            <w:r w:rsidRPr="000F563F">
              <w:rPr>
                <w:rFonts w:ascii="Times New Roman" w:eastAsia="Times New Roman" w:hAnsi="Times New Roman" w:cs="Times New Roman"/>
                <w:sz w:val="24"/>
                <w:szCs w:val="24"/>
              </w:rPr>
              <w:t xml:space="preserve"> – Adopted digesters were monitored to assess biogas production, utilization, economic benefits, and operational performance. Gas flow monitoring and cost-and-return analysis were used to generate evidence on the effectiveness and viability of the technology.</w:t>
            </w:r>
          </w:p>
          <w:p w14:paraId="0BB86BEB" w14:textId="77777777" w:rsidR="00E42D44" w:rsidRPr="000F563F" w:rsidRDefault="00E42D44" w:rsidP="00E42D4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bCs/>
                <w:sz w:val="24"/>
                <w:szCs w:val="24"/>
              </w:rPr>
              <w:t>Networking and Partnership</w:t>
            </w:r>
            <w:r w:rsidRPr="000F563F">
              <w:rPr>
                <w:rFonts w:ascii="Times New Roman" w:eastAsia="Times New Roman" w:hAnsi="Times New Roman" w:cs="Times New Roman"/>
                <w:sz w:val="24"/>
                <w:szCs w:val="24"/>
              </w:rPr>
              <w:t xml:space="preserve"> – The project strengthened collaboration among </w:t>
            </w:r>
            <w:r w:rsidRPr="000F563F">
              <w:rPr>
                <w:rFonts w:ascii="Times New Roman" w:eastAsia="Times New Roman" w:hAnsi="Times New Roman" w:cs="Times New Roman"/>
                <w:bCs/>
                <w:sz w:val="24"/>
                <w:szCs w:val="24"/>
              </w:rPr>
              <w:t>NVSU, swine raisers, cooperators, Municipal Agriculture Offices, and other stakeholders</w:t>
            </w:r>
            <w:r w:rsidRPr="000F563F">
              <w:rPr>
                <w:rFonts w:ascii="Times New Roman" w:eastAsia="Times New Roman" w:hAnsi="Times New Roman" w:cs="Times New Roman"/>
                <w:sz w:val="24"/>
                <w:szCs w:val="24"/>
              </w:rPr>
              <w:t xml:space="preserve"> to facilitate technology dissemination, technical support, and wider adoption.</w:t>
            </w:r>
          </w:p>
          <w:p w14:paraId="1920AC6E" w14:textId="50967A59" w:rsidR="00C55A4B" w:rsidRPr="00E42D44" w:rsidRDefault="00E42D44" w:rsidP="00E42D44">
            <w:pPr>
              <w:spacing w:before="100" w:beforeAutospacing="1" w:after="100" w:afterAutospacing="1" w:line="240" w:lineRule="auto"/>
              <w:jc w:val="both"/>
              <w:rPr>
                <w:rFonts w:ascii="Times New Roman" w:eastAsia="Times New Roman" w:hAnsi="Times New Roman" w:cs="Times New Roman"/>
                <w:sz w:val="24"/>
                <w:szCs w:val="24"/>
              </w:rPr>
            </w:pPr>
            <w:r w:rsidRPr="000F563F">
              <w:rPr>
                <w:rFonts w:ascii="Times New Roman" w:eastAsia="Times New Roman" w:hAnsi="Times New Roman" w:cs="Times New Roman"/>
                <w:sz w:val="24"/>
                <w:szCs w:val="24"/>
              </w:rPr>
              <w:t xml:space="preserve">Through these integrated approaches, the project combined </w:t>
            </w:r>
            <w:r w:rsidRPr="000F563F">
              <w:rPr>
                <w:rFonts w:ascii="Times New Roman" w:eastAsia="Times New Roman" w:hAnsi="Times New Roman" w:cs="Times New Roman"/>
                <w:bCs/>
                <w:sz w:val="24"/>
                <w:szCs w:val="24"/>
              </w:rPr>
              <w:t>training, technical assistance, demonstration, consultancy, monitoring, and stakeholder collaboration</w:t>
            </w:r>
            <w:r w:rsidRPr="000F563F">
              <w:rPr>
                <w:rFonts w:ascii="Times New Roman" w:eastAsia="Times New Roman" w:hAnsi="Times New Roman" w:cs="Times New Roman"/>
                <w:sz w:val="24"/>
                <w:szCs w:val="24"/>
              </w:rPr>
              <w:t xml:space="preserve"> to ensure that the technology was not only transferred but also effectively adopted and sustainably utilized by the target beneficiaries.</w:t>
            </w:r>
          </w:p>
        </w:tc>
      </w:tr>
    </w:tbl>
    <w:p w14:paraId="011B818A" w14:textId="614D004F" w:rsidR="00D7509D" w:rsidRPr="00D7509D" w:rsidRDefault="00D7509D" w:rsidP="00D7509D">
      <w:pPr>
        <w:rPr>
          <w:b/>
          <w:color w:val="1F497D" w:themeColor="text2"/>
          <w:sz w:val="22"/>
          <w:szCs w:val="24"/>
          <w:lang w:val="en-PH"/>
        </w:rPr>
      </w:pPr>
      <w:r w:rsidRPr="00D7509D">
        <w:rPr>
          <w:b/>
          <w:bCs/>
          <w:color w:val="1F497D" w:themeColor="text2"/>
          <w:sz w:val="22"/>
          <w:szCs w:val="24"/>
          <w:lang w:val="en-PH"/>
        </w:rPr>
        <w:t>8. Key Outputs, Emerging Results, and Evidence of Outcomes, Adoption, or Utilization</w:t>
      </w:r>
    </w:p>
    <w:p w14:paraId="294EEDD7" w14:textId="1697B6AD" w:rsidR="00FF20E8" w:rsidRDefault="009C51C9" w:rsidP="00FF20E8">
      <w:pPr>
        <w:rPr>
          <w:b/>
          <w:bCs/>
          <w:color w:val="1F497D" w:themeColor="text2"/>
          <w:sz w:val="18"/>
          <w:szCs w:val="20"/>
          <w:lang w:val="en-PH"/>
        </w:rPr>
      </w:pPr>
      <w:r>
        <w:rPr>
          <w:bCs/>
          <w:color w:val="1F497D" w:themeColor="text2"/>
          <w:sz w:val="18"/>
          <w:szCs w:val="20"/>
          <w:lang w:val="en-PH"/>
        </w:rPr>
        <w:t>B</w:t>
      </w:r>
      <w:r w:rsidR="00FF20E8" w:rsidRPr="00FF20E8">
        <w:rPr>
          <w:bCs/>
          <w:color w:val="1F497D" w:themeColor="text2"/>
          <w:sz w:val="18"/>
          <w:szCs w:val="20"/>
          <w:lang w:val="en-PH"/>
        </w:rPr>
        <w:t xml:space="preserve">riefly present </w:t>
      </w:r>
      <w:r>
        <w:rPr>
          <w:bCs/>
          <w:color w:val="1F497D" w:themeColor="text2"/>
          <w:sz w:val="18"/>
          <w:szCs w:val="20"/>
          <w:lang w:val="en-PH"/>
        </w:rPr>
        <w:t>in not more than 300 words</w:t>
      </w:r>
      <w:r w:rsidRPr="00FF20E8">
        <w:rPr>
          <w:bCs/>
          <w:color w:val="1F497D" w:themeColor="text2"/>
          <w:sz w:val="18"/>
          <w:szCs w:val="20"/>
          <w:lang w:val="en-PH"/>
        </w:rPr>
        <w:t xml:space="preserve"> </w:t>
      </w:r>
      <w:r w:rsidR="00FF20E8" w:rsidRPr="00FF20E8">
        <w:rPr>
          <w:bCs/>
          <w:color w:val="1F497D" w:themeColor="text2"/>
          <w:sz w:val="18"/>
          <w:szCs w:val="20"/>
          <w:lang w:val="en-PH"/>
        </w:rPr>
        <w:t>the documented outputs and emerging results of the project. Include available evidence of outcomes, adoption, utilization, capability-building, institutional change, or public value, if applicable. Claims must be supported by verifiable evidence.</w:t>
      </w:r>
      <w:r w:rsidR="00FF20E8" w:rsidRPr="00FF20E8">
        <w:rPr>
          <w:b/>
          <w:bCs/>
          <w:color w:val="1F497D" w:themeColor="text2"/>
          <w:sz w:val="18"/>
          <w:szCs w:val="20"/>
          <w:lang w:val="en-PH"/>
        </w:rPr>
        <w:t xml:space="preserve"> </w:t>
      </w:r>
    </w:p>
    <w:p w14:paraId="14B1D24A" w14:textId="4FB68D13"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a. Major Outputs or Emerging Results</w:t>
      </w:r>
    </w:p>
    <w:tbl>
      <w:tblPr>
        <w:tblW w:w="0" w:type="auto"/>
        <w:jc w:val="center"/>
        <w:tblLook w:val="04A0" w:firstRow="1" w:lastRow="0" w:firstColumn="1" w:lastColumn="0" w:noHBand="0" w:noVBand="1"/>
      </w:tblPr>
      <w:tblGrid>
        <w:gridCol w:w="9595"/>
      </w:tblGrid>
      <w:tr w:rsidR="00FF20E8" w:rsidRPr="008304CC" w14:paraId="5BE1CD65"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0D89413E" w14:textId="77777777" w:rsidR="00E42D44" w:rsidRPr="00E42D44" w:rsidRDefault="00E42D44" w:rsidP="00E42D44">
            <w:pPr>
              <w:spacing w:before="100" w:beforeAutospacing="1" w:after="100" w:afterAutospacing="1" w:line="240" w:lineRule="auto"/>
              <w:jc w:val="both"/>
              <w:rPr>
                <w:rFonts w:ascii="Times New Roman" w:eastAsia="Times New Roman" w:hAnsi="Times New Roman" w:cs="Times New Roman"/>
                <w:sz w:val="24"/>
                <w:szCs w:val="24"/>
              </w:rPr>
            </w:pPr>
            <w:r w:rsidRPr="00E42D44">
              <w:rPr>
                <w:rFonts w:ascii="Times New Roman" w:eastAsia="Times New Roman" w:hAnsi="Times New Roman" w:cs="Times New Roman"/>
                <w:sz w:val="24"/>
                <w:szCs w:val="24"/>
              </w:rPr>
              <w:t xml:space="preserve">The project generated significant outputs and emerging results in the areas of </w:t>
            </w:r>
            <w:r w:rsidRPr="00E42D44">
              <w:rPr>
                <w:rFonts w:ascii="Times New Roman" w:eastAsia="Times New Roman" w:hAnsi="Times New Roman" w:cs="Times New Roman"/>
                <w:bCs/>
                <w:sz w:val="24"/>
                <w:szCs w:val="24"/>
              </w:rPr>
              <w:t>technology adoption, capacity building, renewable energy generation, waste management, and technical assistance</w:t>
            </w:r>
            <w:r w:rsidRPr="00E42D44">
              <w:rPr>
                <w:rFonts w:ascii="Times New Roman" w:eastAsia="Times New Roman" w:hAnsi="Times New Roman" w:cs="Times New Roman"/>
                <w:sz w:val="24"/>
                <w:szCs w:val="24"/>
              </w:rPr>
              <w:t>. From 1999 to June 2024, the NVSU Department of Agricultural and Biosystems Engineering provided continuous extension support for the adoption of the NVSU Model Anaerobic Digester in Nueva Vizcaya and neighboring provinces.</w:t>
            </w:r>
          </w:p>
          <w:p w14:paraId="65989FA5" w14:textId="77777777" w:rsidR="00E42D44" w:rsidRPr="00E42D44" w:rsidRDefault="00E42D44" w:rsidP="00E42D44">
            <w:pPr>
              <w:spacing w:before="100" w:beforeAutospacing="1" w:after="100" w:afterAutospacing="1" w:line="240" w:lineRule="auto"/>
              <w:jc w:val="both"/>
              <w:rPr>
                <w:rFonts w:ascii="Times New Roman" w:eastAsia="Times New Roman" w:hAnsi="Times New Roman" w:cs="Times New Roman"/>
                <w:sz w:val="24"/>
                <w:szCs w:val="24"/>
              </w:rPr>
            </w:pPr>
            <w:r w:rsidRPr="00E42D44">
              <w:rPr>
                <w:rFonts w:ascii="Times New Roman" w:eastAsia="Times New Roman" w:hAnsi="Times New Roman" w:cs="Times New Roman"/>
                <w:sz w:val="24"/>
                <w:szCs w:val="24"/>
              </w:rPr>
              <w:t xml:space="preserve">A total of </w:t>
            </w:r>
            <w:r w:rsidRPr="00E42D44">
              <w:rPr>
                <w:rFonts w:ascii="Times New Roman" w:eastAsia="Times New Roman" w:hAnsi="Times New Roman" w:cs="Times New Roman"/>
                <w:bCs/>
                <w:sz w:val="24"/>
                <w:szCs w:val="24"/>
              </w:rPr>
              <w:t>76 NVSU Model Anaerobic Digesters</w:t>
            </w:r>
            <w:r w:rsidRPr="00E42D44">
              <w:rPr>
                <w:rFonts w:ascii="Times New Roman" w:eastAsia="Times New Roman" w:hAnsi="Times New Roman" w:cs="Times New Roman"/>
                <w:sz w:val="24"/>
                <w:szCs w:val="24"/>
              </w:rPr>
              <w:t xml:space="preserve"> were established and adopted as energy recovery and waste treatment facilities for swine production. These facilities benefited </w:t>
            </w:r>
            <w:r w:rsidRPr="00E42D44">
              <w:rPr>
                <w:rFonts w:ascii="Times New Roman" w:eastAsia="Times New Roman" w:hAnsi="Times New Roman" w:cs="Times New Roman"/>
                <w:bCs/>
                <w:sz w:val="24"/>
                <w:szCs w:val="24"/>
              </w:rPr>
              <w:t>205 households and 76 swine farms</w:t>
            </w:r>
            <w:r w:rsidRPr="00E42D44">
              <w:rPr>
                <w:rFonts w:ascii="Times New Roman" w:eastAsia="Times New Roman" w:hAnsi="Times New Roman" w:cs="Times New Roman"/>
                <w:sz w:val="24"/>
                <w:szCs w:val="24"/>
              </w:rPr>
              <w:t xml:space="preserve">, demonstrating sustained utilization of the technology by the livestock sector. The adopted digesters had a combined capacity of approximately </w:t>
            </w:r>
            <w:r w:rsidRPr="00E42D44">
              <w:rPr>
                <w:rFonts w:ascii="Times New Roman" w:eastAsia="Times New Roman" w:hAnsi="Times New Roman" w:cs="Times New Roman"/>
                <w:bCs/>
                <w:sz w:val="24"/>
                <w:szCs w:val="24"/>
              </w:rPr>
              <w:t>1,765.60 m³</w:t>
            </w:r>
            <w:r w:rsidRPr="00E42D44">
              <w:rPr>
                <w:rFonts w:ascii="Times New Roman" w:eastAsia="Times New Roman" w:hAnsi="Times New Roman" w:cs="Times New Roman"/>
                <w:sz w:val="24"/>
                <w:szCs w:val="24"/>
              </w:rPr>
              <w:t xml:space="preserve"> and generated an estimated </w:t>
            </w:r>
            <w:r w:rsidRPr="00E42D44">
              <w:rPr>
                <w:rFonts w:ascii="Times New Roman" w:eastAsia="Times New Roman" w:hAnsi="Times New Roman" w:cs="Times New Roman"/>
                <w:bCs/>
                <w:sz w:val="24"/>
                <w:szCs w:val="24"/>
              </w:rPr>
              <w:t>466.12 tons of biogas annually</w:t>
            </w:r>
            <w:r w:rsidRPr="00E42D44">
              <w:rPr>
                <w:rFonts w:ascii="Times New Roman" w:eastAsia="Times New Roman" w:hAnsi="Times New Roman" w:cs="Times New Roman"/>
                <w:sz w:val="24"/>
                <w:szCs w:val="24"/>
              </w:rPr>
              <w:t>, which was utilized for cooking, heating, pumping, and electricity generation.</w:t>
            </w:r>
          </w:p>
          <w:p w14:paraId="2B3158A8" w14:textId="77777777" w:rsidR="00E42D44" w:rsidRPr="00E42D44" w:rsidRDefault="00E42D44" w:rsidP="00E42D44">
            <w:pPr>
              <w:spacing w:before="100" w:beforeAutospacing="1" w:after="100" w:afterAutospacing="1" w:line="240" w:lineRule="auto"/>
              <w:jc w:val="both"/>
              <w:rPr>
                <w:rFonts w:ascii="Times New Roman" w:eastAsia="Times New Roman" w:hAnsi="Times New Roman" w:cs="Times New Roman"/>
                <w:sz w:val="24"/>
                <w:szCs w:val="24"/>
              </w:rPr>
            </w:pPr>
            <w:r w:rsidRPr="00E42D44">
              <w:rPr>
                <w:rFonts w:ascii="Times New Roman" w:eastAsia="Times New Roman" w:hAnsi="Times New Roman" w:cs="Times New Roman"/>
                <w:sz w:val="24"/>
                <w:szCs w:val="24"/>
              </w:rPr>
              <w:t xml:space="preserve">The project also strengthened the technical capabilities of swine raisers through training on </w:t>
            </w:r>
            <w:r w:rsidRPr="00E42D44">
              <w:rPr>
                <w:rFonts w:ascii="Times New Roman" w:eastAsia="Times New Roman" w:hAnsi="Times New Roman" w:cs="Times New Roman"/>
                <w:bCs/>
                <w:sz w:val="24"/>
                <w:szCs w:val="24"/>
              </w:rPr>
              <w:t>basic biogas digester construction, operation and maintenance, waste and by-product utilization, and the economic aspects of anaerobic digestion technology</w:t>
            </w:r>
            <w:r w:rsidRPr="00E42D44">
              <w:rPr>
                <w:rFonts w:ascii="Times New Roman" w:eastAsia="Times New Roman" w:hAnsi="Times New Roman" w:cs="Times New Roman"/>
                <w:sz w:val="24"/>
                <w:szCs w:val="24"/>
              </w:rPr>
              <w:t xml:space="preserve">. A total of </w:t>
            </w:r>
            <w:r w:rsidRPr="00E42D44">
              <w:rPr>
                <w:rFonts w:ascii="Times New Roman" w:eastAsia="Times New Roman" w:hAnsi="Times New Roman" w:cs="Times New Roman"/>
                <w:bCs/>
                <w:sz w:val="24"/>
                <w:szCs w:val="24"/>
              </w:rPr>
              <w:t>180 swine raisers</w:t>
            </w:r>
            <w:r w:rsidRPr="00E42D44">
              <w:rPr>
                <w:rFonts w:ascii="Times New Roman" w:eastAsia="Times New Roman" w:hAnsi="Times New Roman" w:cs="Times New Roman"/>
                <w:sz w:val="24"/>
                <w:szCs w:val="24"/>
              </w:rPr>
              <w:t xml:space="preserve"> were capacitated, with training activities receiving an overall evaluation rating of </w:t>
            </w:r>
            <w:r w:rsidRPr="00E42D44">
              <w:rPr>
                <w:rFonts w:ascii="Times New Roman" w:eastAsia="Times New Roman" w:hAnsi="Times New Roman" w:cs="Times New Roman"/>
                <w:bCs/>
                <w:sz w:val="24"/>
                <w:szCs w:val="24"/>
              </w:rPr>
              <w:t>4.90</w:t>
            </w:r>
            <w:r w:rsidRPr="00E42D44">
              <w:rPr>
                <w:rFonts w:ascii="Times New Roman" w:eastAsia="Times New Roman" w:hAnsi="Times New Roman" w:cs="Times New Roman"/>
                <w:sz w:val="24"/>
                <w:szCs w:val="24"/>
              </w:rPr>
              <w:t>, indicating high participant satisfaction and perceived relevance.</w:t>
            </w:r>
          </w:p>
          <w:p w14:paraId="1F22E519" w14:textId="77777777" w:rsidR="00E42D44" w:rsidRPr="00E42D44" w:rsidRDefault="00E42D44" w:rsidP="00E42D44">
            <w:pPr>
              <w:spacing w:before="100" w:beforeAutospacing="1" w:after="100" w:afterAutospacing="1" w:line="240" w:lineRule="auto"/>
              <w:jc w:val="both"/>
              <w:rPr>
                <w:rFonts w:ascii="Times New Roman" w:eastAsia="Times New Roman" w:hAnsi="Times New Roman" w:cs="Times New Roman"/>
                <w:sz w:val="24"/>
                <w:szCs w:val="24"/>
              </w:rPr>
            </w:pPr>
            <w:r w:rsidRPr="00E42D44">
              <w:rPr>
                <w:rFonts w:ascii="Times New Roman" w:eastAsia="Times New Roman" w:hAnsi="Times New Roman" w:cs="Times New Roman"/>
                <w:sz w:val="24"/>
                <w:szCs w:val="24"/>
              </w:rPr>
              <w:t xml:space="preserve">Economic analysis further demonstrated the potential financial benefits of the technology. Selected anaerobic digesters generated annual revenues ranging from </w:t>
            </w:r>
            <w:proofErr w:type="spellStart"/>
            <w:r w:rsidRPr="00E42D44">
              <w:rPr>
                <w:rFonts w:ascii="Times New Roman" w:eastAsia="Times New Roman" w:hAnsi="Times New Roman" w:cs="Times New Roman"/>
                <w:bCs/>
                <w:sz w:val="24"/>
                <w:szCs w:val="24"/>
              </w:rPr>
              <w:t>PhP</w:t>
            </w:r>
            <w:proofErr w:type="spellEnd"/>
            <w:r w:rsidRPr="00E42D44">
              <w:rPr>
                <w:rFonts w:ascii="Times New Roman" w:eastAsia="Times New Roman" w:hAnsi="Times New Roman" w:cs="Times New Roman"/>
                <w:bCs/>
                <w:sz w:val="24"/>
                <w:szCs w:val="24"/>
              </w:rPr>
              <w:t xml:space="preserve"> 22,017.77 to </w:t>
            </w:r>
            <w:proofErr w:type="spellStart"/>
            <w:r w:rsidRPr="00E42D44">
              <w:rPr>
                <w:rFonts w:ascii="Times New Roman" w:eastAsia="Times New Roman" w:hAnsi="Times New Roman" w:cs="Times New Roman"/>
                <w:bCs/>
                <w:sz w:val="24"/>
                <w:szCs w:val="24"/>
              </w:rPr>
              <w:t>PhP</w:t>
            </w:r>
            <w:proofErr w:type="spellEnd"/>
            <w:r w:rsidRPr="00E42D44">
              <w:rPr>
                <w:rFonts w:ascii="Times New Roman" w:eastAsia="Times New Roman" w:hAnsi="Times New Roman" w:cs="Times New Roman"/>
                <w:bCs/>
                <w:sz w:val="24"/>
                <w:szCs w:val="24"/>
              </w:rPr>
              <w:t xml:space="preserve"> 588,238.55</w:t>
            </w:r>
            <w:r w:rsidRPr="00E42D44">
              <w:rPr>
                <w:rFonts w:ascii="Times New Roman" w:eastAsia="Times New Roman" w:hAnsi="Times New Roman" w:cs="Times New Roman"/>
                <w:sz w:val="24"/>
                <w:szCs w:val="24"/>
              </w:rPr>
              <w:t xml:space="preserve">, with net incomes ranging from </w:t>
            </w:r>
            <w:proofErr w:type="spellStart"/>
            <w:r w:rsidRPr="00E42D44">
              <w:rPr>
                <w:rFonts w:ascii="Times New Roman" w:eastAsia="Times New Roman" w:hAnsi="Times New Roman" w:cs="Times New Roman"/>
                <w:bCs/>
                <w:sz w:val="24"/>
                <w:szCs w:val="24"/>
              </w:rPr>
              <w:t>PhP</w:t>
            </w:r>
            <w:proofErr w:type="spellEnd"/>
            <w:r w:rsidRPr="00E42D44">
              <w:rPr>
                <w:rFonts w:ascii="Times New Roman" w:eastAsia="Times New Roman" w:hAnsi="Times New Roman" w:cs="Times New Roman"/>
                <w:bCs/>
                <w:sz w:val="24"/>
                <w:szCs w:val="24"/>
              </w:rPr>
              <w:t xml:space="preserve"> 12,456.77 to </w:t>
            </w:r>
            <w:proofErr w:type="spellStart"/>
            <w:r w:rsidRPr="00E42D44">
              <w:rPr>
                <w:rFonts w:ascii="Times New Roman" w:eastAsia="Times New Roman" w:hAnsi="Times New Roman" w:cs="Times New Roman"/>
                <w:bCs/>
                <w:sz w:val="24"/>
                <w:szCs w:val="24"/>
              </w:rPr>
              <w:t>PhP</w:t>
            </w:r>
            <w:proofErr w:type="spellEnd"/>
            <w:r w:rsidRPr="00E42D44">
              <w:rPr>
                <w:rFonts w:ascii="Times New Roman" w:eastAsia="Times New Roman" w:hAnsi="Times New Roman" w:cs="Times New Roman"/>
                <w:bCs/>
                <w:sz w:val="24"/>
                <w:szCs w:val="24"/>
              </w:rPr>
              <w:t xml:space="preserve"> 359,913.55</w:t>
            </w:r>
            <w:r w:rsidRPr="00E42D44">
              <w:rPr>
                <w:rFonts w:ascii="Times New Roman" w:eastAsia="Times New Roman" w:hAnsi="Times New Roman" w:cs="Times New Roman"/>
                <w:sz w:val="24"/>
                <w:szCs w:val="24"/>
              </w:rPr>
              <w:t xml:space="preserve"> and estimated payback periods of </w:t>
            </w:r>
            <w:r w:rsidRPr="00E42D44">
              <w:rPr>
                <w:rFonts w:ascii="Times New Roman" w:eastAsia="Times New Roman" w:hAnsi="Times New Roman" w:cs="Times New Roman"/>
                <w:bCs/>
                <w:sz w:val="24"/>
                <w:szCs w:val="24"/>
              </w:rPr>
              <w:t>2.50 to 4.31 years</w:t>
            </w:r>
            <w:r w:rsidRPr="00E42D44">
              <w:rPr>
                <w:rFonts w:ascii="Times New Roman" w:eastAsia="Times New Roman" w:hAnsi="Times New Roman" w:cs="Times New Roman"/>
                <w:sz w:val="24"/>
                <w:szCs w:val="24"/>
              </w:rPr>
              <w:t>.</w:t>
            </w:r>
          </w:p>
          <w:p w14:paraId="09C81532" w14:textId="250D126F" w:rsidR="00FF20E8" w:rsidRPr="00FF6196" w:rsidRDefault="00E42D44" w:rsidP="00FF6196">
            <w:pPr>
              <w:spacing w:before="100" w:beforeAutospacing="1" w:after="100" w:afterAutospacing="1" w:line="240" w:lineRule="auto"/>
              <w:jc w:val="both"/>
              <w:rPr>
                <w:rFonts w:ascii="Times New Roman" w:eastAsia="Times New Roman" w:hAnsi="Times New Roman" w:cs="Times New Roman"/>
                <w:sz w:val="24"/>
                <w:szCs w:val="24"/>
              </w:rPr>
            </w:pPr>
            <w:r w:rsidRPr="00E42D44">
              <w:rPr>
                <w:rFonts w:ascii="Times New Roman" w:eastAsia="Times New Roman" w:hAnsi="Times New Roman" w:cs="Times New Roman"/>
                <w:sz w:val="24"/>
                <w:szCs w:val="24"/>
              </w:rPr>
              <w:t xml:space="preserve">These documented results provide evidence that the NVSU Model Anaerobic Digester has been </w:t>
            </w:r>
            <w:r w:rsidRPr="00E42D44">
              <w:rPr>
                <w:rFonts w:ascii="Times New Roman" w:eastAsia="Times New Roman" w:hAnsi="Times New Roman" w:cs="Times New Roman"/>
                <w:bCs/>
                <w:sz w:val="24"/>
                <w:szCs w:val="24"/>
              </w:rPr>
              <w:t>adopted, utilized, and sustained by swine raisers</w:t>
            </w:r>
            <w:r w:rsidRPr="00E42D44">
              <w:rPr>
                <w:rFonts w:ascii="Times New Roman" w:eastAsia="Times New Roman" w:hAnsi="Times New Roman" w:cs="Times New Roman"/>
                <w:sz w:val="24"/>
                <w:szCs w:val="24"/>
              </w:rPr>
              <w:t>, while contributing to renewable energy generation, improved waste management, reduced dependence on conventional energy, and more sustainable swine production.</w:t>
            </w:r>
          </w:p>
        </w:tc>
      </w:tr>
    </w:tbl>
    <w:p w14:paraId="33E3B6BF" w14:textId="77777777" w:rsidR="00FF20E8" w:rsidRDefault="00FF20E8" w:rsidP="00FF20E8">
      <w:pPr>
        <w:rPr>
          <w:bCs/>
          <w:color w:val="1F497D" w:themeColor="text2"/>
          <w:sz w:val="18"/>
          <w:szCs w:val="20"/>
          <w:lang w:val="en-PH"/>
        </w:rPr>
      </w:pPr>
      <w:r w:rsidRPr="00FF20E8">
        <w:rPr>
          <w:b/>
          <w:bCs/>
          <w:color w:val="1F497D" w:themeColor="text2"/>
          <w:sz w:val="18"/>
          <w:szCs w:val="20"/>
          <w:lang w:val="en-PH"/>
        </w:rPr>
        <w:t>b. Evidence of Outcomes, Adoption, or Utilization</w:t>
      </w:r>
      <w:r w:rsidRPr="00FF20E8">
        <w:rPr>
          <w:bCs/>
          <w:color w:val="1F497D" w:themeColor="text2"/>
          <w:sz w:val="18"/>
          <w:szCs w:val="20"/>
          <w:lang w:val="en-PH"/>
        </w:rPr>
        <w:br/>
        <w:t>[Type response here. If not yet available, write: “Not yet available.”]</w:t>
      </w:r>
    </w:p>
    <w:tbl>
      <w:tblPr>
        <w:tblW w:w="0" w:type="auto"/>
        <w:jc w:val="center"/>
        <w:tblLook w:val="04A0" w:firstRow="1" w:lastRow="0" w:firstColumn="1" w:lastColumn="0" w:noHBand="0" w:noVBand="1"/>
      </w:tblPr>
      <w:tblGrid>
        <w:gridCol w:w="9595"/>
      </w:tblGrid>
      <w:tr w:rsidR="00FF20E8" w:rsidRPr="008304CC" w14:paraId="35F66A39" w14:textId="77777777" w:rsidTr="002858F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68B107BE" w14:textId="77777777" w:rsidR="00FF6196" w:rsidRPr="00FF6196" w:rsidRDefault="00FF6196" w:rsidP="00FF6196">
            <w:pPr>
              <w:pStyle w:val="pdq2pgselectionanchorcontainer"/>
              <w:jc w:val="both"/>
            </w:pPr>
            <w:r w:rsidRPr="00FF6196">
              <w:t xml:space="preserve">The project has generated clear evidence of technology adoption and utilization. As of June 2024, </w:t>
            </w:r>
            <w:r w:rsidRPr="00FF6196">
              <w:rPr>
                <w:rStyle w:val="Strong"/>
                <w:b w:val="0"/>
              </w:rPr>
              <w:t>76 NVSU Model Anaerobic Digesters</w:t>
            </w:r>
            <w:r w:rsidRPr="00FF6196">
              <w:t xml:space="preserve"> had been adopted and installed in swine production farms in Nueva Vizcaya and neighboring provinces, including </w:t>
            </w:r>
            <w:proofErr w:type="spellStart"/>
            <w:r w:rsidRPr="00FF6196">
              <w:t>Quirino</w:t>
            </w:r>
            <w:proofErr w:type="spellEnd"/>
            <w:r w:rsidRPr="00FF6196">
              <w:t xml:space="preserve">, Isabela, Ifugao, and provinces in the Ilocos Region. Of these, approximately </w:t>
            </w:r>
            <w:r w:rsidRPr="00FF6196">
              <w:rPr>
                <w:rStyle w:val="Strong"/>
                <w:b w:val="0"/>
              </w:rPr>
              <w:t>77.63% were installed in Nueva Vizcaya</w:t>
            </w:r>
            <w:r w:rsidRPr="00FF6196">
              <w:rPr>
                <w:b/>
              </w:rPr>
              <w:t>,</w:t>
            </w:r>
            <w:r w:rsidRPr="00FF6196">
              <w:t xml:space="preserve"> demonstrating substantial local adoption of the technology. </w:t>
            </w:r>
          </w:p>
          <w:p w14:paraId="6A82E5F4" w14:textId="77777777" w:rsidR="00FF6196" w:rsidRPr="00FF6196" w:rsidRDefault="00FF6196" w:rsidP="00FF6196">
            <w:pPr>
              <w:pStyle w:val="NormalWeb"/>
              <w:jc w:val="both"/>
            </w:pPr>
            <w:r w:rsidRPr="00FF6196">
              <w:t xml:space="preserve">The technology has directly benefited </w:t>
            </w:r>
            <w:r w:rsidRPr="00FF6196">
              <w:rPr>
                <w:rStyle w:val="Strong"/>
                <w:b w:val="0"/>
              </w:rPr>
              <w:t>205 households and 76 swine farms</w:t>
            </w:r>
            <w:r w:rsidRPr="00FF6196">
              <w:rPr>
                <w:b/>
              </w:rPr>
              <w:t xml:space="preserve"> </w:t>
            </w:r>
            <w:r w:rsidRPr="00FF6196">
              <w:t>since its extension implementation in 1999 up to June 2024. The digesters are being utilized for</w:t>
            </w:r>
            <w:r w:rsidRPr="00FF6196">
              <w:rPr>
                <w:b/>
              </w:rPr>
              <w:t xml:space="preserve"> </w:t>
            </w:r>
            <w:r w:rsidRPr="00FF6196">
              <w:rPr>
                <w:rStyle w:val="Strong"/>
                <w:b w:val="0"/>
              </w:rPr>
              <w:t>cooking, heating, pumping, and electricity generation</w:t>
            </w:r>
            <w:r w:rsidRPr="00FF6196">
              <w:rPr>
                <w:b/>
              </w:rPr>
              <w:t xml:space="preserve">, </w:t>
            </w:r>
            <w:r w:rsidRPr="00FF6196">
              <w:t xml:space="preserve">while simultaneously providing a waste treatment facility for livestock manure. </w:t>
            </w:r>
          </w:p>
          <w:p w14:paraId="3ABCAAFE" w14:textId="77777777" w:rsidR="00FF6196" w:rsidRPr="00FF6196" w:rsidRDefault="00FF6196" w:rsidP="00FF6196">
            <w:pPr>
              <w:pStyle w:val="NormalWeb"/>
              <w:jc w:val="both"/>
            </w:pPr>
            <w:r w:rsidRPr="00FF6196">
              <w:t xml:space="preserve">Capability-building outcomes are also documented. A total of </w:t>
            </w:r>
            <w:r w:rsidRPr="00FF6196">
              <w:rPr>
                <w:rStyle w:val="Strong"/>
                <w:b w:val="0"/>
              </w:rPr>
              <w:t>180 swine raisers</w:t>
            </w:r>
            <w:r w:rsidRPr="00FF6196">
              <w:t xml:space="preserve"> were capacitated in biogas digester construction, operation and maintenance, waste and by-product utilization, and the economic aspects of anaerobic digestion. The training received an</w:t>
            </w:r>
            <w:r w:rsidRPr="00FF6196">
              <w:rPr>
                <w:b/>
              </w:rPr>
              <w:t xml:space="preserve"> </w:t>
            </w:r>
            <w:r w:rsidRPr="00FF6196">
              <w:rPr>
                <w:rStyle w:val="Strong"/>
                <w:b w:val="0"/>
              </w:rPr>
              <w:t>overall post-evaluation rating of 4.90</w:t>
            </w:r>
            <w:r w:rsidRPr="00FF6196">
              <w:rPr>
                <w:b/>
              </w:rPr>
              <w:t xml:space="preserve">, </w:t>
            </w:r>
            <w:r w:rsidRPr="00FF6196">
              <w:t xml:space="preserve">indicating that participants considered the training timely and relevant to their needs. </w:t>
            </w:r>
          </w:p>
          <w:p w14:paraId="72F89495" w14:textId="77777777" w:rsidR="00FF6196" w:rsidRPr="00FF6196" w:rsidRDefault="00FF6196" w:rsidP="00FF6196">
            <w:pPr>
              <w:pStyle w:val="NormalWeb"/>
              <w:jc w:val="both"/>
            </w:pPr>
            <w:r w:rsidRPr="00FF6196">
              <w:t xml:space="preserve">The utilization of the technology has also produced measurable economic benefits. Annual revenues from 2.25, 16, and 60 m³ digesters were documented at </w:t>
            </w:r>
            <w:r w:rsidRPr="00FF6196">
              <w:rPr>
                <w:rStyle w:val="Strong"/>
                <w:b w:val="0"/>
              </w:rPr>
              <w:t>₱22,017.77, ₱110,232.37, and ₱588,238.55</w:t>
            </w:r>
            <w:r w:rsidRPr="00FF6196">
              <w:rPr>
                <w:b/>
              </w:rPr>
              <w:t>,</w:t>
            </w:r>
            <w:r w:rsidRPr="00FF6196">
              <w:t xml:space="preserve"> respectively, with corresponding net incomes of </w:t>
            </w:r>
            <w:r w:rsidRPr="00FF6196">
              <w:rPr>
                <w:rStyle w:val="Strong"/>
                <w:b w:val="0"/>
              </w:rPr>
              <w:t>₱12,456.77, ₱55,735.81,</w:t>
            </w:r>
            <w:r w:rsidRPr="00FF6196">
              <w:rPr>
                <w:rStyle w:val="Strong"/>
              </w:rPr>
              <w:t xml:space="preserve"> and </w:t>
            </w:r>
            <w:r w:rsidRPr="00FF6196">
              <w:rPr>
                <w:rStyle w:val="Strong"/>
                <w:b w:val="0"/>
              </w:rPr>
              <w:t>₱359,913.55</w:t>
            </w:r>
            <w:r w:rsidRPr="00FF6196">
              <w:rPr>
                <w:b/>
              </w:rPr>
              <w:t>.</w:t>
            </w:r>
            <w:r w:rsidRPr="00FF6196">
              <w:t xml:space="preserve"> </w:t>
            </w:r>
          </w:p>
          <w:p w14:paraId="74748A9C" w14:textId="33705383" w:rsidR="00FF20E8" w:rsidRPr="00FF6196" w:rsidRDefault="00FF6196" w:rsidP="00FF6196">
            <w:pPr>
              <w:pStyle w:val="NormalWeb"/>
              <w:jc w:val="both"/>
            </w:pPr>
            <w:r w:rsidRPr="00FF6196">
              <w:t>Overall, these documented adoption, utilization, capacity-building, beneficiary, and financial results demonstrate the project's contribution to</w:t>
            </w:r>
            <w:r w:rsidRPr="00FF6196">
              <w:rPr>
                <w:b/>
              </w:rPr>
              <w:t xml:space="preserve"> </w:t>
            </w:r>
            <w:r w:rsidRPr="00FF6196">
              <w:rPr>
                <w:rStyle w:val="Strong"/>
                <w:b w:val="0"/>
              </w:rPr>
              <w:t>renewable energy generation, sustainable waste management, improved swine production, reduced dependence on conventional fuels, and increased public value in rural communities</w:t>
            </w:r>
            <w:r>
              <w:t>.</w:t>
            </w:r>
          </w:p>
        </w:tc>
      </w:tr>
    </w:tbl>
    <w:p w14:paraId="41E682FF" w14:textId="77777777" w:rsidR="00FF20E8" w:rsidRPr="00FF20E8" w:rsidRDefault="00FF20E8" w:rsidP="00FF20E8">
      <w:pPr>
        <w:rPr>
          <w:bCs/>
          <w:color w:val="1F497D" w:themeColor="text2"/>
          <w:sz w:val="18"/>
          <w:szCs w:val="20"/>
          <w:lang w:val="en-PH"/>
        </w:rPr>
      </w:pPr>
      <w:r w:rsidRPr="00FF20E8">
        <w:rPr>
          <w:b/>
          <w:bCs/>
          <w:color w:val="1F497D" w:themeColor="text2"/>
          <w:sz w:val="18"/>
          <w:szCs w:val="20"/>
          <w:lang w:val="en-PH"/>
        </w:rPr>
        <w:t>c. Supporting Documents/Evidence Available</w:t>
      </w:r>
      <w:r w:rsidRPr="00FF20E8">
        <w:rPr>
          <w:bCs/>
          <w:color w:val="1F497D" w:themeColor="text2"/>
          <w:sz w:val="18"/>
          <w:szCs w:val="20"/>
          <w:lang w:val="en-PH"/>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A508C3" w:rsidRPr="008304CC" w14:paraId="6FA9F181" w14:textId="77777777" w:rsidTr="00D7509D">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6B672957" w14:textId="25402753" w:rsidR="00A508C3" w:rsidRPr="008304CC" w:rsidRDefault="00F1792F" w:rsidP="00A508C3">
            <w:pPr>
              <w:rPr>
                <w:sz w:val="22"/>
                <w:szCs w:val="24"/>
              </w:rPr>
            </w:pPr>
            <w:r>
              <w:rPr>
                <w:noProof/>
              </w:rPr>
              <w:drawing>
                <wp:inline distT="0" distB="0" distL="0" distR="0" wp14:anchorId="7562E3E4" wp14:editId="626E57E3">
                  <wp:extent cx="1802185" cy="103208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643" t="11518" r="9852" b="7541"/>
                          <a:stretch/>
                        </pic:blipFill>
                        <pic:spPr bwMode="auto">
                          <a:xfrm>
                            <a:off x="0" y="0"/>
                            <a:ext cx="1822955" cy="104398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1EB1500" wp14:editId="4BF6B7DE">
                  <wp:extent cx="1873038" cy="110241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494" t="10531" r="10777" b="9187"/>
                          <a:stretch/>
                        </pic:blipFill>
                        <pic:spPr bwMode="auto">
                          <a:xfrm flipV="1">
                            <a:off x="0" y="0"/>
                            <a:ext cx="1917240" cy="11284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D095A88" wp14:editId="094CB438">
                  <wp:extent cx="1800066" cy="117638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010" t="11187" r="13469" b="6883"/>
                          <a:stretch/>
                        </pic:blipFill>
                        <pic:spPr bwMode="auto">
                          <a:xfrm>
                            <a:off x="0" y="0"/>
                            <a:ext cx="1822560" cy="119108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CFCD38D" wp14:editId="25D54E3C">
                  <wp:extent cx="1422400" cy="1706444"/>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6545" t="15138" r="8281" b="9845"/>
                          <a:stretch/>
                        </pic:blipFill>
                        <pic:spPr bwMode="auto">
                          <a:xfrm>
                            <a:off x="0" y="0"/>
                            <a:ext cx="1432359" cy="171839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D37D81E" wp14:editId="4AD2F884">
                  <wp:extent cx="2459645" cy="1394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354" t="18592" r="8747" b="20045"/>
                          <a:stretch/>
                        </pic:blipFill>
                        <pic:spPr bwMode="auto">
                          <a:xfrm>
                            <a:off x="0" y="0"/>
                            <a:ext cx="2480128" cy="1405787"/>
                          </a:xfrm>
                          <a:prstGeom prst="rect">
                            <a:avLst/>
                          </a:prstGeom>
                          <a:ln>
                            <a:noFill/>
                          </a:ln>
                          <a:extLst>
                            <a:ext uri="{53640926-AAD7-44D8-BBD7-CCE9431645EC}">
                              <a14:shadowObscured xmlns:a14="http://schemas.microsoft.com/office/drawing/2010/main"/>
                            </a:ext>
                          </a:extLst>
                        </pic:spPr>
                      </pic:pic>
                    </a:graphicData>
                  </a:graphic>
                </wp:inline>
              </w:drawing>
            </w:r>
            <w:r w:rsidR="00E27757">
              <w:rPr>
                <w:noProof/>
              </w:rPr>
              <w:t xml:space="preserve"> </w:t>
            </w:r>
            <w:r w:rsidR="00E27757">
              <w:rPr>
                <w:noProof/>
              </w:rPr>
              <w:drawing>
                <wp:inline distT="0" distB="0" distL="0" distR="0" wp14:anchorId="1557FAFB" wp14:editId="20C5EFB1">
                  <wp:extent cx="1851378" cy="133310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6267" t="29618" r="10320" b="27612"/>
                          <a:stretch/>
                        </pic:blipFill>
                        <pic:spPr bwMode="auto">
                          <a:xfrm>
                            <a:off x="0" y="0"/>
                            <a:ext cx="1857927" cy="1337819"/>
                          </a:xfrm>
                          <a:prstGeom prst="rect">
                            <a:avLst/>
                          </a:prstGeom>
                          <a:ln>
                            <a:noFill/>
                          </a:ln>
                          <a:extLst>
                            <a:ext uri="{53640926-AAD7-44D8-BBD7-CCE9431645EC}">
                              <a14:shadowObscured xmlns:a14="http://schemas.microsoft.com/office/drawing/2010/main"/>
                            </a:ext>
                          </a:extLst>
                        </pic:spPr>
                      </pic:pic>
                    </a:graphicData>
                  </a:graphic>
                </wp:inline>
              </w:drawing>
            </w:r>
            <w:r w:rsidR="00A0528D">
              <w:rPr>
                <w:noProof/>
              </w:rPr>
              <w:t xml:space="preserve"> </w:t>
            </w:r>
            <w:r w:rsidR="00A508C3" w:rsidRPr="008304CC">
              <w:rPr>
                <w:sz w:val="22"/>
                <w:szCs w:val="24"/>
              </w:rPr>
              <w:br/>
            </w:r>
            <w:r w:rsidR="00A0528D">
              <w:rPr>
                <w:noProof/>
              </w:rPr>
              <w:drawing>
                <wp:inline distT="0" distB="0" distL="0" distR="0" wp14:anchorId="7170BDF9" wp14:editId="73DCF6B7">
                  <wp:extent cx="1851378" cy="1584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913" t="11682" r="26517" b="15931"/>
                          <a:stretch/>
                        </pic:blipFill>
                        <pic:spPr bwMode="auto">
                          <a:xfrm>
                            <a:off x="0" y="0"/>
                            <a:ext cx="1865831" cy="1597117"/>
                          </a:xfrm>
                          <a:prstGeom prst="rect">
                            <a:avLst/>
                          </a:prstGeom>
                          <a:ln>
                            <a:noFill/>
                          </a:ln>
                          <a:extLst>
                            <a:ext uri="{53640926-AAD7-44D8-BBD7-CCE9431645EC}">
                              <a14:shadowObscured xmlns:a14="http://schemas.microsoft.com/office/drawing/2010/main"/>
                            </a:ext>
                          </a:extLst>
                        </pic:spPr>
                      </pic:pic>
                    </a:graphicData>
                  </a:graphic>
                </wp:inline>
              </w:drawing>
            </w:r>
            <w:r w:rsidR="00A0528D">
              <w:rPr>
                <w:noProof/>
              </w:rPr>
              <w:t xml:space="preserve"> </w:t>
            </w:r>
            <w:r w:rsidR="00A0528D">
              <w:rPr>
                <w:noProof/>
              </w:rPr>
              <w:drawing>
                <wp:inline distT="0" distB="0" distL="0" distR="0" wp14:anchorId="2F67D040" wp14:editId="599528B6">
                  <wp:extent cx="1258128" cy="16594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650" t="16782" r="37900" b="11818"/>
                          <a:stretch/>
                        </pic:blipFill>
                        <pic:spPr bwMode="auto">
                          <a:xfrm>
                            <a:off x="0" y="0"/>
                            <a:ext cx="1269336" cy="1674250"/>
                          </a:xfrm>
                          <a:prstGeom prst="rect">
                            <a:avLst/>
                          </a:prstGeom>
                          <a:ln>
                            <a:noFill/>
                          </a:ln>
                          <a:extLst>
                            <a:ext uri="{53640926-AAD7-44D8-BBD7-CCE9431645EC}">
                              <a14:shadowObscured xmlns:a14="http://schemas.microsoft.com/office/drawing/2010/main"/>
                            </a:ext>
                          </a:extLst>
                        </pic:spPr>
                      </pic:pic>
                    </a:graphicData>
                  </a:graphic>
                </wp:inline>
              </w:drawing>
            </w:r>
            <w:r w:rsidR="00A0528D">
              <w:rPr>
                <w:noProof/>
              </w:rPr>
              <w:t xml:space="preserve"> </w:t>
            </w:r>
            <w:r w:rsidR="00A0528D">
              <w:rPr>
                <w:noProof/>
              </w:rPr>
              <w:drawing>
                <wp:inline distT="0" distB="0" distL="0" distR="0" wp14:anchorId="7F6E2CFB" wp14:editId="7809B456">
                  <wp:extent cx="1270233" cy="1693333"/>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223" t="22213" r="37621" b="8692"/>
                          <a:stretch/>
                        </pic:blipFill>
                        <pic:spPr bwMode="auto">
                          <a:xfrm>
                            <a:off x="0" y="0"/>
                            <a:ext cx="1285762" cy="1714035"/>
                          </a:xfrm>
                          <a:prstGeom prst="rect">
                            <a:avLst/>
                          </a:prstGeom>
                          <a:ln>
                            <a:noFill/>
                          </a:ln>
                          <a:extLst>
                            <a:ext uri="{53640926-AAD7-44D8-BBD7-CCE9431645EC}">
                              <a14:shadowObscured xmlns:a14="http://schemas.microsoft.com/office/drawing/2010/main"/>
                            </a:ext>
                          </a:extLst>
                        </pic:spPr>
                      </pic:pic>
                    </a:graphicData>
                  </a:graphic>
                </wp:inline>
              </w:drawing>
            </w:r>
            <w:r w:rsidR="00A0528D">
              <w:rPr>
                <w:noProof/>
              </w:rPr>
              <w:t xml:space="preserve"> </w:t>
            </w:r>
            <w:r w:rsidR="00A0528D">
              <w:rPr>
                <w:noProof/>
              </w:rPr>
              <w:drawing>
                <wp:inline distT="0" distB="0" distL="0" distR="0" wp14:anchorId="3EC14E48" wp14:editId="62A57C7C">
                  <wp:extent cx="1278427" cy="180057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5722" t="27313" r="40954" b="14287"/>
                          <a:stretch/>
                        </pic:blipFill>
                        <pic:spPr bwMode="auto">
                          <a:xfrm>
                            <a:off x="0" y="0"/>
                            <a:ext cx="1288887" cy="1815311"/>
                          </a:xfrm>
                          <a:prstGeom prst="rect">
                            <a:avLst/>
                          </a:prstGeom>
                          <a:ln>
                            <a:noFill/>
                          </a:ln>
                          <a:extLst>
                            <a:ext uri="{53640926-AAD7-44D8-BBD7-CCE9431645EC}">
                              <a14:shadowObscured xmlns:a14="http://schemas.microsoft.com/office/drawing/2010/main"/>
                            </a:ext>
                          </a:extLst>
                        </pic:spPr>
                      </pic:pic>
                    </a:graphicData>
                  </a:graphic>
                </wp:inline>
              </w:drawing>
            </w:r>
            <w:r w:rsidR="00A508C3" w:rsidRPr="008304CC">
              <w:rPr>
                <w:sz w:val="22"/>
                <w:szCs w:val="24"/>
              </w:rPr>
              <w:br/>
            </w:r>
          </w:p>
        </w:tc>
      </w:tr>
    </w:tbl>
    <w:p w14:paraId="65A2C84A" w14:textId="63E41DDF" w:rsidR="00A508C3" w:rsidRPr="00A508C3" w:rsidRDefault="00B9305A" w:rsidP="00A508C3">
      <w:pPr>
        <w:rPr>
          <w:b/>
          <w:color w:val="1F497D" w:themeColor="text2"/>
          <w:sz w:val="22"/>
        </w:rPr>
      </w:pPr>
      <w:r>
        <w:rPr>
          <w:b/>
          <w:color w:val="1F497D" w:themeColor="text2"/>
          <w:sz w:val="22"/>
        </w:rPr>
        <w:t>9</w:t>
      </w:r>
      <w:r w:rsidR="00A508C3" w:rsidRPr="00A508C3">
        <w:rPr>
          <w:b/>
          <w:color w:val="1F497D" w:themeColor="text2"/>
          <w:sz w:val="22"/>
        </w:rPr>
        <w:t>. Sustainability Direction or Next Steps</w:t>
      </w:r>
    </w:p>
    <w:p w14:paraId="30EAA469" w14:textId="18863C8A" w:rsidR="00A508C3" w:rsidRPr="00046F6A" w:rsidRDefault="00A508C3" w:rsidP="00A508C3">
      <w:pPr>
        <w:rPr>
          <w:color w:val="1F497D" w:themeColor="text2"/>
          <w:sz w:val="18"/>
          <w:szCs w:val="18"/>
        </w:rPr>
      </w:pPr>
      <w:r w:rsidRPr="00046F6A">
        <w:rPr>
          <w:color w:val="1F497D" w:themeColor="text2"/>
          <w:sz w:val="18"/>
          <w:szCs w:val="18"/>
        </w:rPr>
        <w:t xml:space="preserve">Explain </w:t>
      </w:r>
      <w:r w:rsidR="00574868" w:rsidRPr="00046F6A">
        <w:rPr>
          <w:color w:val="1F497D" w:themeColor="text2"/>
          <w:sz w:val="18"/>
          <w:szCs w:val="18"/>
        </w:rPr>
        <w:t xml:space="preserve">in not more than </w:t>
      </w:r>
      <w:r w:rsidR="00ED13CF">
        <w:rPr>
          <w:color w:val="1F497D" w:themeColor="text2"/>
          <w:sz w:val="18"/>
          <w:szCs w:val="18"/>
        </w:rPr>
        <w:t>150</w:t>
      </w:r>
      <w:r w:rsidR="00574868" w:rsidRPr="00046F6A">
        <w:rPr>
          <w:color w:val="1F497D" w:themeColor="text2"/>
          <w:sz w:val="18"/>
          <w:szCs w:val="18"/>
        </w:rPr>
        <w:t xml:space="preserve"> words </w:t>
      </w:r>
      <w:r w:rsidRPr="00046F6A">
        <w:rPr>
          <w:color w:val="1F497D" w:themeColor="text2"/>
          <w:sz w:val="18"/>
          <w:szCs w:val="18"/>
        </w:rPr>
        <w:t>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A508C3" w:rsidRPr="008304CC" w14:paraId="32B69213" w14:textId="77777777" w:rsidTr="00F46F08">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68798ABF" w14:textId="77777777" w:rsidR="00A32B6B" w:rsidRPr="00A32B6B" w:rsidRDefault="00A32B6B" w:rsidP="00A32B6B">
            <w:pPr>
              <w:pStyle w:val="pdq2pgselectionanchorcontainer"/>
              <w:jc w:val="both"/>
            </w:pPr>
            <w:r w:rsidRPr="00A32B6B">
              <w:t xml:space="preserve">The project will be sustained through the </w:t>
            </w:r>
            <w:r w:rsidRPr="00A32B6B">
              <w:rPr>
                <w:rStyle w:val="Strong"/>
                <w:b w:val="0"/>
              </w:rPr>
              <w:t>continuous extension, technical assistance, monitoring, and promotion of the NVSU Model Anaerobic Digestion Technology</w:t>
            </w:r>
            <w:r w:rsidRPr="00A32B6B">
              <w:t xml:space="preserve"> among swine raisers and farming communities. NVSU’s College of Engineering Extension and Training Program will continue to work with the University Extension Program and Municipal Agriculture Offices to provide training on construction, operation and maintenance, waste and by-product utilization, and economic management of anaerobic digesters. The project will also strengthen monitoring and performance evaluation of existing installations to document gas production, economic benefits, and technology utilization. </w:t>
            </w:r>
          </w:p>
          <w:p w14:paraId="34B22EB4" w14:textId="33596F0A" w:rsidR="00A508C3" w:rsidRPr="00A32B6B" w:rsidRDefault="00A32B6B" w:rsidP="00A32B6B">
            <w:pPr>
              <w:pStyle w:val="NormalWeb"/>
              <w:jc w:val="both"/>
            </w:pPr>
            <w:r w:rsidRPr="00A32B6B">
              <w:t xml:space="preserve">The next steps include </w:t>
            </w:r>
            <w:r w:rsidRPr="00A32B6B">
              <w:rPr>
                <w:rStyle w:val="Strong"/>
                <w:b w:val="0"/>
              </w:rPr>
              <w:t>expanding technology adoption to additional swine farms and communities, improving technical assistance mechanisms, and strengthening partnerships with local government and agricultural stakeholders</w:t>
            </w:r>
            <w:r w:rsidRPr="00A32B6B">
              <w:t>. The documented adoption of 76 digesters provides a foundation for further scaling of the technology</w:t>
            </w:r>
            <w:r>
              <w:t xml:space="preserve">. </w:t>
            </w:r>
          </w:p>
        </w:tc>
      </w:tr>
    </w:tbl>
    <w:p w14:paraId="48F0AA4C" w14:textId="77777777" w:rsidR="00A508C3" w:rsidRPr="00016E02" w:rsidRDefault="00A508C3" w:rsidP="00A508C3">
      <w:pPr>
        <w:rPr>
          <w:b/>
          <w:color w:val="0F243E" w:themeColor="text2" w:themeShade="80"/>
          <w:sz w:val="22"/>
          <w:szCs w:val="24"/>
        </w:rPr>
      </w:pPr>
      <w:r w:rsidRPr="00016E02">
        <w:rPr>
          <w:b/>
          <w:color w:val="0F243E" w:themeColor="text2" w:themeShade="80"/>
          <w:sz w:val="22"/>
          <w:szCs w:val="24"/>
        </w:rPr>
        <w:t>C. Keywords</w:t>
      </w:r>
    </w:p>
    <w:tbl>
      <w:tblPr>
        <w:tblW w:w="0" w:type="auto"/>
        <w:jc w:val="center"/>
        <w:tblLook w:val="04A0" w:firstRow="1" w:lastRow="0" w:firstColumn="1" w:lastColumn="0" w:noHBand="0" w:noVBand="1"/>
      </w:tblPr>
      <w:tblGrid>
        <w:gridCol w:w="9595"/>
      </w:tblGrid>
      <w:tr w:rsidR="00A508C3" w:rsidRPr="008304CC" w14:paraId="53945A68" w14:textId="77777777" w:rsidTr="00046F6A">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53C1F9AE" w14:textId="01D7C1CB" w:rsidR="00A508C3" w:rsidRPr="00A32B6B" w:rsidRDefault="00A508C3" w:rsidP="00A32B6B">
            <w:pPr>
              <w:spacing w:after="0" w:line="240" w:lineRule="auto"/>
              <w:rPr>
                <w:rFonts w:cs="Arial"/>
                <w:sz w:val="22"/>
              </w:rPr>
            </w:pPr>
            <w:r w:rsidRPr="008304CC">
              <w:rPr>
                <w:sz w:val="22"/>
                <w:szCs w:val="24"/>
              </w:rPr>
              <w:t>1</w:t>
            </w:r>
            <w:r w:rsidR="0093556B">
              <w:rPr>
                <w:sz w:val="22"/>
                <w:szCs w:val="24"/>
              </w:rPr>
              <w:t>0</w:t>
            </w:r>
            <w:r w:rsidRPr="008304CC">
              <w:rPr>
                <w:sz w:val="22"/>
                <w:szCs w:val="24"/>
              </w:rPr>
              <w:t xml:space="preserve">. Keywords, three to five keywords: </w:t>
            </w:r>
            <w:r w:rsidRPr="00A32B6B">
              <w:rPr>
                <w:sz w:val="22"/>
              </w:rPr>
              <w:t>[</w:t>
            </w:r>
            <w:r w:rsidR="00A32B6B" w:rsidRPr="00A32B6B">
              <w:rPr>
                <w:rFonts w:cs="Arial"/>
                <w:sz w:val="22"/>
              </w:rPr>
              <w:t>Anaerobic Digester</w:t>
            </w:r>
            <w:r w:rsidRPr="00A32B6B">
              <w:rPr>
                <w:sz w:val="22"/>
              </w:rPr>
              <w:t xml:space="preserve">; </w:t>
            </w:r>
            <w:r w:rsidR="00A32B6B" w:rsidRPr="00A32B6B">
              <w:rPr>
                <w:rFonts w:cs="Arial"/>
                <w:sz w:val="22"/>
              </w:rPr>
              <w:t>renewable energy</w:t>
            </w:r>
            <w:r w:rsidRPr="00A32B6B">
              <w:rPr>
                <w:sz w:val="22"/>
              </w:rPr>
              <w:t xml:space="preserve">; </w:t>
            </w:r>
            <w:r w:rsidR="00A32B6B" w:rsidRPr="00A32B6B">
              <w:rPr>
                <w:rFonts w:cs="Arial"/>
                <w:sz w:val="22"/>
              </w:rPr>
              <w:t>financial analysis</w:t>
            </w:r>
            <w:r w:rsidRPr="00A32B6B">
              <w:rPr>
                <w:sz w:val="22"/>
              </w:rPr>
              <w:t>;</w:t>
            </w:r>
            <w:r w:rsidR="00A32B6B" w:rsidRPr="00A32B6B">
              <w:rPr>
                <w:rFonts w:cs="Arial"/>
                <w:sz w:val="22"/>
              </w:rPr>
              <w:t xml:space="preserve"> Waste </w:t>
            </w:r>
            <w:proofErr w:type="gramStart"/>
            <w:r w:rsidR="00A32B6B" w:rsidRPr="00A32B6B">
              <w:rPr>
                <w:rFonts w:cs="Arial"/>
                <w:sz w:val="22"/>
              </w:rPr>
              <w:t>Management</w:t>
            </w:r>
            <w:r w:rsidRPr="00A32B6B">
              <w:rPr>
                <w:sz w:val="22"/>
              </w:rPr>
              <w:t xml:space="preserve"> ;</w:t>
            </w:r>
            <w:proofErr w:type="gramEnd"/>
            <w:r w:rsidRPr="00A32B6B">
              <w:rPr>
                <w:sz w:val="22"/>
              </w:rPr>
              <w:t xml:space="preserve"> </w:t>
            </w:r>
            <w:r w:rsidR="00A32B6B" w:rsidRPr="00A32B6B">
              <w:rPr>
                <w:sz w:val="22"/>
              </w:rPr>
              <w:t>Circular Economy</w:t>
            </w:r>
            <w:r w:rsidRPr="00A32B6B">
              <w:rPr>
                <w:sz w:val="22"/>
              </w:rPr>
              <w:t>]</w:t>
            </w:r>
          </w:p>
        </w:tc>
      </w:tr>
    </w:tbl>
    <w:p w14:paraId="3947E4DC" w14:textId="29EB4671" w:rsidR="004D31B9" w:rsidRPr="007A05C6" w:rsidRDefault="00E546F8" w:rsidP="00016E02">
      <w:pPr>
        <w:rPr>
          <w:b/>
          <w:bCs/>
          <w:color w:val="0F243E" w:themeColor="text2" w:themeShade="80"/>
        </w:rPr>
      </w:pPr>
      <w:r w:rsidRPr="00E546F8">
        <w:rPr>
          <w:b/>
          <w:bCs/>
          <w:color w:val="0F243E" w:themeColor="text2" w:themeShade="80"/>
        </w:rPr>
        <w:t xml:space="preserve">For </w:t>
      </w:r>
      <w:proofErr w:type="spellStart"/>
      <w:r w:rsidRPr="00E546F8">
        <w:rPr>
          <w:b/>
          <w:bCs/>
          <w:color w:val="0F243E" w:themeColor="text2" w:themeShade="80"/>
        </w:rPr>
        <w:t>PEMNet</w:t>
      </w:r>
      <w:proofErr w:type="spellEnd"/>
      <w:r w:rsidRPr="00E546F8">
        <w:rPr>
          <w:b/>
          <w:bCs/>
          <w:color w:val="0F243E" w:themeColor="text2" w:themeShade="80"/>
        </w:rPr>
        <w:t xml:space="preserve"> Abstract Review Committee Use Only</w:t>
      </w:r>
      <w:r w:rsidR="004D31B9" w:rsidRPr="007A05C6">
        <w:rPr>
          <w:b/>
          <w:bCs/>
          <w:color w:val="0F243E" w:themeColor="text2" w:themeShade="80"/>
        </w:rPr>
        <w:t xml:space="preserve">: </w:t>
      </w:r>
    </w:p>
    <w:p w14:paraId="69C1E6A5" w14:textId="4FFD08D0" w:rsidR="00016E02" w:rsidRDefault="00016E02" w:rsidP="00FF20E8">
      <w:pPr>
        <w:spacing w:after="0" w:line="240" w:lineRule="auto"/>
        <w:ind w:left="720"/>
      </w:pPr>
      <w:proofErr w:type="gramStart"/>
      <w:r w:rsidRPr="00016E02">
        <w:t>[ ]</w:t>
      </w:r>
      <w:proofErr w:type="gramEnd"/>
      <w:r w:rsidRPr="00016E02">
        <w:t xml:space="preserve"> </w:t>
      </w:r>
      <w:r>
        <w:t xml:space="preserve">Recommended for Acceptance </w:t>
      </w:r>
    </w:p>
    <w:p w14:paraId="773ADA85" w14:textId="24440E5D" w:rsidR="00C55A4B" w:rsidRDefault="00016E02" w:rsidP="00FF20E8">
      <w:pPr>
        <w:spacing w:after="0" w:line="240" w:lineRule="auto"/>
        <w:ind w:left="720"/>
      </w:pPr>
      <w:proofErr w:type="gramStart"/>
      <w:r w:rsidRPr="00016E02">
        <w:t>[ ]</w:t>
      </w:r>
      <w:proofErr w:type="gramEnd"/>
      <w:r>
        <w:t xml:space="preserve"> Not Recommended for Acceptance </w:t>
      </w:r>
      <w:r w:rsidRPr="00016E02">
        <w:t xml:space="preserve"> </w:t>
      </w:r>
    </w:p>
    <w:p w14:paraId="2780ACBB" w14:textId="77777777" w:rsidR="00FF20E8" w:rsidRDefault="00FF20E8" w:rsidP="00FF20E8">
      <w:pPr>
        <w:spacing w:after="0" w:line="240" w:lineRule="auto"/>
        <w:ind w:left="720"/>
      </w:pPr>
    </w:p>
    <w:p w14:paraId="2A16EF01" w14:textId="759813DB" w:rsidR="0017698C" w:rsidRDefault="008304CC" w:rsidP="00FF20E8">
      <w:pPr>
        <w:spacing w:after="0" w:line="240" w:lineRule="auto"/>
        <w:ind w:left="2160"/>
      </w:pPr>
      <w:r>
        <w:t>Reviewed b</w:t>
      </w:r>
      <w:r w:rsidR="00016E02">
        <w:t xml:space="preserve">y: </w:t>
      </w:r>
      <w:r>
        <w:t xml:space="preserve"> </w:t>
      </w:r>
      <w:r w:rsidR="0017698C">
        <w:t>___________________________________________________</w:t>
      </w:r>
    </w:p>
    <w:p w14:paraId="1CACD333" w14:textId="00950D9D" w:rsidR="00016E02" w:rsidRPr="0017698C" w:rsidRDefault="0017698C" w:rsidP="00FF20E8">
      <w:pPr>
        <w:spacing w:after="0" w:line="240" w:lineRule="auto"/>
        <w:jc w:val="center"/>
        <w:rPr>
          <w:color w:val="1F497D" w:themeColor="text2"/>
        </w:rPr>
      </w:pPr>
      <w:r w:rsidRPr="0017698C">
        <w:rPr>
          <w:b/>
          <w:bCs/>
          <w:color w:val="1F497D" w:themeColor="text2"/>
        </w:rPr>
        <w:t xml:space="preserve">                                                </w:t>
      </w:r>
      <w:r w:rsidR="00016E02" w:rsidRPr="0017698C">
        <w:rPr>
          <w:b/>
          <w:bCs/>
          <w:color w:val="1F497D" w:themeColor="text2"/>
        </w:rPr>
        <w:t xml:space="preserve">Chair, </w:t>
      </w:r>
      <w:proofErr w:type="spellStart"/>
      <w:r w:rsidR="00016E02" w:rsidRPr="0017698C">
        <w:rPr>
          <w:b/>
          <w:bCs/>
          <w:color w:val="1F497D" w:themeColor="text2"/>
        </w:rPr>
        <w:t>PEMNet</w:t>
      </w:r>
      <w:proofErr w:type="spellEnd"/>
      <w:r w:rsidR="00016E02" w:rsidRPr="0017698C">
        <w:rPr>
          <w:b/>
          <w:bCs/>
          <w:color w:val="1F497D" w:themeColor="text2"/>
        </w:rPr>
        <w:t xml:space="preserve"> </w:t>
      </w:r>
      <w:r w:rsidR="00016E02" w:rsidRPr="0017698C">
        <w:rPr>
          <w:b/>
          <w:bCs/>
          <w:color w:val="1F497D" w:themeColor="text2"/>
          <w:lang w:val="en-PH"/>
        </w:rPr>
        <w:t>Scientific / Abstract Review Committee</w:t>
      </w:r>
    </w:p>
    <w:sectPr w:rsidR="00016E02" w:rsidRPr="0017698C" w:rsidSect="00034616">
      <w:headerReference w:type="default" r:id="rId18"/>
      <w:footerReference w:type="default" r:id="rId19"/>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1753D" w14:textId="77777777" w:rsidR="00513434" w:rsidRDefault="00513434">
      <w:pPr>
        <w:spacing w:after="0" w:line="240" w:lineRule="auto"/>
      </w:pPr>
      <w:r>
        <w:separator/>
      </w:r>
    </w:p>
  </w:endnote>
  <w:endnote w:type="continuationSeparator" w:id="0">
    <w:p w14:paraId="55A03F3C" w14:textId="77777777" w:rsidR="00513434" w:rsidRDefault="00513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eastAsiaTheme="minorEastAsia" w:hAnsiTheme="minorHAnsi" w:cs="Times New Roman"/>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580B5251" w14:textId="0F5EF041"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s="Times New Roman"/>
            <w:color w:val="1F497D" w:themeColor="text2"/>
            <w:sz w:val="20"/>
            <w:szCs w:val="20"/>
          </w:rPr>
          <w:t xml:space="preserve">Abstract  </w:t>
        </w:r>
        <w:r w:rsidRPr="00925488">
          <w:rPr>
            <w:rFonts w:asciiTheme="minorHAnsi" w:eastAsiaTheme="minorEastAsia" w:hAnsiTheme="minorHAnsi" w:cs="Times New Roman"/>
            <w:color w:val="1F497D" w:themeColor="text2"/>
            <w:sz w:val="22"/>
          </w:rPr>
          <w:t xml:space="preserve">                   </w:t>
        </w:r>
        <w:r w:rsidRPr="00925488">
          <w:rPr>
            <w:rFonts w:asciiTheme="minorHAnsi" w:eastAsiaTheme="minorEastAsia" w:hAnsiTheme="minorHAnsi" w:cs="Times New Roman"/>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s="Times New Roman"/>
            <w:color w:val="1F497D" w:themeColor="text2"/>
            <w:sz w:val="20"/>
            <w:szCs w:val="20"/>
          </w:rPr>
          <w:fldChar w:fldCharType="separate"/>
        </w:r>
        <w:r w:rsidRPr="00925488">
          <w:rPr>
            <w:rFonts w:asciiTheme="majorHAnsi" w:eastAsiaTheme="majorEastAsia" w:hAnsiTheme="majorHAnsi" w:cstheme="majorBidi"/>
            <w:noProof/>
            <w:color w:val="1F497D" w:themeColor="text2"/>
            <w:sz w:val="20"/>
            <w:szCs w:val="20"/>
          </w:rPr>
          <w:t>2</w:t>
        </w:r>
        <w:r w:rsidRPr="00925488">
          <w:rPr>
            <w:rFonts w:asciiTheme="majorHAnsi" w:eastAsiaTheme="majorEastAsia" w:hAnsiTheme="majorHAnsi" w:cstheme="majorBidi"/>
            <w:noProof/>
            <w:color w:val="1F497D" w:themeColor="text2"/>
            <w:sz w:val="20"/>
            <w:szCs w:val="20"/>
          </w:rPr>
          <w:fldChar w:fldCharType="end"/>
        </w:r>
      </w:p>
    </w:sdtContent>
  </w:sdt>
  <w:p w14:paraId="4ACBA10A" w14:textId="41E07BD3"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A26CE" w14:textId="77777777" w:rsidR="00513434" w:rsidRDefault="00513434">
      <w:pPr>
        <w:spacing w:after="0" w:line="240" w:lineRule="auto"/>
      </w:pPr>
      <w:r>
        <w:separator/>
      </w:r>
    </w:p>
  </w:footnote>
  <w:footnote w:type="continuationSeparator" w:id="0">
    <w:p w14:paraId="5B20477B" w14:textId="77777777" w:rsidR="00513434" w:rsidRDefault="00513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B79DA" w14:textId="694503C6" w:rsidR="00C55A4B" w:rsidRPr="00046F6A" w:rsidRDefault="003D062A" w:rsidP="003D062A">
    <w:pPr>
      <w:pStyle w:val="Header"/>
      <w:jc w:val="center"/>
      <w:rPr>
        <w:color w:val="1F497D" w:themeColor="text2"/>
        <w:sz w:val="28"/>
        <w:szCs w:val="32"/>
      </w:rPr>
    </w:pPr>
    <w:r w:rsidRPr="00046F6A">
      <w:rPr>
        <w:b/>
        <w:color w:val="1F497D" w:themeColor="text2"/>
        <w:sz w:val="24"/>
        <w:szCs w:val="32"/>
      </w:rPr>
      <w:t>1</w:t>
    </w:r>
    <w:r w:rsidRPr="00046F6A">
      <w:rPr>
        <w:b/>
        <w:color w:val="1F497D" w:themeColor="text2"/>
        <w:sz w:val="24"/>
        <w:szCs w:val="32"/>
        <w:vertAlign w:val="superscript"/>
      </w:rPr>
      <w:t>st</w:t>
    </w:r>
    <w:r w:rsidRPr="00046F6A">
      <w:rPr>
        <w:b/>
        <w:color w:val="1F497D" w:themeColor="text2"/>
        <w:sz w:val="24"/>
        <w:szCs w:val="32"/>
      </w:rPr>
      <w:t xml:space="preserve"> </w:t>
    </w:r>
    <w:proofErr w:type="spellStart"/>
    <w:r w:rsidR="00732E0D" w:rsidRPr="00046F6A">
      <w:rPr>
        <w:b/>
        <w:color w:val="1F497D" w:themeColor="text2"/>
        <w:sz w:val="24"/>
        <w:szCs w:val="32"/>
      </w:rPr>
      <w:t>PEMNet</w:t>
    </w:r>
    <w:proofErr w:type="spellEnd"/>
    <w:r w:rsidR="00732E0D" w:rsidRPr="00046F6A">
      <w:rPr>
        <w:b/>
        <w:color w:val="1F497D" w:themeColor="text2"/>
        <w:sz w:val="24"/>
        <w:szCs w:val="32"/>
      </w:rPr>
      <w:t xml:space="preserve"> National Extension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66C1D"/>
    <w:multiLevelType w:val="multilevel"/>
    <w:tmpl w:val="CFFC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47"/>
    <w:rsid w:val="00016E02"/>
    <w:rsid w:val="00034616"/>
    <w:rsid w:val="00046F6A"/>
    <w:rsid w:val="0006063C"/>
    <w:rsid w:val="00081022"/>
    <w:rsid w:val="000B7B42"/>
    <w:rsid w:val="000D08E4"/>
    <w:rsid w:val="000E3176"/>
    <w:rsid w:val="0012188D"/>
    <w:rsid w:val="001256F6"/>
    <w:rsid w:val="0015074B"/>
    <w:rsid w:val="0017698C"/>
    <w:rsid w:val="001C2C9F"/>
    <w:rsid w:val="00256783"/>
    <w:rsid w:val="00282A64"/>
    <w:rsid w:val="00295D1C"/>
    <w:rsid w:val="0029639D"/>
    <w:rsid w:val="002A7E59"/>
    <w:rsid w:val="002B170E"/>
    <w:rsid w:val="002E3E79"/>
    <w:rsid w:val="00326F90"/>
    <w:rsid w:val="00366A9D"/>
    <w:rsid w:val="0039029D"/>
    <w:rsid w:val="003B1E4C"/>
    <w:rsid w:val="003D062A"/>
    <w:rsid w:val="003D5156"/>
    <w:rsid w:val="003E4AC7"/>
    <w:rsid w:val="00435093"/>
    <w:rsid w:val="004A17DC"/>
    <w:rsid w:val="004D31B9"/>
    <w:rsid w:val="00513434"/>
    <w:rsid w:val="00574868"/>
    <w:rsid w:val="005C1668"/>
    <w:rsid w:val="005C6CDA"/>
    <w:rsid w:val="00613D8E"/>
    <w:rsid w:val="00617D33"/>
    <w:rsid w:val="006A4F2B"/>
    <w:rsid w:val="006F51DD"/>
    <w:rsid w:val="007049A5"/>
    <w:rsid w:val="00732E0D"/>
    <w:rsid w:val="007758C8"/>
    <w:rsid w:val="007A05C6"/>
    <w:rsid w:val="008304CC"/>
    <w:rsid w:val="008A157F"/>
    <w:rsid w:val="00925488"/>
    <w:rsid w:val="0093556B"/>
    <w:rsid w:val="009C51C9"/>
    <w:rsid w:val="009D7E82"/>
    <w:rsid w:val="00A0528D"/>
    <w:rsid w:val="00A12CA9"/>
    <w:rsid w:val="00A267B7"/>
    <w:rsid w:val="00A32B6B"/>
    <w:rsid w:val="00A508C3"/>
    <w:rsid w:val="00A70566"/>
    <w:rsid w:val="00AA1D8D"/>
    <w:rsid w:val="00AC70F1"/>
    <w:rsid w:val="00B47730"/>
    <w:rsid w:val="00B703E9"/>
    <w:rsid w:val="00B9305A"/>
    <w:rsid w:val="00C55A4B"/>
    <w:rsid w:val="00C770FE"/>
    <w:rsid w:val="00C833C2"/>
    <w:rsid w:val="00CB0664"/>
    <w:rsid w:val="00CB1F16"/>
    <w:rsid w:val="00D328B4"/>
    <w:rsid w:val="00D7509D"/>
    <w:rsid w:val="00D81C71"/>
    <w:rsid w:val="00DA6AF2"/>
    <w:rsid w:val="00DD1F3E"/>
    <w:rsid w:val="00E13F0F"/>
    <w:rsid w:val="00E27757"/>
    <w:rsid w:val="00E31C4A"/>
    <w:rsid w:val="00E42D44"/>
    <w:rsid w:val="00E546F8"/>
    <w:rsid w:val="00E6337E"/>
    <w:rsid w:val="00ED13CF"/>
    <w:rsid w:val="00EF7C93"/>
    <w:rsid w:val="00F1792F"/>
    <w:rsid w:val="00F60397"/>
    <w:rsid w:val="00F6341E"/>
    <w:rsid w:val="00FC693F"/>
    <w:rsid w:val="00FF20E8"/>
    <w:rsid w:val="00FF61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D7425"/>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 w:type="paragraph" w:customStyle="1" w:styleId="pdq2pgselectionanchorcontainer">
    <w:name w:val="pdq2pg_selectionanchorcontainer"/>
    <w:basedOn w:val="Normal"/>
    <w:rsid w:val="00FF619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F61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646610">
      <w:bodyDiv w:val="1"/>
      <w:marLeft w:val="0"/>
      <w:marRight w:val="0"/>
      <w:marTop w:val="0"/>
      <w:marBottom w:val="0"/>
      <w:divBdr>
        <w:top w:val="none" w:sz="0" w:space="0" w:color="auto"/>
        <w:left w:val="none" w:sz="0" w:space="0" w:color="auto"/>
        <w:bottom w:val="none" w:sz="0" w:space="0" w:color="auto"/>
        <w:right w:val="none" w:sz="0" w:space="0" w:color="auto"/>
      </w:divBdr>
    </w:div>
    <w:div w:id="1505590884">
      <w:bodyDiv w:val="1"/>
      <w:marLeft w:val="0"/>
      <w:marRight w:val="0"/>
      <w:marTop w:val="0"/>
      <w:marBottom w:val="0"/>
      <w:divBdr>
        <w:top w:val="none" w:sz="0" w:space="0" w:color="auto"/>
        <w:left w:val="none" w:sz="0" w:space="0" w:color="auto"/>
        <w:bottom w:val="none" w:sz="0" w:space="0" w:color="auto"/>
        <w:right w:val="none" w:sz="0" w:space="0" w:color="auto"/>
      </w:divBdr>
    </w:div>
    <w:div w:id="1726758546">
      <w:bodyDiv w:val="1"/>
      <w:marLeft w:val="0"/>
      <w:marRight w:val="0"/>
      <w:marTop w:val="0"/>
      <w:marBottom w:val="0"/>
      <w:divBdr>
        <w:top w:val="none" w:sz="0" w:space="0" w:color="auto"/>
        <w:left w:val="none" w:sz="0" w:space="0" w:color="auto"/>
        <w:bottom w:val="none" w:sz="0" w:space="0" w:color="auto"/>
        <w:right w:val="none" w:sz="0" w:space="0" w:color="auto"/>
      </w:divBdr>
      <w:divsChild>
        <w:div w:id="704988988">
          <w:marLeft w:val="0"/>
          <w:marRight w:val="0"/>
          <w:marTop w:val="0"/>
          <w:marBottom w:val="0"/>
          <w:divBdr>
            <w:top w:val="none" w:sz="0" w:space="0" w:color="auto"/>
            <w:left w:val="none" w:sz="0" w:space="0" w:color="auto"/>
            <w:bottom w:val="none" w:sz="0" w:space="0" w:color="auto"/>
            <w:right w:val="none" w:sz="0" w:space="0" w:color="auto"/>
          </w:divBdr>
          <w:divsChild>
            <w:div w:id="234894838">
              <w:marLeft w:val="0"/>
              <w:marRight w:val="0"/>
              <w:marTop w:val="0"/>
              <w:marBottom w:val="0"/>
              <w:divBdr>
                <w:top w:val="none" w:sz="0" w:space="0" w:color="auto"/>
                <w:left w:val="none" w:sz="0" w:space="0" w:color="auto"/>
                <w:bottom w:val="none" w:sz="0" w:space="0" w:color="auto"/>
                <w:right w:val="none" w:sz="0" w:space="0" w:color="auto"/>
              </w:divBdr>
              <w:divsChild>
                <w:div w:id="728647882">
                  <w:marLeft w:val="0"/>
                  <w:marRight w:val="0"/>
                  <w:marTop w:val="0"/>
                  <w:marBottom w:val="0"/>
                  <w:divBdr>
                    <w:top w:val="none" w:sz="0" w:space="0" w:color="auto"/>
                    <w:left w:val="none" w:sz="0" w:space="0" w:color="auto"/>
                    <w:bottom w:val="none" w:sz="0" w:space="0" w:color="auto"/>
                    <w:right w:val="none" w:sz="0" w:space="0" w:color="auto"/>
                  </w:divBdr>
                  <w:divsChild>
                    <w:div w:id="2031177544">
                      <w:marLeft w:val="0"/>
                      <w:marRight w:val="0"/>
                      <w:marTop w:val="0"/>
                      <w:marBottom w:val="0"/>
                      <w:divBdr>
                        <w:top w:val="none" w:sz="0" w:space="0" w:color="auto"/>
                        <w:left w:val="none" w:sz="0" w:space="0" w:color="auto"/>
                        <w:bottom w:val="none" w:sz="0" w:space="0" w:color="auto"/>
                        <w:right w:val="none" w:sz="0" w:space="0" w:color="auto"/>
                      </w:divBdr>
                      <w:divsChild>
                        <w:div w:id="760485936">
                          <w:marLeft w:val="0"/>
                          <w:marRight w:val="0"/>
                          <w:marTop w:val="0"/>
                          <w:marBottom w:val="0"/>
                          <w:divBdr>
                            <w:top w:val="none" w:sz="0" w:space="0" w:color="auto"/>
                            <w:left w:val="none" w:sz="0" w:space="0" w:color="auto"/>
                            <w:bottom w:val="none" w:sz="0" w:space="0" w:color="auto"/>
                            <w:right w:val="none" w:sz="0" w:space="0" w:color="auto"/>
                          </w:divBdr>
                          <w:divsChild>
                            <w:div w:id="1121417659">
                              <w:marLeft w:val="0"/>
                              <w:marRight w:val="0"/>
                              <w:marTop w:val="0"/>
                              <w:marBottom w:val="0"/>
                              <w:divBdr>
                                <w:top w:val="none" w:sz="0" w:space="0" w:color="auto"/>
                                <w:left w:val="none" w:sz="0" w:space="0" w:color="auto"/>
                                <w:bottom w:val="none" w:sz="0" w:space="0" w:color="auto"/>
                                <w:right w:val="none" w:sz="0" w:space="0" w:color="auto"/>
                              </w:divBdr>
                              <w:divsChild>
                                <w:div w:id="934941612">
                                  <w:marLeft w:val="0"/>
                                  <w:marRight w:val="0"/>
                                  <w:marTop w:val="0"/>
                                  <w:marBottom w:val="0"/>
                                  <w:divBdr>
                                    <w:top w:val="none" w:sz="0" w:space="0" w:color="auto"/>
                                    <w:left w:val="none" w:sz="0" w:space="0" w:color="auto"/>
                                    <w:bottom w:val="none" w:sz="0" w:space="0" w:color="auto"/>
                                    <w:right w:val="none" w:sz="0" w:space="0" w:color="auto"/>
                                  </w:divBdr>
                                  <w:divsChild>
                                    <w:div w:id="9449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751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1B6B6-6D3B-4DD7-A103-E6B9B3556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Jenaida Aquino</cp:lastModifiedBy>
  <cp:revision>7</cp:revision>
  <dcterms:created xsi:type="dcterms:W3CDTF">2026-08-19T07:57:00Z</dcterms:created>
  <dcterms:modified xsi:type="dcterms:W3CDTF">2026-08-20T04:16:00Z</dcterms:modified>
  <cp:category/>
</cp:coreProperties>
</file>