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/12/2021 – 18/12/2021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Dinh Dinh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50.5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250.56640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Profile, Category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rHeight w:val="501.13281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rHeight w:val="262.86822016874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262.86822016874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the test case plan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18/12/2021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The website hasn’t been completed yet. Therefore, we can test it right now (Responsible: All members, Action date: Dec 18th, 2021.)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Profile, Category display (3rd version)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on Katalon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