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4502f3cea0feeb409b66f6e0d56d58464b886d"/>
    <w:p>
      <w:pPr>
        <w:jc w:val="center"/>
      </w:pPr>
    </w:p>
    <w:p>
      <w:pPr>
        <w:jc w:val="center"/>
      </w:pPr>
    </w:p>
    <w:p>
      <w:pPr>
        <w:jc w:val="center"/>
      </w:pPr>
    </w:p>
    <w:p>
      <w:pPr>
        <w:jc w:val="center"/>
      </w:pPr>
    </w:p>
    <w:p>
      <w:pPr>
        <w:jc w:val="center"/>
      </w:pPr>
    </w:p>
    <w:p>
      <w:pPr>
        <w:jc w:val="center"/>
      </w:pPr>
    </w:p>
    <w:p>
      <w:pPr>
        <w:jc w:val="center"/>
      </w:pPr>
      <w:r>
        <w:rPr>
          <w:b/>
          <w:color w:val="1F3864"/>
          <w:sz w:val="60"/>
          <w:szCs w:val="60"/>
        </w:rPr>
        <w:t xml:space="preserve">HCSP Cross-Industry Value &amp; Financial Impact Analysis</w:t>
      </w:r>
    </w:p>
    <w:p>
      <w:pPr>
        <w:jc w:val="center"/>
      </w:pPr>
      <w:r>
        <w:rPr>
          <w:color w:val="2E5595"/>
          <w:sz w:val="26"/>
          <w:szCs w:val="26"/>
        </w:rPr>
        <w:t xml:space="preserve">Revised edition — self-fueling energy architecture, scale ladder, trigeneration, storage, and dual-lens (composite + cost-savings) industry ranking.</w:t>
      </w:r>
    </w:p>
    <w:p>
      <w:pPr>
        <w:jc w:val="center"/>
      </w:pPr>
      <w:r>
        <w:rPr>
          <w:sz w:val="24"/>
          <w:szCs w:val="24"/>
        </w:rPr>
        <w:t xml:space="preserve">Where a modular supercritical water oxidation system delivers the most value: industry ranking, TAM/SAM, unit economics, and go-to-market strategy.</w:t>
      </w:r>
    </w:p>
    <w:p>
      <w:pPr>
        <w:jc w:val="center"/>
      </w:pPr>
      <w:r>
        <w:rPr>
          <w:sz w:val="24"/>
          <w:szCs w:val="24"/>
        </w:rPr>
        <w:t xml:space="preserve">Compiled September 2026.</w:t>
        <w:br w:type="page"/>
      </w:r>
    </w:p>
    <w:p>
      <w:pPr>
        <w:jc w:val="left"/>
      </w:pPr>
      <w:r>
        <w:rPr>
          <w:b/>
          <w:color w:val="1F3864"/>
          <w:sz w:val="40"/>
          <w:szCs w:val="40"/>
        </w:rPr>
        <w:t xml:space="preserve">Table of Contents</w:t>
      </w:r>
    </w:p>
    <w:p>
      <w:pPr>
        <w:jc w:val="left"/>
      </w:pPr>
      <w:r>
        <w:rPr>
          <w:b/>
          <w:sz w:val="24"/>
          <w:szCs w:val="24"/>
        </w:rPr>
        <w:t xml:space="preserve">Executive Summary</w:t>
      </w:r>
    </w:p>
    <w:p>
      <w:pPr>
        <w:jc w:val="left"/>
        <w:ind w:left="432"/>
      </w:pPr>
      <w:r>
        <w:rPr>
          <w:sz w:val="21"/>
          <w:szCs w:val="21"/>
        </w:rPr>
        <w:t xml:space="preserve">Key Findings</w:t>
      </w:r>
    </w:p>
    <w:p>
      <w:pPr>
        <w:jc w:val="left"/>
        <w:ind w:left="432"/>
      </w:pPr>
      <w:r>
        <w:rPr>
          <w:sz w:val="21"/>
          <w:szCs w:val="21"/>
        </w:rPr>
        <w:t xml:space="preserve">The Top Seven at a Glance</w:t>
      </w:r>
    </w:p>
    <w:p>
      <w:pPr>
        <w:jc w:val="left"/>
        <w:ind w:left="432"/>
      </w:pPr>
      <w:r>
        <w:rPr>
          <w:sz w:val="21"/>
          <w:szCs w:val="21"/>
        </w:rPr>
        <w:t xml:space="preserve">Financial Scale</w:t>
      </w:r>
    </w:p>
    <w:p>
      <w:pPr>
        <w:jc w:val="left"/>
        <w:ind w:left="432"/>
      </w:pPr>
      <w:r>
        <w:rPr>
          <w:sz w:val="21"/>
          <w:szCs w:val="21"/>
        </w:rPr>
        <w:t xml:space="preserve">The Honest Risks</w:t>
      </w:r>
    </w:p>
    <w:p>
      <w:pPr>
        <w:jc w:val="left"/>
        <w:ind w:left="432"/>
      </w:pPr>
      <w:r>
        <w:rPr>
          <w:sz w:val="21"/>
          <w:szCs w:val="21"/>
        </w:rPr>
        <w:t xml:space="preserve">Six Strategic Recommendations (Preview)</w:t>
      </w:r>
    </w:p>
    <w:p>
      <w:pPr>
        <w:jc w:val="left"/>
      </w:pPr>
      <w:r>
        <w:rPr>
          <w:b/>
          <w:sz w:val="24"/>
          <w:szCs w:val="24"/>
        </w:rPr>
        <w:t xml:space="preserve">1. The HCSP Technology and the Economics of SCWO</w:t>
      </w:r>
    </w:p>
    <w:p>
      <w:pPr>
        <w:jc w:val="left"/>
        <w:ind w:left="432"/>
      </w:pPr>
      <w:r>
        <w:rPr>
          <w:sz w:val="21"/>
          <w:szCs w:val="21"/>
        </w:rPr>
        <w:t xml:space="preserve">1.1 What the HCSP Is</w:t>
      </w:r>
    </w:p>
    <w:p>
      <w:pPr>
        <w:jc w:val="left"/>
        <w:ind w:left="432"/>
      </w:pPr>
      <w:r>
        <w:rPr>
          <w:sz w:val="21"/>
          <w:szCs w:val="21"/>
        </w:rPr>
        <w:t xml:space="preserve">1.2 The Physics That Decides Everything</w:t>
      </w:r>
    </w:p>
    <w:p>
      <w:pPr>
        <w:jc w:val="left"/>
        <w:ind w:left="432"/>
      </w:pPr>
      <w:r>
        <w:rPr>
          <w:sz w:val="21"/>
          <w:szCs w:val="21"/>
        </w:rPr>
        <w:t xml:space="preserve">1.3 Energy Architecture: The On-Demand Hydrogen Fuel Loop</w:t>
      </w:r>
    </w:p>
    <w:p>
      <w:pPr>
        <w:jc w:val="left"/>
        <w:ind w:left="432"/>
      </w:pPr>
      <w:r>
        <w:rPr>
          <w:sz w:val="21"/>
          <w:szCs w:val="21"/>
        </w:rPr>
        <w:t xml:space="preserve">1.4 Competitive Landscape</w:t>
      </w:r>
    </w:p>
    <w:p>
      <w:pPr>
        <w:jc w:val="left"/>
      </w:pPr>
      <w:r>
        <w:rPr>
          <w:b/>
          <w:sz w:val="24"/>
          <w:szCs w:val="24"/>
        </w:rPr>
        <w:t xml:space="preserve">2. Evaluation Framework</w:t>
      </w:r>
    </w:p>
    <w:p>
      <w:pPr>
        <w:jc w:val="left"/>
      </w:pPr>
      <w:r>
        <w:rPr>
          <w:b/>
          <w:sz w:val="24"/>
          <w:szCs w:val="24"/>
        </w:rPr>
        <w:t xml:space="preserve">3. The Cross-Industry League Table</w:t>
      </w:r>
    </w:p>
    <w:p>
      <w:pPr>
        <w:jc w:val="left"/>
        <w:ind w:left="432"/>
      </w:pPr>
      <w:r>
        <w:rPr>
          <w:sz w:val="21"/>
          <w:szCs w:val="21"/>
        </w:rPr>
        <w:t xml:space="preserve">3.1 The v2 Ranking: Fifteen Industries, One Physics Filter</w:t>
      </w:r>
    </w:p>
    <w:p>
      <w:pPr>
        <w:jc w:val="left"/>
        <w:ind w:left="432"/>
      </w:pPr>
      <w:r>
        <w:rPr>
          <w:sz w:val="21"/>
          <w:szCs w:val="21"/>
        </w:rPr>
        <w:t xml:space="preserve">3.2 Tier Structure: How to Read the Ranking</w:t>
      </w:r>
    </w:p>
    <w:p>
      <w:pPr>
        <w:jc w:val="left"/>
        <w:ind w:left="432"/>
      </w:pPr>
      <w:r>
        <w:rPr>
          <w:sz w:val="21"/>
          <w:szCs w:val="21"/>
        </w:rPr>
        <w:t xml:space="preserve">3.3 The Cost-Savings Lens: Ranking by Incumbent Remediation Cost</w:t>
      </w:r>
    </w:p>
    <w:p>
      <w:pPr>
        <w:jc w:val="left"/>
        <w:ind w:left="432"/>
      </w:pPr>
      <w:r>
        <w:rPr>
          <w:sz w:val="21"/>
          <w:szCs w:val="21"/>
        </w:rPr>
        <w:t xml:space="preserve">3.4 What v2 Changed — and What It Did Not</w:t>
      </w:r>
    </w:p>
    <w:p>
      <w:pPr>
        <w:jc w:val="left"/>
      </w:pPr>
      <w:r>
        <w:rPr>
          <w:b/>
          <w:sz w:val="24"/>
          <w:szCs w:val="24"/>
        </w:rPr>
        <w:t xml:space="preserve">4. Tier 1: Where HCSP Creates the Most Value</w:t>
      </w:r>
    </w:p>
    <w:p>
      <w:pPr>
        <w:jc w:val="left"/>
        <w:ind w:left="432"/>
      </w:pPr>
      <w:r>
        <w:rPr>
          <w:sz w:val="21"/>
          <w:szCs w:val="21"/>
        </w:rPr>
        <w:t xml:space="preserve">4.1 PFAS Destruction and Landfill Leachate (8.0/10)</w:t>
      </w:r>
    </w:p>
    <w:p>
      <w:pPr>
        <w:jc w:val="left"/>
        <w:ind w:left="432"/>
      </w:pPr>
      <w:r>
        <w:rPr>
          <w:sz w:val="21"/>
          <w:szCs w:val="21"/>
        </w:rPr>
        <w:t xml:space="preserve">4.2 Defense, Maritime, and Remote Installations (7.5/10)</w:t>
      </w:r>
    </w:p>
    <w:p>
      <w:pPr>
        <w:jc w:val="left"/>
      </w:pPr>
      <w:r>
        <w:rPr>
          <w:b/>
          <w:sz w:val="24"/>
          <w:szCs w:val="24"/>
        </w:rPr>
        <w:t xml:space="preserve">5. Tier 2: High-Value Industrial Verticals</w:t>
      </w:r>
    </w:p>
    <w:p>
      <w:pPr>
        <w:jc w:val="left"/>
        <w:ind w:left="432"/>
      </w:pPr>
      <w:r>
        <w:rPr>
          <w:sz w:val="21"/>
          <w:szCs w:val="21"/>
        </w:rPr>
        <w:t xml:space="preserve">5.1 Chemical and Hazardous Waste Destruction (7.0/10)</w:t>
      </w:r>
    </w:p>
    <w:p>
      <w:pPr>
        <w:jc w:val="left"/>
        <w:ind w:left="432"/>
      </w:pPr>
      <w:r>
        <w:rPr>
          <w:sz w:val="21"/>
          <w:szCs w:val="21"/>
        </w:rPr>
        <w:t xml:space="preserve">5.2 Pharmaceutical and Biotech Manufacturing (7.0/10)</w:t>
      </w:r>
    </w:p>
    <w:p>
      <w:pPr>
        <w:jc w:val="left"/>
        <w:ind w:left="432"/>
      </w:pPr>
      <w:r>
        <w:rPr>
          <w:sz w:val="21"/>
          <w:szCs w:val="21"/>
        </w:rPr>
        <w:t xml:space="preserve">5.3 Semiconductor and Electronics Side-Streams (6.5–7.0/10)</w:t>
      </w:r>
    </w:p>
    <w:p>
      <w:pPr>
        <w:jc w:val="left"/>
      </w:pPr>
      <w:r>
        <w:rPr>
          <w:b/>
          <w:sz w:val="24"/>
          <w:szCs w:val="24"/>
        </w:rPr>
        <w:t xml:space="preserve">6. Tier 3: Conditional and Regional Opportunities</w:t>
      </w:r>
    </w:p>
    <w:p>
      <w:pPr>
        <w:jc w:val="left"/>
        <w:ind w:left="432"/>
      </w:pPr>
      <w:r>
        <w:rPr>
          <w:sz w:val="21"/>
          <w:szCs w:val="21"/>
        </w:rPr>
        <w:t xml:space="preserve">6.1 Municipal Biosolids — Crisis Regions Only (6.6/10)</w:t>
      </w:r>
    </w:p>
    <w:p>
      <w:pPr>
        <w:jc w:val="left"/>
        <w:ind w:left="432"/>
      </w:pPr>
      <w:r>
        <w:rPr>
          <w:sz w:val="21"/>
          <w:szCs w:val="21"/>
        </w:rPr>
        <w:t xml:space="preserve">6.2 Textiles and Dyeing — India Wedge, Global Niche (India 7.4/10)</w:t>
      </w:r>
    </w:p>
    <w:p>
      <w:pPr>
        <w:jc w:val="left"/>
        <w:ind w:left="432"/>
      </w:pPr>
      <w:r>
        <w:rPr>
          <w:sz w:val="21"/>
          <w:szCs w:val="21"/>
        </w:rPr>
        <w:t xml:space="preserve">6.3 Food and Beverage — Side-Streams Only (5.5–6.5/10)</w:t>
      </w:r>
    </w:p>
    <w:p>
      <w:pPr>
        <w:jc w:val="left"/>
      </w:pPr>
      <w:r>
        <w:rPr>
          <w:b/>
          <w:sz w:val="24"/>
          <w:szCs w:val="24"/>
        </w:rPr>
        <w:t xml:space="preserve">7. Tier 4: Weak-Fit and Niche Markets — With the Honest Produced-Water Case</w:t>
      </w:r>
    </w:p>
    <w:p>
      <w:pPr>
        <w:jc w:val="left"/>
        <w:ind w:left="432"/>
      </w:pPr>
      <w:r>
        <w:rPr>
          <w:sz w:val="21"/>
          <w:szCs w:val="21"/>
        </w:rPr>
        <w:t xml:space="preserve">7.1 Indoor Agriculture and CEA (4.2/10)</w:t>
      </w:r>
    </w:p>
    <w:p>
      <w:pPr>
        <w:jc w:val="left"/>
        <w:ind w:left="432"/>
      </w:pPr>
      <w:r>
        <w:rPr>
          <w:sz w:val="21"/>
          <w:szCs w:val="21"/>
        </w:rPr>
        <w:t xml:space="preserve">7.2 Oil &amp; Gas Produced Water (2.0/5 national; 2.5/5 conditional hub niche) and Refinery Residuals (3.5/5)</w:t>
      </w:r>
    </w:p>
    <w:p>
      <w:pPr>
        <w:jc w:val="left"/>
        <w:ind w:left="432"/>
      </w:pPr>
      <w:r>
        <w:rPr>
          <w:sz w:val="21"/>
          <w:szCs w:val="21"/>
        </w:rPr>
        <w:t xml:space="preserve">7.3 Correcting the Investor Math: Why Credibility Beats Hype</w:t>
      </w:r>
    </w:p>
    <w:p>
      <w:pPr>
        <w:jc w:val="left"/>
      </w:pPr>
      <w:r>
        <w:rPr>
          <w:b/>
          <w:sz w:val="24"/>
          <w:szCs w:val="24"/>
        </w:rPr>
        <w:t xml:space="preserve">8. Market Sizing, Unit Economics, and Payback</w:t>
      </w:r>
    </w:p>
    <w:p>
      <w:pPr>
        <w:jc w:val="left"/>
        <w:ind w:left="432"/>
      </w:pPr>
      <w:r>
        <w:rPr>
          <w:sz w:val="21"/>
          <w:szCs w:val="21"/>
        </w:rPr>
        <w:t xml:space="preserve">8.1 TAM/SAM Summary</w:t>
      </w:r>
    </w:p>
    <w:p>
      <w:pPr>
        <w:jc w:val="left"/>
        <w:ind w:left="432"/>
      </w:pPr>
      <w:r>
        <w:rPr>
          <w:sz w:val="21"/>
          <w:szCs w:val="21"/>
        </w:rPr>
        <w:t xml:space="preserve">8.2 Unit Economics of a 10 m³/day Module</w:t>
      </w:r>
    </w:p>
    <w:p>
      <w:pPr>
        <w:jc w:val="left"/>
        <w:ind w:left="432"/>
      </w:pPr>
      <w:r>
        <w:rPr>
          <w:sz w:val="21"/>
          <w:szCs w:val="21"/>
        </w:rPr>
        <w:t xml:space="preserve">8.3 Payback by Vertical</w:t>
      </w:r>
    </w:p>
    <w:p>
      <w:pPr>
        <w:jc w:val="left"/>
        <w:ind w:left="432"/>
      </w:pPr>
      <w:r>
        <w:rPr>
          <w:sz w:val="21"/>
          <w:szCs w:val="21"/>
        </w:rPr>
        <w:t xml:space="preserve">8.4 Regional Breakdown: US and Global</w:t>
      </w:r>
    </w:p>
    <w:p>
      <w:pPr>
        <w:jc w:val="left"/>
        <w:ind w:left="432"/>
      </w:pPr>
      <w:r>
        <w:rPr>
          <w:sz w:val="21"/>
          <w:szCs w:val="21"/>
        </w:rPr>
        <w:t xml:space="preserve">8.5 Scale Changes the Cost Curve</w:t>
      </w:r>
    </w:p>
    <w:p>
      <w:pPr>
        <w:jc w:val="left"/>
        <w:ind w:left="432"/>
      </w:pPr>
      <w:r>
        <w:rPr>
          <w:sz w:val="21"/>
          <w:szCs w:val="21"/>
        </w:rPr>
        <w:t xml:space="preserve">8.6 The Trigeneration Value Stack</w:t>
      </w:r>
    </w:p>
    <w:p>
      <w:pPr>
        <w:jc w:val="left"/>
      </w:pPr>
      <w:r>
        <w:rPr>
          <w:b/>
          <w:sz w:val="24"/>
          <w:szCs w:val="24"/>
        </w:rPr>
        <w:t xml:space="preserve">9. Industry-Customized HCSP Variants</w:t>
      </w:r>
    </w:p>
    <w:p>
      <w:pPr>
        <w:jc w:val="left"/>
        <w:ind w:left="432"/>
      </w:pPr>
      <w:r>
        <w:rPr>
          <w:sz w:val="21"/>
          <w:szCs w:val="21"/>
        </w:rPr>
        <w:t xml:space="preserve">9.1 Variant Design Principles</w:t>
      </w:r>
    </w:p>
    <w:p>
      <w:pPr>
        <w:jc w:val="left"/>
        <w:ind w:left="432"/>
      </w:pPr>
      <w:r>
        <w:rPr>
          <w:sz w:val="21"/>
          <w:szCs w:val="21"/>
        </w:rPr>
        <w:t xml:space="preserve">9.2 The Variant Portfolio</w:t>
      </w:r>
    </w:p>
    <w:p>
      <w:pPr>
        <w:jc w:val="left"/>
        <w:ind w:left="432"/>
      </w:pPr>
      <w:r>
        <w:rPr>
          <w:sz w:val="21"/>
          <w:szCs w:val="21"/>
        </w:rPr>
        <w:t xml:space="preserve">9.3 Scale and Power Architecture per Variant</w:t>
      </w:r>
    </w:p>
    <w:p>
      <w:pPr>
        <w:jc w:val="left"/>
      </w:pPr>
      <w:r>
        <w:rPr>
          <w:b/>
          <w:sz w:val="24"/>
          <w:szCs w:val="24"/>
        </w:rPr>
        <w:t xml:space="preserve">10. Go-to-Market Sequencing, Risks, and Recommendations</w:t>
      </w:r>
    </w:p>
    <w:p>
      <w:pPr>
        <w:jc w:val="left"/>
        <w:ind w:left="432"/>
      </w:pPr>
      <w:r>
        <w:rPr>
          <w:sz w:val="21"/>
          <w:szCs w:val="21"/>
        </w:rPr>
        <w:t xml:space="preserve">10.1 Sequencing</w:t>
      </w:r>
    </w:p>
    <w:p>
      <w:pPr>
        <w:jc w:val="left"/>
        <w:ind w:left="432"/>
      </w:pPr>
      <w:r>
        <w:rPr>
          <w:sz w:val="21"/>
          <w:szCs w:val="21"/>
        </w:rPr>
        <w:t xml:space="preserve">10.2 Risk Register</w:t>
      </w:r>
    </w:p>
    <w:p>
      <w:pPr>
        <w:jc w:val="left"/>
        <w:ind w:left="432"/>
      </w:pPr>
      <w:r>
        <w:rPr>
          <w:sz w:val="21"/>
          <w:szCs w:val="21"/>
        </w:rPr>
        <w:t xml:space="preserve">10.3 Strategic Recommendations</w:t>
      </w:r>
    </w:p>
    <w:p>
      <w:pPr>
        <w:jc w:val="left"/>
      </w:pPr>
      <w:r>
        <w:rPr>
          <w:b/>
          <w:sz w:val="24"/>
          <w:szCs w:val="24"/>
        </w:rPr>
        <w:t xml:space="preserve">11. The Scale Ladder: From Module to Regional Hub</w:t>
      </w:r>
    </w:p>
    <w:p>
      <w:pPr>
        <w:jc w:val="left"/>
        <w:ind w:left="432"/>
      </w:pPr>
      <w:r>
        <w:rPr>
          <w:sz w:val="21"/>
          <w:szCs w:val="21"/>
        </w:rPr>
        <w:t xml:space="preserve">11.1 The Physics of Scaling SCWO</w:t>
      </w:r>
    </w:p>
    <w:p>
      <w:pPr>
        <w:jc w:val="left"/>
        <w:ind w:left="432"/>
      </w:pPr>
      <w:r>
        <w:rPr>
          <w:sz w:val="21"/>
          <w:szCs w:val="21"/>
        </w:rPr>
        <w:t xml:space="preserve">11.2 The Cost Model by Class</w:t>
      </w:r>
    </w:p>
    <w:p>
      <w:pPr>
        <w:jc w:val="left"/>
        <w:ind w:left="432"/>
      </w:pPr>
      <w:r>
        <w:rPr>
          <w:sz w:val="21"/>
          <w:szCs w:val="21"/>
        </w:rPr>
        <w:t xml:space="preserve">11.3 The Energy Crossover</w:t>
      </w:r>
    </w:p>
    <w:p>
      <w:pPr>
        <w:jc w:val="left"/>
      </w:pPr>
      <w:r>
        <w:rPr>
          <w:b/>
          <w:sz w:val="24"/>
          <w:szCs w:val="24"/>
        </w:rPr>
        <w:t xml:space="preserve">12. Trigeneration: Water, Power, and Cooling</w:t>
      </w:r>
    </w:p>
    <w:p>
      <w:pPr>
        <w:jc w:val="left"/>
        <w:ind w:left="432"/>
      </w:pPr>
      <w:r>
        <w:rPr>
          <w:sz w:val="21"/>
          <w:szCs w:val="21"/>
        </w:rPr>
        <w:t xml:space="preserve">12.1 The Heat-Allocation Model</w:t>
      </w:r>
    </w:p>
    <w:p>
      <w:pPr>
        <w:jc w:val="left"/>
        <w:ind w:left="432"/>
      </w:pPr>
      <w:r>
        <w:rPr>
          <w:sz w:val="21"/>
          <w:szCs w:val="21"/>
        </w:rPr>
        <w:t xml:space="preserve">12.2 Cooling From Waste Heat</w:t>
      </w:r>
    </w:p>
    <w:p>
      <w:pPr>
        <w:jc w:val="left"/>
        <w:ind w:left="432"/>
      </w:pPr>
      <w:r>
        <w:rPr>
          <w:sz w:val="21"/>
          <w:szCs w:val="21"/>
        </w:rPr>
        <w:t xml:space="preserve">12.3 The Dual-Output Vertical Map</w:t>
      </w:r>
    </w:p>
    <w:p>
      <w:pPr>
        <w:jc w:val="left"/>
      </w:pPr>
      <w:r>
        <w:rPr>
          <w:b/>
          <w:sz w:val="24"/>
          <w:szCs w:val="24"/>
        </w:rPr>
        <w:t xml:space="preserve">13. Backup and Off-Grid Power Architecture</w:t>
      </w:r>
    </w:p>
    <w:p>
      <w:pPr>
        <w:jc w:val="left"/>
        <w:ind w:left="432"/>
      </w:pPr>
      <w:r>
        <w:rPr>
          <w:sz w:val="21"/>
          <w:szCs w:val="21"/>
        </w:rPr>
        <w:t xml:space="preserve">13.1 Why Backup Architecture Matters for HCSP</w:t>
      </w:r>
    </w:p>
    <w:p>
      <w:pPr>
        <w:jc w:val="left"/>
        <w:ind w:left="432"/>
      </w:pPr>
      <w:r>
        <w:rPr>
          <w:sz w:val="21"/>
          <w:szCs w:val="21"/>
        </w:rPr>
        <w:t xml:space="preserve">13.2 The Contenders</w:t>
      </w:r>
    </w:p>
    <w:p>
      <w:pPr>
        <w:jc w:val="left"/>
        <w:ind w:left="432"/>
      </w:pPr>
      <w:r>
        <w:rPr>
          <w:sz w:val="21"/>
          <w:szCs w:val="21"/>
        </w:rPr>
        <w:t xml:space="preserve">13.3 The Decision Rule</w:t>
      </w:r>
    </w:p>
    <w:p>
      <w:pPr>
        <w:jc w:val="left"/>
      </w:pPr>
      <w:r>
        <w:rPr>
          <w:b/>
          <w:sz w:val="24"/>
          <w:szCs w:val="24"/>
        </w:rPr>
        <w:t xml:space="preserve">References</w:t>
      </w:r>
    </w:p>
    <w:p>
      <w:pPr>
        <w:jc w:val="left"/>
        <w:ind w:left="432"/>
      </w:pPr>
      <w:r>
        <w:rPr>
          <w:sz w:val="21"/>
          <w:szCs w:val="21"/>
        </w:rPr>
        <w:t xml:space="preserve">D1</w:t>
      </w:r>
    </w:p>
    <w:p>
      <w:pPr>
        <w:jc w:val="left"/>
        <w:ind w:left="432"/>
      </w:pPr>
      <w:r>
        <w:rPr>
          <w:sz w:val="21"/>
          <w:szCs w:val="21"/>
        </w:rPr>
        <w:t xml:space="preserve">D2</w:t>
      </w:r>
    </w:p>
    <w:p>
      <w:pPr>
        <w:jc w:val="left"/>
        <w:ind w:left="432"/>
      </w:pPr>
      <w:r>
        <w:rPr>
          <w:sz w:val="21"/>
          <w:szCs w:val="21"/>
        </w:rPr>
        <w:t xml:space="preserve">D3</w:t>
      </w:r>
    </w:p>
    <w:p>
      <w:pPr>
        <w:jc w:val="left"/>
        <w:ind w:left="432"/>
      </w:pPr>
      <w:r>
        <w:rPr>
          <w:sz w:val="21"/>
          <w:szCs w:val="21"/>
        </w:rPr>
        <w:t xml:space="preserve">D4</w:t>
      </w:r>
    </w:p>
    <w:p>
      <w:pPr>
        <w:jc w:val="left"/>
        <w:ind w:left="432"/>
      </w:pPr>
      <w:r>
        <w:rPr>
          <w:sz w:val="21"/>
          <w:szCs w:val="21"/>
        </w:rPr>
        <w:t xml:space="preserve">D5</w:t>
      </w:r>
    </w:p>
    <w:p>
      <w:pPr>
        <w:jc w:val="left"/>
        <w:ind w:left="432"/>
      </w:pPr>
      <w:r>
        <w:rPr>
          <w:sz w:val="21"/>
          <w:szCs w:val="21"/>
        </w:rPr>
        <w:t xml:space="preserve">D6</w:t>
      </w:r>
    </w:p>
    <w:p>
      <w:pPr>
        <w:jc w:val="left"/>
        <w:ind w:left="432"/>
      </w:pPr>
      <w:r>
        <w:rPr>
          <w:sz w:val="21"/>
          <w:szCs w:val="21"/>
        </w:rPr>
        <w:t xml:space="preserve">D7</w:t>
      </w:r>
    </w:p>
    <w:p>
      <w:pPr>
        <w:jc w:val="left"/>
        <w:ind w:left="432"/>
      </w:pPr>
      <w:r>
        <w:rPr>
          <w:sz w:val="21"/>
          <w:szCs w:val="21"/>
        </w:rPr>
        <w:t xml:space="preserve">D8</w:t>
      </w:r>
    </w:p>
    <w:p>
      <w:pPr>
        <w:jc w:val="left"/>
        <w:ind w:left="432"/>
      </w:pPr>
      <w:r>
        <w:rPr>
          <w:sz w:val="21"/>
          <w:szCs w:val="21"/>
        </w:rPr>
        <w:t xml:space="preserve">D9</w:t>
      </w:r>
    </w:p>
    <w:p>
      <w:pPr>
        <w:jc w:val="left"/>
        <w:ind w:left="432"/>
      </w:pPr>
      <w:r>
        <w:rPr>
          <w:sz w:val="21"/>
          <w:szCs w:val="21"/>
        </w:rPr>
        <w:t xml:space="preserve">D10</w:t>
      </w:r>
    </w:p>
    <w:p>
      <w:pPr>
        <w:jc w:val="left"/>
        <w:ind w:left="432"/>
      </w:pPr>
      <w:r>
        <w:rPr>
          <w:sz w:val="21"/>
          <w:szCs w:val="21"/>
        </w:rPr>
        <w:t xml:space="preserve">D11</w:t>
      </w:r>
    </w:p>
    <w:p>
      <w:pPr>
        <w:jc w:val="left"/>
        <w:ind w:left="432"/>
      </w:pPr>
      <w:r>
        <w:rPr>
          <w:sz w:val="21"/>
          <w:szCs w:val="21"/>
        </w:rPr>
        <w:t xml:space="preserve">D12</w:t>
      </w:r>
    </w:p>
    <w:p>
      <w:pPr>
        <w:jc w:val="left"/>
        <w:ind w:left="432"/>
      </w:pPr>
      <w:r>
        <w:rPr>
          <w:sz w:val="21"/>
          <w:szCs w:val="21"/>
        </w:rPr>
        <w:t xml:space="preserve">V2D1</w:t>
      </w:r>
    </w:p>
    <w:p>
      <w:pPr>
        <w:jc w:val="left"/>
        <w:ind w:left="432"/>
      </w:pPr>
      <w:r>
        <w:rPr>
          <w:sz w:val="21"/>
          <w:szCs w:val="21"/>
        </w:rPr>
        <w:t xml:space="preserve">V2D2</w:t>
      </w:r>
    </w:p>
    <w:p>
      <w:pPr>
        <w:jc w:val="left"/>
        <w:ind w:left="432"/>
      </w:pPr>
      <w:r>
        <w:rPr>
          <w:sz w:val="21"/>
          <w:szCs w:val="21"/>
        </w:rPr>
        <w:t xml:space="preserve">V2D3</w:t>
      </w:r>
    </w:p>
    <w:p>
      <w:pPr>
        <w:jc w:val="left"/>
        <w:ind w:left="432"/>
      </w:pPr>
      <w:r>
        <w:rPr>
          <w:sz w:val="21"/>
          <w:szCs w:val="21"/>
        </w:rPr>
        <w:t xml:space="preserve">V2D4</w:t>
      </w:r>
    </w:p>
    <w:p>
      <w:pPr>
        <w:jc w:val="left"/>
        <w:ind w:left="432"/>
      </w:pPr>
      <w:r>
        <w:rPr>
          <w:sz w:val="21"/>
          <w:szCs w:val="21"/>
        </w:rPr>
        <w:t xml:space="preserve">V2D5</w:t>
      </w:r>
    </w:p>
    <w:p>
      <w:pPr>
        <w:jc w:val="left"/>
        <w:ind w:left="432"/>
      </w:pPr>
      <w:r>
        <w:rPr>
          <w:sz w:val="21"/>
          <w:szCs w:val="21"/>
        </w:rPr>
        <w:t xml:space="preserve">S</w:t>
      </w:r>
      <w:r>
        <w:br w:type="page"/>
      </w:r>
    </w:p>
    <w:p>
      <w:pPr>
        <w:pStyle w:val="Heading1"/>
      </w:pPr>
      <w:r>
        <w:t xml:space="preserve">HCSP Cross-Industry Value &amp; Financial Impact Analysis</w:t>
      </w:r>
    </w:p>
    <w:p>
      <w:pPr>
        <w:pStyle w:val="FirstParagraph"/>
      </w:pPr>
      <w:r>
        <w:rPr>
          <w:iCs/>
          <w:i/>
        </w:rPr>
        <w:t xml:space="preserve">Revised edition — self-fueling energy architecture, scale ladder, trigeneration, storage, and dual-lens (composite + cost-savings) industry ranking. Compiled September 2026.</w:t>
      </w:r>
    </w:p>
    <w:bookmarkEnd w:id="20"/>
    <w:bookmarkStart w:id="26" w:name="executive-summary"/>
    <w:p>
      <w:pPr>
        <w:pStyle w:val="Heading1"/>
      </w:pPr>
      <w:r>
        <w:t xml:space="preserve">Executive Summary</w:t>
      </w:r>
    </w:p>
    <w:p>
      <w:pPr>
        <w:pStyle w:val="FirstParagraph"/>
      </w:pPr>
      <w:r>
        <w:rPr>
          <w:bCs/>
          <w:b/>
        </w:rPr>
        <w:t xml:space="preserve">HCSP — a modular supercritical water oxidation (SCWO) system, now a scalable product family of 10 / 100 / 1,000 / 1,900 m³/day (500,000 gpd) — is a destruction business, not a water business; and at scale, on concentrated feeds, it becomes a destruction-plus-energy business.</w:t>
      </w:r>
      <w:r>
        <w:t xml:space="preserve"> </w:t>
      </w:r>
      <w:r>
        <w:t xml:space="preserve">Scored across fifteen candidate industries, the leaders are: PFAS destruction and landfill leachate (8.0/10), defense/maritime/remote (7.5), India’s zero-liquid-discharge (ZLD) textile clusters (7.4), chemical/hazardous waste (7.0), pharma and biotech (7.0), distillery/ethanol vinasse (7.0, the strongest v2 entrant), and semiconductor side-streams (6.75) — while indoor agriculture, the anchor market of the originating briefing, scores only 4.2.[^D4-24^][^D9-1^][^D10-18^][^V2D3-22^] Two facts organize everything. First, the HCSP is self-fueling once started: per the manufacturer’s technical briefing, it generates its hydrogen fuel on demand from a portion of the process water — electrolysis, then clean H₂/O₂ combustion delivering heat to the SCWO reactor — so net energy cost in operation is negligible, the briefing’s 75–95 kW figure covers startup and auxiliary loads, and a working prototype has been produced.[^S1^] Second, on concentrated feeds the waste’s own chemistry adds further energy: heat integration cuts net demand to 35–88 kWh/m³ at hub scale, and above ~60 g/L chemical oxygen demand (COD) the plant crosses into net power export, reaching −60 kWhₑ/m³ at 150 g/L.[^V2D1-E1^][^V2D1-4^]</w:t>
      </w:r>
    </w:p>
    <w:bookmarkStart w:id="21" w:name="key-findings"/>
    <w:p>
      <w:pPr>
        <w:pStyle w:val="Heading2"/>
      </w:pPr>
      <w:r>
        <w:t xml:space="preserve">Key Findings</w:t>
      </w:r>
    </w:p>
    <w:p>
      <w:pPr>
        <w:pStyle w:val="FirstParagraph"/>
      </w:pPr>
      <w:r>
        <w:rPr>
          <w:bCs/>
          <w:b/>
        </w:rPr>
        <w:t xml:space="preserve">1. Buyers pay to eliminate liability, not to buy water.</w:t>
      </w:r>
      <w:r>
        <w:t xml:space="preserve"> </w:t>
      </w:r>
      <w:r>
        <w:t xml:space="preserve">HCSP’s conservatively bounded energy allowance of ~$0.07–0.09/gal — negligible net energy cost in operation per the manufacturer’s self-fueling design, with the band derived from the 75–95 kW startup/auxiliary specification[^S1^] — sits one to two orders of magnitude below incumbent destruction pricing — $5–10/gal for PFAS incineration, up to $28/gal for hazardous landfilling of firefighting foam, $15–50+/gal for halogenated solvents.[^D4-48^][^D5-15^] The hidden moat is permitting: ~24 permitted US RCRA combustors run at 88–92% utilization with essentially one new unit in three decades, and a sealed SCWO system bypasses that wall.[^D5-6^] Read the other way — as a pure cost-savings ladder ranked by incumbent remediation cost per gallon — the ordering reorders: chemical/hazardous waste and defense AFFF take the top two rungs, distillery vinasse and textile ZLD fall to the bottom because their mandated thermal incumbents cost only ~$0.007–0.010/gal (they are regulation-and-energy plays, not savings plays), and PFAS concentrates sit top-3 under both lenses — the most robust cross-method finding in this report.[^D5-15^][^D4-26^][^D10-27^]</w:t>
      </w:r>
    </w:p>
    <w:p>
      <w:pPr>
        <w:pStyle w:val="BodyText"/>
      </w:pPr>
      <w:r>
        <w:rPr>
          <w:bCs/>
          <w:b/>
        </w:rPr>
        <w:t xml:space="preserve">2. The HCSP is self-fueling once started — and on concentrated feeds the waste itself adds energy.</w:t>
      </w:r>
      <w:r>
        <w:t xml:space="preserve"> </w:t>
      </w:r>
      <w:r>
        <w:t xml:space="preserve">The on-demand hydrogen fuel loop produces the reactor’s fuel from a portion of the process water; once at operating temperature the loop sustains the SCWO reactor with negligible net energy cost, with the 75–95 kW electrical specification covering startup and auxiliary loads.[^S1^] Scale and feed strength widen the advantage from there: modeled net electricity on dilute feeds falls from ~130–250 kWh/m³ at 10 m³/day to ~35–88 kWh/m³ at 1,900 m³/day, while concentrated feeds flip the sign entirely — net-zero near 35–40 g/L COD, meaningful export from ~60 g/L.[^V2D1-E1^][^V2D1-4^] Scale and feed concentration are therefore the two axes of the commercial map; every attractive vertical sits high on at least one.</w:t>
      </w:r>
    </w:p>
    <w:p>
      <w:pPr>
        <w:pStyle w:val="BodyText"/>
      </w:pPr>
      <w:r>
        <w:rPr>
          <w:bCs/>
          <w:b/>
        </w:rPr>
        <w:t xml:space="preserve">3. The monetizable core widened from six markets to eight; distillery vinasse is the standout entrant.</w:t>
      </w:r>
      <w:r>
        <w:t xml:space="preserve"> </w:t>
      </w:r>
      <w:r>
        <w:t xml:space="preserve">Molasses spent wash runs 100–160 g/L COD — squarely in the export band — and India’s Central Pollution Control Board forces ~270 molasses distilleries into energy-consuming thermal ZLD, which HCSP replaces while exporting steam and power: regulation, feed physics, and energy economics align at once.[^V2D3-22^][^V2D3-28^][^V2D3-29^]</w:t>
      </w:r>
    </w:p>
    <w:p>
      <w:pPr>
        <w:pStyle w:val="BodyText"/>
      </w:pPr>
      <w:r>
        <w:rPr>
          <w:bCs/>
          <w:b/>
        </w:rPr>
        <w:t xml:space="preserve">4. Trigeneration upgrades project economics; data centers are offtakers, not customers.</w:t>
      </w:r>
      <w:r>
        <w:t xml:space="preserve"> </w:t>
      </w:r>
      <w:r>
        <w:t xml:space="preserve">Above ~100 g/L COD, a 1,000 m³/day plant exports 6.4–11.2 MW of surplus heat, optimally split into power plus absorption cooling (lithium-bromide for chilled water, ammonia-water for sub-zero duty).[^V2D2-66^] Data centers score just 3.0 as direct buyers — their waste is inorganic blowdown — but their grid queues and cooling loads make them creditworthy offtakers for HCSP plants at adjacent waste-rich hosts.[^V2D3-7^][^V2D3-9^] Backup power is a decision rule, not a product: lithium iron phosphate (LFP) ships on every unit; nickel-iron earns its niche only in daily-cycled, extreme-temperature remote deployments.[^V2D4-1^][^V2D4-20^]</w:t>
      </w:r>
    </w:p>
    <w:p>
      <w:pPr>
        <w:pStyle w:val="BodyText"/>
      </w:pPr>
      <w:r>
        <w:rPr>
          <w:bCs/>
          <w:b/>
        </w:rPr>
        <w:t xml:space="preserve">5. The produced-water case survives only as an honest niche — and credibility is the asset.</w:t>
      </w:r>
      <w:r>
        <w:t xml:space="preserve"> </w:t>
      </w:r>
      <w:r>
        <w:t xml:space="preserve">Every load-bearing figure on the company’s investor webpage ($5/bbl benchmark, one 1M-bbl/day</w:t>
      </w:r>
      <w:r>
        <w:t xml:space="preserve"> </w:t>
      </w:r>
      <w:r>
        <w:t xml:space="preserve">“</w:t>
      </w:r>
      <w:r>
        <w:t xml:space="preserve">unit,</w:t>
      </w:r>
      <w:r>
        <w:t xml:space="preserve">”</w:t>
      </w:r>
      <w:r>
        <w:t xml:space="preserve"> </w:t>
      </w:r>
      <w:r>
        <w:t xml:space="preserve">&gt;500% IRR) fails verification: unit scale is ~1,200× the largest SCWO plant ever built; capital cost is understated 60–160×.[^V2D5-17^][^V2D5-18^] The defensible case — 50,000–100,000 bbl/day hubs in Marcellus/Utica, where disposal runs $3–15/bbl — still delivers 45–82% IRR and 1.2–2.1-year paybacks; publishing the corrected model protects the rest of the story.[^V2D5-5^]</w:t>
      </w:r>
    </w:p>
    <w:p>
      <w:pPr>
        <w:pStyle w:val="BodyText"/>
      </w:pPr>
      <w:r>
        <w:rPr>
          <w:bCs/>
          <w:b/>
        </w:rPr>
        <w:t xml:space="preserve">6. The model is Waste-Destruction-as-a-Service (WDaaS), and the opportunity is real but not yet banked.</w:t>
      </w:r>
      <w:r>
        <w:t xml:space="preserve"> </w:t>
      </w:r>
      <w:r>
        <w:t xml:space="preserve">Service pricing at $2–5/gal undercuts incumbents charging $5–50/gal; 374Water’s own pivot — an Orlando hub targeting $3–5M/yr — validates the template.[^D11-6^][^D11-15^] Paybacks run from ~2 months to ~2.5 years in the top verticals, contingent on proving unattended reliability on salty feeds, the technology class’s documented failure mode.[^D11-29^]</w:t>
      </w:r>
    </w:p>
    <w:bookmarkEnd w:id="21"/>
    <w:bookmarkStart w:id="22" w:name="the-top-seven-at-a-glance"/>
    <w:p>
      <w:pPr>
        <w:pStyle w:val="Heading2"/>
      </w:pPr>
      <w:r>
        <w:t xml:space="preserve">The Top Seven at a Glance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w:t>
            </w:r>
          </w:p>
        </w:tc>
        <w:tc>
          <w:tcPr/>
          <w:p>
            <w:pPr>
              <w:pStyle w:val="Compact"/>
              <w:jc w:val="left"/>
            </w:pPr>
            <w:r>
              <w:t xml:space="preserve">Score (/10)</w:t>
            </w:r>
          </w:p>
        </w:tc>
        <w:tc>
          <w:tcPr/>
          <w:p>
            <w:pPr>
              <w:pStyle w:val="Compact"/>
              <w:jc w:val="left"/>
            </w:pPr>
            <w:r>
              <w:t xml:space="preserve">Primary value driver</w:t>
            </w:r>
          </w:p>
        </w:tc>
        <w:tc>
          <w:tcPr/>
          <w:p>
            <w:pPr>
              <w:pStyle w:val="Compact"/>
              <w:jc w:val="left"/>
            </w:pPr>
            <w:r>
              <w:t xml:space="preserve">Modeled payback</w:t>
            </w:r>
          </w:p>
        </w:tc>
      </w:tr>
      <w:tr>
        <w:tc>
          <w:tcPr/>
          <w:p>
            <w:pPr>
              <w:pStyle w:val="Compact"/>
              <w:jc w:val="left"/>
            </w:pPr>
            <w:r>
              <w:t xml:space="preserve">1</w:t>
            </w:r>
          </w:p>
        </w:tc>
        <w:tc>
          <w:tcPr/>
          <w:p>
            <w:pPr>
              <w:pStyle w:val="Compact"/>
              <w:jc w:val="left"/>
            </w:pPr>
            <w:r>
              <w:t xml:space="preserve">PFAS destruction &amp; landfill leachate</w:t>
            </w:r>
          </w:p>
        </w:tc>
        <w:tc>
          <w:tcPr/>
          <w:p>
            <w:pPr>
              <w:pStyle w:val="Compact"/>
              <w:jc w:val="left"/>
            </w:pPr>
            <w:r>
              <w:rPr>
                <w:bCs/>
                <w:b/>
              </w:rPr>
              <w:t xml:space="preserve">8.0</w:t>
            </w:r>
          </w:p>
        </w:tc>
        <w:tc>
          <w:tcPr/>
          <w:p>
            <w:pPr>
              <w:pStyle w:val="Compact"/>
              <w:jc w:val="left"/>
            </w:pPr>
            <w:r>
              <w:t xml:space="preserve">Regulation-protected destruction vs. $5–28/gal incumbents [^D4-24^]</w:t>
            </w:r>
          </w:p>
        </w:tc>
        <w:tc>
          <w:tcPr/>
          <w:p>
            <w:pPr>
              <w:pStyle w:val="Compact"/>
              <w:jc w:val="left"/>
            </w:pPr>
            <w:r>
              <w:t xml:space="preserve">&lt;1.5 yr [^D4-48^]</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DoD’s &gt;$9.3B PFAS cleanup plus statutory foam transition [^D9-1^]</w:t>
            </w:r>
          </w:p>
        </w:tc>
        <w:tc>
          <w:tcPr/>
          <w:p>
            <w:pPr>
              <w:pStyle w:val="Compact"/>
              <w:jc w:val="left"/>
            </w:pPr>
            <w:r>
              <w:t xml:space="preserve">Procurement-gated; 2–5× remote pricing premium</w:t>
            </w:r>
          </w:p>
        </w:tc>
      </w:tr>
      <w:tr>
        <w:tc>
          <w:tcPr/>
          <w:p>
            <w:pPr>
              <w:pStyle w:val="Compact"/>
              <w:jc w:val="left"/>
            </w:pPr>
            <w:r>
              <w:t xml:space="preserve">3</w:t>
            </w:r>
          </w:p>
        </w:tc>
        <w:tc>
          <w:tcPr/>
          <w:p>
            <w:pPr>
              <w:pStyle w:val="Compact"/>
              <w:jc w:val="left"/>
            </w:pPr>
            <w:r>
              <w:t xml:space="preserve">Textile/dyeing clusters (India ZLD)</w:t>
            </w:r>
          </w:p>
        </w:tc>
        <w:tc>
          <w:tcPr/>
          <w:p>
            <w:pPr>
              <w:pStyle w:val="Compact"/>
              <w:jc w:val="left"/>
            </w:pPr>
            <w:r>
              <w:rPr>
                <w:bCs/>
                <w:b/>
              </w:rPr>
              <w:t xml:space="preserve">7.4</w:t>
            </w:r>
          </w:p>
        </w:tc>
        <w:tc>
          <w:tcPr/>
          <w:p>
            <w:pPr>
              <w:pStyle w:val="Compact"/>
              <w:jc w:val="left"/>
            </w:pPr>
            <w:r>
              <w:t xml:space="preserve">Court-enforced ZLD with unsolved brine/sludge disposal [^D10-18^]</w:t>
            </w:r>
          </w:p>
        </w:tc>
        <w:tc>
          <w:tcPr/>
          <w:p>
            <w:pPr>
              <w:pStyle w:val="Compact"/>
              <w:jc w:val="left"/>
            </w:pPr>
            <w:r>
              <w:t xml:space="preserve">~3–6 yr (low-medium confidence)</w:t>
            </w:r>
          </w:p>
        </w:tc>
      </w:tr>
      <w:tr>
        <w:tc>
          <w:tcPr/>
          <w:p>
            <w:pPr>
              <w:pStyle w:val="Compact"/>
              <w:jc w:val="left"/>
            </w:pPr>
            <w:r>
              <w:t xml:space="preserve">4</w:t>
            </w:r>
          </w:p>
        </w:tc>
        <w:tc>
          <w:tcPr/>
          <w:p>
            <w:pPr>
              <w:pStyle w:val="Compact"/>
              <w:jc w:val="left"/>
            </w:pPr>
            <w:r>
              <w:t xml:space="preserve">Chemical &amp; hazardous waste</w:t>
            </w:r>
          </w:p>
        </w:tc>
        <w:tc>
          <w:tcPr/>
          <w:p>
            <w:pPr>
              <w:pStyle w:val="Compact"/>
              <w:jc w:val="left"/>
            </w:pPr>
            <w:r>
              <w:rPr>
                <w:bCs/>
                <w:b/>
              </w:rPr>
              <w:t xml:space="preserve">7.0</w:t>
            </w:r>
          </w:p>
        </w:tc>
        <w:tc>
          <w:tcPr/>
          <w:p>
            <w:pPr>
              <w:pStyle w:val="Compact"/>
              <w:jc w:val="left"/>
            </w:pPr>
            <w:r>
              <w:t xml:space="preserve">$15–50+/gal halogenated solvents under constrained incineration [^D5-15^][^D5-6^]</w:t>
            </w:r>
          </w:p>
        </w:tc>
        <w:tc>
          <w:tcPr/>
          <w:p>
            <w:pPr>
              <w:pStyle w:val="Compact"/>
              <w:jc w:val="left"/>
            </w:pPr>
            <w:r>
              <w:t xml:space="preserve">2–11 months</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$1.5–15/gal solvent/API disposal plus producer-responsibility mandates [^D2-8^]</w:t>
            </w:r>
          </w:p>
        </w:tc>
        <w:tc>
          <w:tcPr/>
          <w:p>
            <w:pPr>
              <w:pStyle w:val="Compact"/>
              <w:jc w:val="left"/>
            </w:pPr>
            <w:r>
              <w:t xml:space="preserve">0.9–2.5 yr</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Autothermal feed plus CPCB ZLD mandate plus power export [^V2D3-22^][^V2D3-28^]</w:t>
            </w:r>
          </w:p>
        </w:tc>
        <w:tc>
          <w:tcPr/>
          <w:p>
            <w:pPr>
              <w:pStyle w:val="Compact"/>
              <w:jc w:val="left"/>
            </w:pPr>
            <w:r>
              <w:t xml:space="preserve">~2.5–6 yr (medium-low confidence)</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PFAS permit pressure; solvent/CMP streams at $1.8–4/gal [^D3-45^]</w:t>
            </w:r>
          </w:p>
        </w:tc>
        <w:tc>
          <w:tcPr/>
          <w:p>
            <w:pPr>
              <w:pStyle w:val="Compact"/>
              <w:jc w:val="left"/>
            </w:pPr>
            <w:r>
              <w:t xml:space="preserve">1.5–4 yr</w:t>
            </w:r>
          </w:p>
        </w:tc>
      </w:tr>
    </w:tbl>
    <w:p>
      <w:pPr>
        <w:pStyle w:val="BodyText"/>
      </w:pPr>
      <w:r>
        <w:t xml:space="preserve">The table’s message is that payback remains a stream-selection variable, not a technology variable. Wherever the displaced baseline is destruction-priced — solvents, PFAS concentrates, pharmaceutical residues — payback is measured in months, and the sales conversation concerns capacity and permitting speed. Where the baseline is disposal-priced — textiles, distillery ZLD — payback stretches toward 3–6 years on regulatory compulsion, though distillery improves toward the fast end once energy export from its autothermal feed is monetized. Defense is excluded from payback modeling: demand is real and government-validated (99.9993% PFAS destruction in a US Army Corps of Engineers evaluation), but acquisition timelines, not unit economics, gate revenue.[^D4-33^] A second reading matters for sequencing: the top seven compress into a 6.75–8.0 band, so the table orders</w:t>
      </w:r>
      <w:r>
        <w:t xml:space="preserve"> </w:t>
      </w:r>
      <w:r>
        <w:rPr>
          <w:iCs/>
          <w:i/>
        </w:rPr>
        <w:t xml:space="preserve">attractiveness</w:t>
      </w:r>
      <w:r>
        <w:t xml:space="preserve">, not</w:t>
      </w:r>
      <w:r>
        <w:t xml:space="preserve"> </w:t>
      </w:r>
      <w:r>
        <w:rPr>
          <w:iCs/>
          <w:i/>
        </w:rPr>
        <w:t xml:space="preserve">order of entry</w:t>
      </w:r>
      <w:r>
        <w:t xml:space="preserve"> </w:t>
      </w:r>
      <w:r>
        <w:t xml:space="preserve">— go-to-market sequencing follows sales-cycle friction, evidence maturity, and feed access, the logic Chapter 10 applies.</w:t>
      </w:r>
    </w:p>
    <w:bookmarkEnd w:id="22"/>
    <w:bookmarkStart w:id="23" w:name="financial-scale"/>
    <w:p>
      <w:pPr>
        <w:pStyle w:val="Heading2"/>
      </w:pPr>
      <w:r>
        <w:t xml:space="preserve">Financial Scale</w:t>
      </w:r>
    </w:p>
    <w:p>
      <w:pPr>
        <w:pStyle w:val="FirstParagraph"/>
      </w:pPr>
      <w:r>
        <w:t xml:space="preserve">Across viable verticals, the consolidated serviceable market is approximately</w:t>
      </w:r>
      <w:r>
        <w:t xml:space="preserve"> </w:t>
      </w:r>
      <w:r>
        <w:rPr>
          <w:bCs/>
          <w:b/>
        </w:rPr>
        <w:t xml:space="preserve">$9–20B per year</w:t>
      </w:r>
      <w:r>
        <w:t xml:space="preserve"> </w:t>
      </w:r>
      <w:r>
        <w:t xml:space="preserve">— roughly double the v1 estimate once the distillery ($2–5B), island, CAFO, and mining pools are added and produced water is honestly shrunk to its niche — concentrated in hazardous organic liquids ($2–4B/yr), PFAS concentrates ($300M–1.6B/yr by 2030[^D4-24^]), and India’s mandated distillery retrofits.[^D5-15^][^D6-35^][^V2D3-29^] The figure is a decade-horizon annualized envelope, not a measured market: several new pools are cumulative equipment estimates, and overlaps push the true non-overlapping pool toward the lower half. Paybacks span ~2 months (halogenated solvents) to under 2.5 years (pharma) in the top destruction-priced verticals; at 1,000 m³/day on autothermal feed, the energy line inverts from cost to a credit of up to ~$5/m³.[^D4-48^][^V2D1-4^] A framing caveat applies throughout: manufacturer HCSP pricing is still to be determined (early phase; units are scalable and customizable per industry), so every payback and unit-economics figure in this report is framed as addressable savings — the incumbent remediation cost pool above a conservatively bounded energy allowance of ~$0.07–0.09/gal — not as contracted pricing.[^D4-48^] Per the manufacturer, the self-fueling hydrogen loop makes net energy cost in operation negligible; the band shown is a conservative bound derived from the briefing’s 75–95 kW startup/auxiliary electrical specification.[^S1^]</w:t>
      </w:r>
    </w:p>
    <w:bookmarkEnd w:id="23"/>
    <w:bookmarkStart w:id="24" w:name="the-honest-risks"/>
    <w:p>
      <w:pPr>
        <w:pStyle w:val="Heading2"/>
      </w:pPr>
      <w:r>
        <w:t xml:space="preserve">The Honest Risks</w:t>
      </w:r>
    </w:p>
    <w:p>
      <w:pPr>
        <w:pStyle w:val="FirstParagraph"/>
      </w:pPr>
      <w:r>
        <w:t xml:space="preserve">Four risks discipline the opportunity. First,</w:t>
      </w:r>
      <w:r>
        <w:t xml:space="preserve"> </w:t>
      </w:r>
      <w:r>
        <w:rPr>
          <w:bCs/>
          <w:b/>
        </w:rPr>
        <w:t xml:space="preserve">first-mover fragility</w:t>
      </w:r>
      <w:r>
        <w:t xml:space="preserve">: the field’s listed leader, 374Water, reported FY2025 revenue of just $215,037 against a $21.0M net loss with going-concern language — SCWO has a 30-year graveyard built on corrosion and salt plugging, and HCSP inherits that credibility burden.[^D11-1^][^D11-29^] Second,</w:t>
      </w:r>
      <w:r>
        <w:t xml:space="preserve"> </w:t>
      </w:r>
      <w:r>
        <w:rPr>
          <w:bCs/>
          <w:b/>
        </w:rPr>
        <w:t xml:space="preserve">scale is unproven</w:t>
      </w:r>
      <w:r>
        <w:t xml:space="preserve">: no SCWO plant larger than ~306 t/day has ever operated, so everything above the 100 m³/day rung is interpolated design economics.[^V2D1-26^] Third,</w:t>
      </w:r>
      <w:r>
        <w:t xml:space="preserve"> </w:t>
      </w:r>
      <w:r>
        <w:rPr>
          <w:bCs/>
          <w:b/>
        </w:rPr>
        <w:t xml:space="preserve">regulatory lag and reversal</w:t>
      </w:r>
      <w:r>
        <w:t xml:space="preserve">: EPA’s April 2026 interim guidance still classes SCWO as</w:t>
      </w:r>
      <w:r>
        <w:t xml:space="preserve"> </w:t>
      </w:r>
      <w:r>
        <w:t xml:space="preserve">“</w:t>
      </w:r>
      <w:r>
        <w:t xml:space="preserve">commercially unproven at scale,</w:t>
      </w:r>
      <w:r>
        <w:t xml:space="preserve">”</w:t>
      </w:r>
      <w:r>
        <w:t xml:space="preserve"> </w:t>
      </w:r>
      <w:r>
        <w:t xml:space="preserve">and the Environmental Business Journal cut its 30-year PFAS market estimate 43% — $230B to $132B — on federal deregulation.[^D11-36^][^D4-37^][^D4-9^] Fourth,</w:t>
      </w:r>
      <w:r>
        <w:t xml:space="preserve"> </w:t>
      </w:r>
      <w:r>
        <w:rPr>
          <w:bCs/>
          <w:b/>
        </w:rPr>
        <w:t xml:space="preserve">incumbent re-entry</w:t>
      </w:r>
      <w:r>
        <w:t xml:space="preserve">: DoD lifted its PFAS incineration moratorium in early 2026, re-opening the competing pathway.[^D4-31^] None of these kills demand; each argues for the staged, evidence-first entry this report prescribes.</w:t>
      </w:r>
    </w:p>
    <w:bookmarkEnd w:id="24"/>
    <w:bookmarkStart w:id="25" w:name="six-strategic-recommendations-preview"/>
    <w:p>
      <w:pPr>
        <w:pStyle w:val="Heading2"/>
      </w:pPr>
      <w:r>
        <w:t xml:space="preserve">Six Strategic Recommendations (Preview)</w:t>
      </w:r>
    </w:p>
    <w:p>
      <w:pPr>
        <w:pStyle w:val="FirstParagraph"/>
      </w:pPr>
      <w:r>
        <w:t xml:space="preserve">Chapter 10 develops eight recommendations, previewed here as six consolidated themes:</w:t>
      </w:r>
      <w:r>
        <w:t xml:space="preserve"> </w:t>
      </w:r>
      <w:r>
        <w:rPr>
          <w:bCs/>
          <w:b/>
        </w:rPr>
        <w:t xml:space="preserve">(1)</w:t>
      </w:r>
      <w:r>
        <w:t xml:space="preserve"> </w:t>
      </w:r>
      <w:r>
        <w:t xml:space="preserve">publish the working prototype’s measured energy performance — third-party witnessed — so the self-fueling design becomes bankable evidence for lenders, grant reviewers, and regulators[^S1^];</w:t>
      </w:r>
      <w:r>
        <w:t xml:space="preserve"> </w:t>
      </w:r>
      <w:r>
        <w:rPr>
          <w:bCs/>
          <w:b/>
        </w:rPr>
        <w:t xml:space="preserve">(2)</w:t>
      </w:r>
      <w:r>
        <w:t xml:space="preserve"> </w:t>
      </w:r>
      <w:r>
        <w:t xml:space="preserve">lead with waste-destruction-as-a-service at $2–5/gal, reserving equipment sales for high-credit industrial buyers[^D11-6^];</w:t>
      </w:r>
      <w:r>
        <w:t xml:space="preserve"> </w:t>
      </w:r>
      <w:r>
        <w:rPr>
          <w:bCs/>
          <w:b/>
        </w:rPr>
        <w:t xml:space="preserve">(3)</w:t>
      </w:r>
      <w:r>
        <w:t xml:space="preserve"> </w:t>
      </w:r>
      <w:r>
        <w:t xml:space="preserve">enforce feed-and-scale discipline — screen every stream against the ~60–150 g/L COD autothermal threshold, sell</w:t>
      </w:r>
      <w:r>
        <w:t xml:space="preserve"> </w:t>
      </w:r>
      <w:r>
        <w:t xml:space="preserve">“</w:t>
      </w:r>
      <w:r>
        <w:t xml:space="preserve">concentrate-and-destroy</w:t>
      </w:r>
      <w:r>
        <w:t xml:space="preserve">”</w:t>
      </w:r>
      <w:r>
        <w:t xml:space="preserve"> </w:t>
      </w:r>
      <w:r>
        <w:t xml:space="preserve">trains, and site hub-scale units only where concentrated feeds aggregate[^V2D1-4^];</w:t>
      </w:r>
      <w:r>
        <w:t xml:space="preserve"> </w:t>
      </w:r>
      <w:r>
        <w:rPr>
          <w:bCs/>
          <w:b/>
        </w:rPr>
        <w:t xml:space="preserve">(4)</w:t>
      </w:r>
      <w:r>
        <w:t xml:space="preserve"> </w:t>
      </w:r>
      <w:r>
        <w:t xml:space="preserve">publish the corrected produced-water niche model in place of the unverifiable investor-page economics[^V2D5-18^];</w:t>
      </w:r>
      <w:r>
        <w:t xml:space="preserve"> </w:t>
      </w:r>
      <w:r>
        <w:rPr>
          <w:bCs/>
          <w:b/>
        </w:rPr>
        <w:t xml:space="preserve">(5)</w:t>
      </w:r>
      <w:r>
        <w:t xml:space="preserve"> </w:t>
      </w:r>
      <w:r>
        <w:t xml:space="preserve">pursue the Indian distillery wedge as the beachhead for the 100–1,000 m³/day trigeneration product, where mandate, feed, and energy export coincide[^V2D3-29^]; and</w:t>
      </w:r>
      <w:r>
        <w:t xml:space="preserve"> </w:t>
      </w:r>
      <w:r>
        <w:rPr>
          <w:bCs/>
          <w:b/>
        </w:rPr>
        <w:t xml:space="preserve">(6)</w:t>
      </w:r>
      <w:r>
        <w:t xml:space="preserve"> </w:t>
      </w:r>
      <w:r>
        <w:t xml:space="preserve">monetize the air-permit moat by quantifying time-to-operation in every proposal, holding indoor agriculture strictly as a regulatory showcase under California’s zero-waste invitation.[^D5-6^][^D1-29^]</w:t>
      </w:r>
    </w:p>
    <w:bookmarkEnd w:id="25"/>
    <w:bookmarkEnd w:id="26"/>
    <w:bookmarkStart w:id="43" w:name="X32fb3d72c94f58264adfa7e9bd287d9f09bf9b4"/>
    <w:p>
      <w:pPr>
        <w:pStyle w:val="Heading1"/>
      </w:pPr>
      <w:r>
        <w:t xml:space="preserve">1. The HCSP Technology and the Economics of SCWO</w:t>
      </w:r>
    </w:p>
    <w:p>
      <w:pPr>
        <w:pStyle w:val="FirstParagraph"/>
      </w:pPr>
      <w:r>
        <w:rPr>
          <w:bCs/>
          <w:b/>
        </w:rPr>
        <w:t xml:space="preserve">The HCSP is best understood not as a water purifier but as a destruction machine whose byproduct happens to be distilled water.</w:t>
      </w:r>
      <w:r>
        <w:t xml:space="preserve"> </w:t>
      </w:r>
      <w:r>
        <w:t xml:space="preserve">Per the manufacturer’s technical briefing it is also self-fueling: a portion of the process water is split by electrolysis into hydrogen and oxygen, and their sealed combustion supplies the supercritical reactor’s heat, so once the system is started and at operating temperature it runs with negligible net energy cost — the briefing’s 75–95 kW figure covers startup and auxiliary loads, and a working prototype has been produced.[^S1^] What organizes everything in this report is therefore a willingness-to-pay map, not an energy bill: the HCSP creates value where a customer is paying to make a hazardous liability disappear, and every industry ranking in the chapters that follow is, at root, a ranking of where that willingness-to-pay is highest. This chapter establishes the technology baseline, the physics that bound its addressable market, the energy architecture that makes the system self-fueling, and the competitive field it enters.</w:t>
      </w:r>
    </w:p>
    <w:bookmarkStart w:id="29" w:name="what-the-hcsp-is"/>
    <w:p>
      <w:pPr>
        <w:pStyle w:val="Heading2"/>
      </w:pPr>
      <w:r>
        <w:t xml:space="preserve">1.1 What the HCSP Is</w:t>
      </w:r>
    </w:p>
    <w:bookmarkStart w:id="27" w:name="X54b24647b63f9d0d16714d42bc16a26e76c0836"/>
    <w:p>
      <w:pPr>
        <w:pStyle w:val="Heading3"/>
      </w:pPr>
      <w:r>
        <w:t xml:space="preserve">1.1.1 System profile from the technical briefing</w:t>
      </w:r>
    </w:p>
    <w:p>
      <w:pPr>
        <w:pStyle w:val="FirstParagraph"/>
      </w:pPr>
      <w:r>
        <w:t xml:space="preserve">The HCSP (Hydro-Combustion Supercritical Purifier) is described in a technical briefing submitted by Advanced Water Systems Engineering to the California State Water Resources Control Board in August 2025, initially positioned for indoor-agriculture wastewater.[^S1^] It is a modular, skid-mounted, closed-loop system built around supercritical water oxidation (SCWO): water pressurized and heated beyond its critical point (374 °C, 22.1 MPa), at which it becomes a single-phase fluid in which organics and oxygen are fully miscible and oxidize completely in seconds to minutes.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 (per briefing)</w:t>
            </w:r>
          </w:p>
        </w:tc>
        <w:tc>
          <w:tcPr/>
          <w:p>
            <w:pPr>
              <w:pStyle w:val="Compact"/>
              <w:jc w:val="left"/>
            </w:pPr>
            <w:r>
              <w:t xml:space="preserve">Analyst note</w:t>
            </w:r>
          </w:p>
        </w:tc>
      </w:tr>
      <w:tr>
        <w:tc>
          <w:tcPr/>
          <w:p>
            <w:pPr>
              <w:pStyle w:val="Compact"/>
              <w:jc w:val="left"/>
            </w:pPr>
            <w:r>
              <w:t xml:space="preserve">Throughput</w:t>
            </w:r>
          </w:p>
        </w:tc>
        <w:tc>
          <w:tcPr/>
          <w:p>
            <w:pPr>
              <w:pStyle w:val="Compact"/>
              <w:jc w:val="left"/>
            </w:pPr>
            <w:r>
              <w:t xml:space="preserve">10 m³/day (~2,640 gal/day)</w:t>
            </w:r>
          </w:p>
        </w:tc>
        <w:tc>
          <w:tcPr/>
          <w:p>
            <w:pPr>
              <w:pStyle w:val="Compact"/>
              <w:jc w:val="left"/>
            </w:pPr>
            <w:r>
              <w:t xml:space="preserve">~0.9 M gal/yr at 90% utilization</w:t>
            </w:r>
          </w:p>
        </w:tc>
      </w:tr>
      <w:tr>
        <w:tc>
          <w:tcPr/>
          <w:p>
            <w:pPr>
              <w:pStyle w:val="Compact"/>
              <w:jc w:val="left"/>
            </w:pPr>
            <w:r>
              <w:t xml:space="preserve">Core technology</w:t>
            </w:r>
          </w:p>
        </w:tc>
        <w:tc>
          <w:tcPr/>
          <w:p>
            <w:pPr>
              <w:pStyle w:val="Compact"/>
              <w:jc w:val="left"/>
            </w:pPr>
            <w:r>
              <w:t xml:space="preserve">Supercritical water oxidation</w:t>
            </w:r>
          </w:p>
        </w:tc>
        <w:tc>
          <w:tcPr/>
          <w:p>
            <w:pPr>
              <w:pStyle w:val="Compact"/>
              <w:jc w:val="left"/>
            </w:pPr>
            <w:r>
              <w:t xml:space="preserve">Continuous, fully automated</w:t>
            </w:r>
          </w:p>
        </w:tc>
      </w:tr>
      <w:tr>
        <w:tc>
          <w:tcPr/>
          <w:p>
            <w:pPr>
              <w:pStyle w:val="Compact"/>
              <w:jc w:val="left"/>
            </w:pPr>
            <w:r>
              <w:t xml:space="preserve">Operating conditions</w:t>
            </w:r>
          </w:p>
        </w:tc>
        <w:tc>
          <w:tcPr/>
          <w:p>
            <w:pPr>
              <w:pStyle w:val="Compact"/>
              <w:jc w:val="left"/>
            </w:pPr>
            <w:r>
              <w:t xml:space="preserve">380–420 °C; ~25 MPa (250 bar)</w:t>
            </w:r>
          </w:p>
        </w:tc>
        <w:tc>
          <w:tcPr/>
          <w:p>
            <w:pPr>
              <w:pStyle w:val="Compact"/>
              <w:jc w:val="left"/>
            </w:pPr>
            <w:r>
              <w:t xml:space="preserve">Just above the critical point</w:t>
            </w:r>
          </w:p>
        </w:tc>
      </w:tr>
      <w:tr>
        <w:tc>
          <w:tcPr/>
          <w:p>
            <w:pPr>
              <w:pStyle w:val="Compact"/>
              <w:jc w:val="left"/>
            </w:pPr>
            <w:r>
              <w:t xml:space="preserve">Water recovery</w:t>
            </w:r>
          </w:p>
        </w:tc>
        <w:tc>
          <w:tcPr/>
          <w:p>
            <w:pPr>
              <w:pStyle w:val="Compact"/>
              <w:jc w:val="left"/>
            </w:pPr>
            <w:r>
              <w:t xml:space="preserve">85–95% to distillate; &lt;10 µS/cm conductivity</w:t>
            </w:r>
          </w:p>
        </w:tc>
        <w:tc>
          <w:tcPr/>
          <w:p>
            <w:pPr>
              <w:pStyle w:val="Compact"/>
              <w:jc w:val="left"/>
            </w:pPr>
            <w:r>
              <w:t xml:space="preserve">Distilled-quality output</w:t>
            </w:r>
          </w:p>
        </w:tc>
      </w:tr>
      <w:tr>
        <w:tc>
          <w:tcPr/>
          <w:p>
            <w:pPr>
              <w:pStyle w:val="Compact"/>
              <w:jc w:val="left"/>
            </w:pPr>
            <w:r>
              <w:t xml:space="preserve">Solid residual</w:t>
            </w:r>
          </w:p>
        </w:tc>
        <w:tc>
          <w:tcPr/>
          <w:p>
            <w:pPr>
              <w:pStyle w:val="Compact"/>
              <w:jc w:val="left"/>
            </w:pPr>
            <w:r>
              <w:t xml:space="preserve">Contained, inert sludge</w:t>
            </w:r>
          </w:p>
        </w:tc>
        <w:tc>
          <w:tcPr/>
          <w:p>
            <w:pPr>
              <w:pStyle w:val="Compact"/>
              <w:jc w:val="left"/>
            </w:pPr>
            <w:r>
              <w:t xml:space="preserve">Mineralized salts/oxides</w:t>
            </w:r>
          </w:p>
        </w:tc>
      </w:tr>
      <w:tr>
        <w:tc>
          <w:tcPr/>
          <w:p>
            <w:pPr>
              <w:pStyle w:val="Compact"/>
              <w:jc w:val="left"/>
            </w:pPr>
            <w:r>
              <w:t xml:space="preserve">Average electrical load</w:t>
            </w:r>
          </w:p>
        </w:tc>
        <w:tc>
          <w:tcPr/>
          <w:p>
            <w:pPr>
              <w:pStyle w:val="Compact"/>
              <w:jc w:val="left"/>
            </w:pPr>
            <w:r>
              <w:t xml:space="preserve">~75–95 kW</w:t>
            </w:r>
          </w:p>
        </w:tc>
        <w:tc>
          <w:tcPr/>
          <w:p>
            <w:pPr>
              <w:pStyle w:val="Compact"/>
              <w:jc w:val="left"/>
            </w:pPr>
            <w:r>
              <w:t xml:space="preserve">Startup and auxiliary loads; self-fueling in operation (§1.3)</w:t>
            </w:r>
          </w:p>
        </w:tc>
      </w:tr>
      <w:tr>
        <w:tc>
          <w:tcPr/>
          <w:p>
            <w:pPr>
              <w:pStyle w:val="Compact"/>
              <w:jc w:val="left"/>
            </w:pPr>
            <w:r>
              <w:t xml:space="preserve">H₂ production</w:t>
            </w:r>
          </w:p>
        </w:tc>
        <w:tc>
          <w:tcPr/>
          <w:p>
            <w:pPr>
              <w:pStyle w:val="Compact"/>
              <w:jc w:val="left"/>
            </w:pPr>
            <w:r>
              <w:t xml:space="preserve">~30–40 kg/day, generated on demand by electrolysis of process water</w:t>
            </w:r>
          </w:p>
        </w:tc>
        <w:tc>
          <w:tcPr/>
          <w:p>
            <w:pPr>
              <w:pStyle w:val="Compact"/>
              <w:jc w:val="left"/>
            </w:pPr>
            <w:r>
              <w:t xml:space="preserve">On-demand fuel loop; no bulk storage (§1.3)</w:t>
            </w:r>
          </w:p>
        </w:tc>
      </w:tr>
      <w:tr>
        <w:tc>
          <w:tcPr/>
          <w:p>
            <w:pPr>
              <w:pStyle w:val="Compact"/>
              <w:jc w:val="left"/>
            </w:pPr>
            <w:r>
              <w:t xml:space="preserve">Footprint</w:t>
            </w:r>
          </w:p>
        </w:tc>
        <w:tc>
          <w:tcPr/>
          <w:p>
            <w:pPr>
              <w:pStyle w:val="Compact"/>
              <w:jc w:val="left"/>
            </w:pPr>
            <w:r>
              <w:t xml:space="preserve">~8–10 m²; ≤3 m height; &lt;75 dBA at 1 m</w:t>
            </w:r>
          </w:p>
        </w:tc>
        <w:tc>
          <w:tcPr/>
          <w:p>
            <w:pPr>
              <w:pStyle w:val="Compact"/>
              <w:jc w:val="left"/>
            </w:pPr>
            <w:r>
              <w:t xml:space="preserve">Indoor-sited, container class</w:t>
            </w:r>
          </w:p>
        </w:tc>
      </w:tr>
      <w:tr>
        <w:tc>
          <w:tcPr/>
          <w:p>
            <w:pPr>
              <w:pStyle w:val="Compact"/>
              <w:jc w:val="left"/>
            </w:pPr>
            <w:r>
              <w:t xml:space="preserve">Air permitting</w:t>
            </w:r>
          </w:p>
        </w:tc>
        <w:tc>
          <w:tcPr/>
          <w:p>
            <w:pPr>
              <w:pStyle w:val="Compact"/>
              <w:jc w:val="left"/>
            </w:pPr>
            <w:r>
              <w:t xml:space="preserve">None claimed — sealed H₂/O₂ combustion emits water vapor</w:t>
            </w:r>
          </w:p>
        </w:tc>
        <w:tc>
          <w:tcPr/>
          <w:p>
            <w:pPr>
              <w:pStyle w:val="Compact"/>
              <w:jc w:val="left"/>
            </w:pPr>
            <w:r>
              <w:t xml:space="preserve">The hidden economic moat (§1.4)</w:t>
            </w:r>
          </w:p>
        </w:tc>
      </w:tr>
    </w:tbl>
    <w:p>
      <w:pPr>
        <w:pStyle w:val="BodyText"/>
      </w:pPr>
      <w:r>
        <w:rPr>
          <w:iCs/>
          <w:i/>
        </w:rPr>
        <w:t xml:space="preserve">Source: HCSP Technical Briefing, Advanced Water Systems Engineering, August 2025.[^S1^]</w:t>
      </w:r>
    </w:p>
    <w:p>
      <w:pPr>
        <w:pStyle w:val="BodyText"/>
      </w:pPr>
      <w:r>
        <w:t xml:space="preserve">Three features of this specification matter commercially. First, the</w:t>
      </w:r>
      <w:r>
        <w:t xml:space="preserve"> </w:t>
      </w:r>
      <w:r>
        <w:rPr>
          <w:bCs/>
          <w:b/>
        </w:rPr>
        <w:t xml:space="preserve">10 m³/day scale</w:t>
      </w:r>
      <w:r>
        <w:t xml:space="preserve"> </w:t>
      </w:r>
      <w:r>
        <w:t xml:space="preserve">deliberately matches the generation rate of a mid-size industrial site — a pharmaceutical plant’s solvent sidestream, a landfill’s leachate concentrate, a textile cluster member’s dye-bath waste — rather than a municipal utility. Second, the</w:t>
      </w:r>
      <w:r>
        <w:t xml:space="preserve"> </w:t>
      </w:r>
      <w:r>
        <w:rPr>
          <w:bCs/>
          <w:b/>
        </w:rPr>
        <w:t xml:space="preserve">distilled-water output</w:t>
      </w:r>
      <w:r>
        <w:t xml:space="preserve"> </w:t>
      </w:r>
      <w:r>
        <w:t xml:space="preserve">(85–95% recovery at &lt;10 µS/cm) qualifies as high-purity reuse water, which earns a credit worth roughly $2–3.5/m³ in US markets — valuable, but, as §1.2.3 shows, never sufficient to carry the economics alone.[^D12-1^] Third, the</w:t>
      </w:r>
      <w:r>
        <w:t xml:space="preserve"> </w:t>
      </w:r>
      <w:r>
        <w:rPr>
          <w:bCs/>
          <w:b/>
        </w:rPr>
        <w:t xml:space="preserve">“</w:t>
      </w:r>
      <w:r>
        <w:rPr>
          <w:bCs/>
          <w:b/>
        </w:rPr>
        <w:t xml:space="preserve">no air permit</w:t>
      </w:r>
      <w:r>
        <w:rPr>
          <w:bCs/>
          <w:b/>
        </w:rPr>
        <w:t xml:space="preserve">”</w:t>
      </w:r>
      <w:r>
        <w:rPr>
          <w:bCs/>
          <w:b/>
        </w:rPr>
        <w:t xml:space="preserve"> </w:t>
      </w:r>
      <w:r>
        <w:rPr>
          <w:bCs/>
          <w:b/>
        </w:rPr>
        <w:t xml:space="preserve">claim</w:t>
      </w:r>
      <w:r>
        <w:t xml:space="preserve"> </w:t>
      </w:r>
      <w:r>
        <w:t xml:space="preserve">rests on the sealed combustion of hydrogen in pure oxygen, which produces water vapor and negligible nitrogen oxides (NOx); the only gaseous stream is vented excess oxygen.[^S1^] Because every competing thermal-destruction asset must run a multi-year air-permitting gauntlet, this is not a marketing footnote — it is a structural cost and schedule advantage quantified in §1.4.</w:t>
      </w:r>
    </w:p>
    <w:bookmarkEnd w:id="27"/>
    <w:bookmarkStart w:id="28" w:name="X887e84d4a9ac960ef4973e46b46aa30fd45748b"/>
    <w:p>
      <w:pPr>
        <w:pStyle w:val="Heading3"/>
      </w:pPr>
      <w:r>
        <w:t xml:space="preserve">1.1.2 What SCWO actually does: complete mineralization, third-party validated</w:t>
      </w:r>
    </w:p>
    <w:p>
      <w:pPr>
        <w:pStyle w:val="FirstParagraph"/>
      </w:pPr>
      <w:r>
        <w:t xml:space="preserve">SCWO does not concentrate, adsorb, or transfer pollutants — it mineralizes them. Above the critical point, carbon-hydrogen-oxygen organics oxidize to carbon dioxide and water; heteroatoms emerge as inorganic acids or salts; nothing combustible remains. This is why SCWO holds the strongest third-party destruction record of any emerging technology for per- and polyfluoroalkyl substances (PFAS) — the</w:t>
      </w:r>
      <w:r>
        <w:t xml:space="preserve"> </w:t>
      </w:r>
      <w:r>
        <w:t xml:space="preserve">“</w:t>
      </w:r>
      <w:r>
        <w:t xml:space="preserve">forever chemicals</w:t>
      </w:r>
      <w:r>
        <w:t xml:space="preserve">”</w:t>
      </w:r>
      <w:r>
        <w:t xml:space="preserve"> </w:t>
      </w:r>
      <w:r>
        <w:t xml:space="preserve">whose carbon-fluorine bonds defeat most treatment processes. A US Army Corps of Engineers Engineer Research and Development Center (ERDC) technical report documented</w:t>
      </w:r>
      <w:r>
        <w:t xml:space="preserve"> </w:t>
      </w:r>
      <w:r>
        <w:rPr>
          <w:bCs/>
          <w:b/>
        </w:rPr>
        <w:t xml:space="preserve">99.9993% total PFAS destruction and removal efficiency</w:t>
      </w:r>
      <w:r>
        <w:t xml:space="preserve"> </w:t>
      </w:r>
      <w:r>
        <w:t xml:space="preserve">on aqueous film-forming foam (AFFF) processed through 374Water’s AirSCWO 6, with stack fluorinated emissions of 0.0005 g/hr against 16.6 g/hr of PFAS fed — direct evidence for the near-zero air pathway.[^D4-33^] A Defense Innovation Unit (DIU)/ESTCP demonstration reported</w:t>
      </w:r>
      <w:r>
        <w:t xml:space="preserve"> </w:t>
      </w:r>
      <w:r>
        <w:rPr>
          <w:bCs/>
          <w:b/>
        </w:rPr>
        <w:t xml:space="preserve">&gt;99.9% destruction across all four concentrated liquid PFAS streams</w:t>
      </w:r>
      <w:r>
        <w:t xml:space="preserve"> </w:t>
      </w:r>
      <w:r>
        <w:t xml:space="preserve">tested.[^D4-34^] Battelle’s PFAS Annihilator showed ≥99.9% destruction across three commercial AFFF formulations in peer-reviewed field work, with fluoride-ion mass balance confirming mineralization rather than phase transfer.[^D4-35^][^D4-36^] In an EPA-coordinated three-vendor study, all tested SCWO systems (Aquarden, Battelle, 374Water) exceeded 99% total PFAS reduction.[^D11-12^]</w:t>
      </w:r>
    </w:p>
    <w:p>
      <w:pPr>
        <w:pStyle w:val="BodyText"/>
      </w:pPr>
      <w:r>
        <w:t xml:space="preserve">The destruction record extends beyond PFAS. General Atomics’ PERSES system (formerly iSCWO) has destroyed</w:t>
      </w:r>
      <w:r>
        <w:t xml:space="preserve"> </w:t>
      </w:r>
      <w:r>
        <w:rPr>
          <w:bCs/>
          <w:b/>
        </w:rPr>
        <w:t xml:space="preserve">more than 6 million gallons across ~200 waste types</w:t>
      </w:r>
      <w:r>
        <w:t xml:space="preserve"> </w:t>
      </w:r>
      <w:r>
        <w:t xml:space="preserve">at &gt;99.99% efficiency, EPA-verified for PFAS.[^D11-10^] NRC-reviewed testing for chemical-weapons hydrolysate — arguably the most demanding destruction problem ever specified — demonstrated</w:t>
      </w:r>
      <w:r>
        <w:t xml:space="preserve"> </w:t>
      </w:r>
      <w:r>
        <w:rPr>
          <w:bCs/>
          <w:b/>
        </w:rPr>
        <w:t xml:space="preserve">&gt;99.9999% destruction efficiency</w:t>
      </w:r>
      <w:r>
        <w:t xml:space="preserve"> </w:t>
      </w:r>
      <w:r>
        <w:t xml:space="preserve">over ~5,800 operating hours.[^D5-21^] Industrial pesticide wastewater trials achieved 99.42% chemical oxygen demand (COD) removal at 600 °C/25 MPa.[^D5-54^] The takeaway for investors:</w:t>
      </w:r>
      <w:r>
        <w:t xml:space="preserve"> </w:t>
      </w:r>
      <w:r>
        <w:rPr>
          <w:bCs/>
          <w:b/>
        </w:rPr>
        <w:t xml:space="preserve">the chemistry is settled science; nothing in this report’s risk assessment questions destruction efficacy.</w:t>
      </w:r>
      <w:r>
        <w:t xml:space="preserve"> </w:t>
      </w:r>
      <w:r>
        <w:t xml:space="preserve">The risks lie entirely in reliability engineering and energy economics, addressed next.</w:t>
      </w:r>
    </w:p>
    <w:bookmarkEnd w:id="28"/>
    <w:bookmarkEnd w:id="29"/>
    <w:bookmarkStart w:id="36" w:name="the-physics-that-decides-everything"/>
    <w:p>
      <w:pPr>
        <w:pStyle w:val="Heading2"/>
      </w:pPr>
      <w:r>
        <w:t xml:space="preserve">1.2 The Physics That Decides Everything</w:t>
      </w:r>
    </w:p>
    <w:bookmarkStart w:id="30" w:name="X349f9db17c3f3fac252f0f54cf0557e5a577e52"/>
    <w:p>
      <w:pPr>
        <w:pStyle w:val="Heading3"/>
      </w:pPr>
      <w:r>
        <w:t xml:space="preserve">1.2.1 The autothermal threshold: the single screening variable for market fit</w:t>
      </w:r>
    </w:p>
    <w:p>
      <w:pPr>
        <w:pStyle w:val="FirstParagraph"/>
      </w:pPr>
      <w:r>
        <w:t xml:space="preserve">Oxidizing organics releases heat. If the feed carries enough chemical energy — roughly</w:t>
      </w:r>
      <w:r>
        <w:t xml:space="preserve"> </w:t>
      </w:r>
      <w:r>
        <w:rPr>
          <w:bCs/>
          <w:b/>
        </w:rPr>
        <w:t xml:space="preserve">≥2 MJ/kg, equivalent to ~120–150 g/L COD</w:t>
      </w:r>
      <w:r>
        <w:t xml:space="preserve"> </w:t>
      </w:r>
      <w:r>
        <w:t xml:space="preserve">(or ~2 wt% organics under ideal conditions) — the reaction heats itself and SCWO approaches autothermal operation; below that threshold, the operator must buy every joule of preheat from the grid, and SCWO becomes an energy sink.[^D5-38^][^D11-18^] Techno-economic modeling of integrated SCWO-desalination puts the practical autothermal point near ~30 g/L organics, with net power export possible at 53 g/L.[^D11-35^] This one variable predicts success or failure across every market examined in this report: concentrated streams (pharma active pharmaceutical ingredient (API) residues, PFAS foam fractionate, dye baths, refinery slops) can clear it directly or via an upstream separator; dilute streams (greenhouse runoff, bulk food-and-beverage effluent, produced water) sit 10–100× below it. The strategic consequence, developed in later chapters, is that the HCSP’s natural product form is a</w:t>
      </w:r>
      <w:r>
        <w:t xml:space="preserve"> </w:t>
      </w:r>
      <w:r>
        <w:rPr>
          <w:bCs/>
          <w:b/>
        </w:rPr>
        <w:t xml:space="preserve">“</w:t>
      </w:r>
      <w:r>
        <w:rPr>
          <w:bCs/>
          <w:b/>
        </w:rPr>
        <w:t xml:space="preserve">concentrate-and-destroy</w:t>
      </w:r>
      <w:r>
        <w:rPr>
          <w:bCs/>
          <w:b/>
        </w:rPr>
        <w:t xml:space="preserve">”</w:t>
      </w:r>
      <w:r>
        <w:rPr>
          <w:bCs/>
          <w:b/>
        </w:rPr>
        <w:t xml:space="preserve"> </w:t>
      </w:r>
      <w:r>
        <w:rPr>
          <w:bCs/>
          <w:b/>
        </w:rPr>
        <w:t xml:space="preserve">train</w:t>
      </w:r>
      <w:r>
        <w:t xml:space="preserve"> </w:t>
      </w:r>
      <w:r>
        <w:t xml:space="preserve">— foam fractionation, reverse osmosis, or ion-exchange regenerant feeding the skid — not direct purification of dilute wastewater.</w:t>
      </w:r>
    </w:p>
    <w:bookmarkEnd w:id="30"/>
    <w:bookmarkStart w:id="31" w:name="X8901d832586ddb933bfa8662e2b5008ef2d0969"/>
    <w:p>
      <w:pPr>
        <w:pStyle w:val="Heading3"/>
      </w:pPr>
      <w:r>
        <w:t xml:space="preserve">1.2.2 Salt precipitation and corrosion: why the SCWO graveyard is full</w:t>
      </w:r>
    </w:p>
    <w:p>
      <w:pPr>
        <w:pStyle w:val="FirstParagraph"/>
      </w:pPr>
      <w:r>
        <w:t xml:space="preserve">The second physical constraint is materials, and it is responsible for a thirty-year commercialization failure record that every skeptical buyer will cite. Salts that are soluble in feed water become nearly insoluble in supercritical water (solubility typically &lt;100 mg/L), precipitating on reactor walls and causing plugging, heat-transfer loss, and under-deposit corrosion; the 2019–2024 literature consensus is that an efficient, economical salt-management solution</w:t>
      </w:r>
      <w:r>
        <w:t xml:space="preserve"> </w:t>
      </w:r>
      <w:r>
        <w:t xml:space="preserve">“</w:t>
      </w:r>
      <w:r>
        <w:t xml:space="preserve">has not yet been found.</w:t>
      </w:r>
      <w:r>
        <w:t xml:space="preserve">”</w:t>
      </w:r>
      <w:r>
        <w:t xml:space="preserve">[^D5-42^][^D11-29^] Simultaneously, oxidation of chlorine, sulfur, and phosphorus heteroatoms generates hydrochloric, sulfuric, and phosphoric acids in situ at 400–650 °C and 250 bar, attacking even nickel alloys: Hastelloy G-30 corroded at 16–26 mm/year in acidic oxidizing SCWO media, with the worst attack near the critical point in preheaters and coolers.[^D5-39^][^D5-40^][^D5-41^]</w:t>
      </w:r>
    </w:p>
    <w:p>
      <w:pPr>
        <w:pStyle w:val="BodyText"/>
      </w:pPr>
      <w:r>
        <w:t xml:space="preserve">The casualty list is instructive. HydroProcessing’s Harlingen, Texas plant — the first US sewage-sludge SCWO facility (2001) — failed after roughly four years from pump-durability limits, salt precipitation, corrosion, and plugging.[^D11-9^] Chematur/Johnson Matthey’s AquaCat, once the world’s largest SCWO unit at 3,000 L/h, operated only five years before the technology was sold; Hanwha built two full-scale Korean plants, neither still operating; Innoveox, listed on Euronext in 2014, is now closed.[^D11-4^][^D5-31^] As of 2021, only about six commercial SCWO plants operated worldwide; a 2019 review found all commercially constructed plants except two had closed.[^D5-36^][^D5-37^] Most pointedly, the US Army selected SCWO for the Blue Grass chemical-weapons plant in 2003, then</w:t>
      </w:r>
      <w:r>
        <w:t xml:space="preserve"> </w:t>
      </w:r>
      <w:r>
        <w:rPr>
          <w:bCs/>
          <w:b/>
        </w:rPr>
        <w:t xml:space="preserve">rejected it at full scale</w:t>
      </w:r>
      <w:r>
        <w:t xml:space="preserve"> </w:t>
      </w:r>
      <w:r>
        <w:t xml:space="preserve">— titanium/Hastelloy liner life of ~110 hours against agent hydrolysate implied twelve liner changes in a sixteen-month campaign — and the hydrolysate is instead trucked to a Veolia incinerator in Texas.[^D5-21^][^D5-24^][^D5-25^] Mitigation architectures exist — transpiring-wall reactors, cooled-wall designs, replaceable liners, in-reactor hydrothermal flames — and modern evidence (Inconel 625 at 0.6 mm/yr on real pesticide wastewater) shows corrosion is manageable with correct zoning and metallurgy.[^D5-54^][^D11-28^] But the historical lesson is unambiguous:</w:t>
      </w:r>
      <w:r>
        <w:t xml:space="preserve"> </w:t>
      </w:r>
      <w:r>
        <w:rPr>
          <w:bCs/>
          <w:b/>
        </w:rPr>
        <w:t xml:space="preserve">reliability engineering, not destruction chemistry, is the make-or-break variable, and feed screening is mandatory.</w:t>
      </w:r>
      <w:r>
        <w:t xml:space="preserve"> </w:t>
      </w:r>
      <w:r>
        <w:t xml:space="preserve">Any HCSP deployment without transpiring-wall-equivalent salt management and chloride-limited feed discipline repeats the graveyard.</w:t>
      </w:r>
    </w:p>
    <w:bookmarkEnd w:id="31"/>
    <w:bookmarkStart w:id="35" w:name="X7cd454478be3b3efb98f154b82d63c2d5ecb4e9"/>
    <w:p>
      <w:pPr>
        <w:pStyle w:val="Heading3"/>
      </w:pPr>
      <w:r>
        <w:t xml:space="preserve">1.2.3 Energy math: startup and auxiliary power, and where exported energy is worth most</w:t>
      </w:r>
    </w:p>
    <w:p>
      <w:pPr>
        <w:pStyle w:val="FirstParagraph"/>
      </w:pPr>
      <w:r>
        <w:t xml:space="preserve">The briefing specifies 75–95 kW of electrical load at 10 m³/day — equivalent to 180–228 kWh/m³ if it were drawn continuously.[^D12-64^] Per the manufacturer’s design, that figure covers</w:t>
      </w:r>
      <w:r>
        <w:t xml:space="preserve"> </w:t>
      </w:r>
      <w:r>
        <w:rPr>
          <w:bCs/>
          <w:b/>
        </w:rPr>
        <w:t xml:space="preserve">startup and auxiliary loads</w:t>
      </w:r>
      <w:r>
        <w:t xml:space="preserve"> </w:t>
      </w:r>
      <w:r>
        <w:t xml:space="preserve">(high-pressure pumps, controls, and electrolyzer make-up): once the reactor is at operating temperature, the on-demand hydrogen fuel loop of §1.3 sustains it, and the system’s net energy cost in operation is negligible.[^S1^] Field benchmarks from other vendors’ machines describe the conventional, grid-fed SCWO configuration the HCSP is designed to move beyond — 374Water’s AirSCWO 6 consumed 1.12 kWh/gal (~294 kWh/m³) plus isopropanol co-fuel on AFFF concentrate in a government-documented Minnesota demonstration, and engineering-consultant estimates for grid-fed SCWO on PFAS concentrates run to ~500 kWh/m³ — and they double as a conservative downside bound should a site’s auxiliary draw persist longer than designed.[^D11-19^][^D11-21^] Regional electricity prices therefore matter to the HCSP in two narrow ways: they price the startup/auxiliary draw, and they set the value of any energy the plant exports on concentrated feeds.</w:t>
      </w:r>
    </w:p>
    <w:p>
      <w:pPr>
        <w:pStyle w:val="CaptionedFigure"/>
      </w:pPr>
      <w:r>
        <w:drawing>
          <wp:inline>
            <wp:extent cx="5334000" cy="3100816"/>
            <wp:effectExtent b="0" l="0" r="0" t="0"/>
            <wp:docPr descr="Regional industrial electricity prices applied to the HCSP’s 75–95 kW startup/auxiliary specification (US$/m³ equivalent if drawn continuously), vs. the ~$3.53/m³ US combined water-and-sewer price. Per the manufacturer the system is self-fueling in operation, so these prices bound auxiliary-load cost and value exported energy rather than set a treatment cost. Source: computed from EIA (2025), Eurostat (H2-2025), and GlobalPetrolPrices (Dec 2025) industrial tariffs." title="" id="33" name="Picture"/>
            <a:graphic>
              <a:graphicData uri="http://schemas.openxmlformats.org/drawingml/2006/picture">
                <pic:pic>
                  <pic:nvPicPr>
                    <pic:cNvPr descr="hcsp_sec01_energy_floor.png" id="34" name="Picture"/>
                    <pic:cNvPicPr>
                      <a:picLocks noChangeArrowheads="1" noChangeAspect="1"/>
                    </pic:cNvPicPr>
                  </pic:nvPicPr>
                  <pic:blipFill>
                    <a:blip r:embed="rId32"/>
                    <a:stretch>
                      <a:fillRect/>
                    </a:stretch>
                  </pic:blipFill>
                  <pic:spPr bwMode="auto">
                    <a:xfrm>
                      <a:off x="0" y="0"/>
                      <a:ext cx="5334000" cy="3100816"/>
                    </a:xfrm>
                    <a:prstGeom prst="rect">
                      <a:avLst/>
                    </a:prstGeom>
                    <a:noFill/>
                    <a:ln w="9525">
                      <a:noFill/>
                      <a:headEnd/>
                      <a:tailEnd/>
                    </a:ln>
                  </pic:spPr>
                </pic:pic>
              </a:graphicData>
            </a:graphic>
          </wp:inline>
        </w:drawing>
      </w:r>
    </w:p>
    <w:p>
      <w:pPr>
        <w:pStyle w:val="ImageCaption"/>
      </w:pPr>
      <w:r>
        <w:t xml:space="preserve">Regional industrial electricity prices applied to the HCSP’s 75–95 kW startup/auxiliary specification (US$/m³ equivalent if drawn continuously), vs. the ~$3.53/m³ US combined water-and-sewer price. Per the manufacturer the system is self-fueling in operation, so these prices bound auxiliary-load cost and value exported energy rather than set a treatment cost. Source: computed from EIA (2025), Eurostat (H2-2025), and GlobalPetrolPrices (Dec 2025) industrial tariffs.</w:t>
      </w:r>
    </w:p>
    <w:p>
      <w:pPr>
        <w:pStyle w:val="BodyText"/>
      </w:pPr>
      <w:r>
        <w:t xml:space="preserve">Applied to the full 180–228 kWh/m³ specification, regional prices span</w:t>
      </w:r>
      <w:r>
        <w:t xml:space="preserve"> </w:t>
      </w:r>
      <w:r>
        <w:rPr>
          <w:bCs/>
          <w:b/>
        </w:rPr>
        <w:t xml:space="preserve">~$10.8/m³ in Saudi Arabia and ~$11.9/m³ in Texas industrial power</w:t>
      </w:r>
      <w:r>
        <w:t xml:space="preserve"> </w:t>
      </w:r>
      <w:r>
        <w:t xml:space="preserve">to</w:t>
      </w:r>
      <w:r>
        <w:t xml:space="preserve"> </w:t>
      </w:r>
      <w:r>
        <w:rPr>
          <w:bCs/>
          <w:b/>
        </w:rPr>
        <w:t xml:space="preserve">$15.5–19.7/m³ at the US industrial average of 8.62 ¢/kWh</w:t>
      </w:r>
      <w:r>
        <w:t xml:space="preserve">,</w:t>
      </w:r>
      <w:r>
        <w:t xml:space="preserve"> </w:t>
      </w:r>
      <w:r>
        <w:rPr>
          <w:bCs/>
          <w:b/>
        </w:rPr>
        <w:t xml:space="preserve">$15.8–26.4/m³ in China</w:t>
      </w:r>
      <w:r>
        <w:t xml:space="preserve">,</w:t>
      </w:r>
      <w:r>
        <w:t xml:space="preserve"> </w:t>
      </w:r>
      <w:r>
        <w:rPr>
          <w:bCs/>
          <w:b/>
        </w:rPr>
        <w:t xml:space="preserve">$19.4–24.6/m³ in India</w:t>
      </w:r>
      <w:r>
        <w:t xml:space="preserve">,</w:t>
      </w:r>
      <w:r>
        <w:t xml:space="preserve"> </w:t>
      </w:r>
      <w:r>
        <w:rPr>
          <w:bCs/>
          <w:b/>
        </w:rPr>
        <w:t xml:space="preserve">$35.7–45.2/m³ at the EU average</w:t>
      </w:r>
      <w:r>
        <w:t xml:space="preserve">, and</w:t>
      </w:r>
      <w:r>
        <w:t xml:space="preserve"> </w:t>
      </w:r>
      <w:r>
        <w:rPr>
          <w:bCs/>
          <w:b/>
        </w:rPr>
        <w:t xml:space="preserve">$44.0–55.7/m³ in Germany</w:t>
      </w:r>
      <w:r>
        <w:t xml:space="preserve"> </w:t>
      </w:r>
      <w:r>
        <w:t xml:space="preserve">(€0.2264/kWh, H2-2025).[^D12-64^][^D12-67^][^D12-69^][^D12-70^][^D12-71^][^D12-66^] Read against the manufacturer’s self-fueling design, those numbers do two jobs. First, they bound the cost of startup and auxiliary power: even at German tariffs, an auxiliary draw is a minor line item against destruction-priced revenues of $1.5–50/gal. Second, they value exported energy: on concentrated feeds above ~60 g/L COD the plant exports power (Chapters 8, 11, 12), and a kilowatt-hour sold at German industrial prices is worth roughly five times one sold in Texas — geography selects the monetization route, not the viability. The structural conclusion is unchanged but sharper:</w:t>
      </w:r>
      <w:r>
        <w:t xml:space="preserve"> </w:t>
      </w:r>
      <w:r>
        <w:rPr>
          <w:bCs/>
          <w:b/>
        </w:rPr>
        <w:t xml:space="preserve">the HCSP is sold as destruction plus compliance, with the recovered water — worth ~$3.53/m³ against US combined water-and-sewer prices, or $0.63–0.82/m³ against Saudi desalination — as a byproduct credit and, on the right feed, exported energy as a second one; regional power prices decide how large that second credit is, not whether the plant clears a cost floor.</w:t>
      </w:r>
      <w:r>
        <w:t xml:space="preserve">[^D12-1^][^D12-16^] Within the auxiliary budget, every 10 kW of load reduction still saves ~87,600 kWh/yr — $5,800–21,500/yr depending on region — which is why heat integration remains a high-value engineering investment across the product roadmap.[^D12-64^]</w:t>
      </w:r>
    </w:p>
    <w:bookmarkEnd w:id="35"/>
    <w:bookmarkEnd w:id="36"/>
    <w:bookmarkStart w:id="39" w:name="X687ef9feb71474997b4f3c74cdff1263e961033"/>
    <w:p>
      <w:pPr>
        <w:pStyle w:val="Heading2"/>
      </w:pPr>
      <w:r>
        <w:t xml:space="preserve">1.3 Energy Architecture: The On-Demand Hydrogen Fuel Loop</w:t>
      </w:r>
    </w:p>
    <w:bookmarkStart w:id="37" w:name="Xd0ac8298fd5085854bf5f590ff99daf426f0dff"/>
    <w:p>
      <w:pPr>
        <w:pStyle w:val="Heading3"/>
      </w:pPr>
      <w:r>
        <w:t xml:space="preserve">1.3.1 How the loop works: fuel from the process water itself</w:t>
      </w:r>
    </w:p>
    <w:p>
      <w:pPr>
        <w:pStyle w:val="FirstParagraph"/>
      </w:pPr>
      <w:r>
        <w:t xml:space="preserve">Per the technical briefing, the HCSP produces its own fuel. A portion of the process water is split by electrolysis into hydrogen and oxygen, and their sealed combustion delivers clean, high-intensity heat to the supercritical reactor — roughly 30–40 kg/day of hydrogen generated on demand at the 10 m³/day scale.[^S1^] Three design consequences follow. First,</w:t>
      </w:r>
      <w:r>
        <w:t xml:space="preserve"> </w:t>
      </w:r>
      <w:r>
        <w:rPr>
          <w:bCs/>
          <w:b/>
        </w:rPr>
        <w:t xml:space="preserve">fuel is generated on demand, not stored</w:t>
      </w:r>
      <w:r>
        <w:t xml:space="preserve">: the system carries no bulk hydrogen inventory, eliminating the largest hazard class of fuel-fired thermal systems. Second,</w:t>
      </w:r>
      <w:r>
        <w:t xml:space="preserve"> </w:t>
      </w:r>
      <w:r>
        <w:rPr>
          <w:bCs/>
          <w:b/>
        </w:rPr>
        <w:t xml:space="preserve">the sealed H₂/O₂ combustion emits water vapor</w:t>
      </w:r>
      <w:r>
        <w:t xml:space="preserve">, not flue gas — the basis for the no-combustion-air-permit claim that §1.4 quantifies as a structural cost and schedule advantage. Third, and most consequential commercially:</w:t>
      </w:r>
      <w:r>
        <w:t xml:space="preserve"> </w:t>
      </w:r>
      <w:r>
        <w:rPr>
          <w:bCs/>
          <w:b/>
        </w:rPr>
        <w:t xml:space="preserve">once the system is started and at operating temperature, the fuel loop sustains the SCWO reactor with negligible net energy cost</w:t>
      </w:r>
      <w:r>
        <w:t xml:space="preserve"> </w:t>
      </w:r>
      <w:r>
        <w:t xml:space="preserve">— the system is self-fueling in operation, and the 75–95 kW electrical specification covers startup and auxiliary loads.[^S1^]</w:t>
      </w:r>
    </w:p>
    <w:p>
      <w:pPr>
        <w:pStyle w:val="BodyText"/>
      </w:pPr>
      <w:r>
        <w:t xml:space="preserve">A working prototype of the system has been produced, moving the architecture from design claim to built hardware.[^S1^] The remaining evidence step is publication: third-party-witnessed measurement of the prototype’s energy balance converts the self-fueling design from a briefing statement into bankable documentation for lenders, grant reviewers, and regulators — a recommendation developed in Chapter 10. And on concentrated feeds, the loop is only the base layer: oxidation of the waste itself (§1.2.1) adds further energy above ~35–60 g/L COD, enabling the net power export that Chapters 8, 11, and 12 price.</w:t>
      </w:r>
    </w:p>
    <w:bookmarkEnd w:id="37"/>
    <w:bookmarkStart w:id="38" w:name="X4779808cbcb7cdcecc14354e9dfb2806ec77627"/>
    <w:p>
      <w:pPr>
        <w:pStyle w:val="Heading3"/>
      </w:pPr>
      <w:r>
        <w:t xml:space="preserve">1.3.2 Safety, control, and the contrast with incumbent SCWO heating</w:t>
      </w:r>
    </w:p>
    <w:p>
      <w:pPr>
        <w:pStyle w:val="FirstParagraph"/>
      </w:pPr>
      <w:r>
        <w:t xml:space="preserve">On-demand generation is also the more controllable architecture. The electrolyzer, combustor, and reactor operate under programmable-logic-controller (PLC) interlocks that shut fuel generation down with the reactor; with no stored fuel, there is no inventory to isolate in an emergency, and the only gaseous effluent is water vapor plus vented excess oxygen.[^S1^] The contrast with the incumbent field is instructive: Aquarden’s SuperOx, the most comparable modular SCWO product,</w:t>
      </w:r>
      <w:r>
        <w:t xml:space="preserve"> </w:t>
      </w:r>
      <w:r>
        <w:t xml:space="preserve">“</w:t>
      </w:r>
      <w:r>
        <w:t xml:space="preserve">operates solely on electricity — no fossil co-fuels required,</w:t>
      </w:r>
      <w:r>
        <w:t xml:space="preserve">”</w:t>
      </w:r>
      <w:r>
        <w:t xml:space="preserve"> </w:t>
      </w:r>
      <w:r>
        <w:t xml:space="preserve">and 374Water heats electrically, adding co-fuel on energy-poor feeds.[^D11-11^][^D11-19^] Those designs carry a continuous purchased-energy operating line on every dilute feed; the HCSP’s fuel loop is designed to remove that dependence, which is why the energy line in this report’s cost stacks is treated as a conservative startup/auxiliary allowance rather than a continuous operating cost (Chapters 3 and 8).</w:t>
      </w:r>
    </w:p>
    <w:bookmarkEnd w:id="38"/>
    <w:bookmarkEnd w:id="39"/>
    <w:bookmarkStart w:id="42" w:name="competitive-landscape"/>
    <w:p>
      <w:pPr>
        <w:pStyle w:val="Heading2"/>
      </w:pPr>
      <w:r>
        <w:t xml:space="preserve">1.4 Competitive Landscape</w:t>
      </w:r>
    </w:p>
    <w:bookmarkStart w:id="40" w:name="X3844a424bb588a85b23fb12324fbd0babe31bd3"/>
    <w:p>
      <w:pPr>
        <w:pStyle w:val="Heading3"/>
      </w:pPr>
      <w:r>
        <w:t xml:space="preserve">1.4.1 Verifiable vendors: a small, fragile, but real field</w:t>
      </w:r>
    </w:p>
    <w:p>
      <w:pPr>
        <w:pStyle w:val="FirstParagraph"/>
      </w:pPr>
      <w:r>
        <w:t xml:space="preserve">Only four organizations operate verifiable commercial-scale SCWO today.</w:t>
      </w:r>
      <w:r>
        <w:t xml:space="preserve"> </w:t>
      </w:r>
      <w:r>
        <w:rPr>
          <w:bCs/>
          <w:b/>
        </w:rPr>
        <w:t xml:space="preserve">374Water</w:t>
      </w:r>
      <w:r>
        <w:t xml:space="preserve"> </w:t>
      </w:r>
      <w:r>
        <w:t xml:space="preserve">(NASDAQ: SCWO), a Duke University spinout and the closest analogue to the HCSP, sells the containerized AirSCWO 6 (6 wet tons/day biosolids) — anchored by a</w:t>
      </w:r>
      <w:r>
        <w:t xml:space="preserve"> </w:t>
      </w:r>
      <w:r>
        <w:rPr>
          <w:bCs/>
          <w:b/>
        </w:rPr>
        <w:t xml:space="preserve">$5.2M equipment-and-operation contract</w:t>
      </w:r>
      <w:r>
        <w:t xml:space="preserve"> </w:t>
      </w:r>
      <w:r>
        <w:t xml:space="preserve">with the Orange County Sanitation District inside a $7.9M project — plus a mobile unit deployed to St. Cloud, Minnesota under a $600k contract with projected mobile-unit revenue of $0.5–1.5M/yr, and a five-year Waste Destruction Services license with Orlando targeting $3–5M/yr at initial scale.[^D11-14^][^D11-15^][^D11-5^][^D11-6^] Yet its FY2025 Form 10-K shows</w:t>
      </w:r>
      <w:r>
        <w:t xml:space="preserve"> </w:t>
      </w:r>
      <w:r>
        <w:rPr>
          <w:bCs/>
          <w:b/>
        </w:rPr>
        <w:t xml:space="preserve">revenue of just $215,037 against a $21.0M net loss</w:t>
      </w:r>
      <w:r>
        <w:t xml:space="preserve">, $3.2M cash, a ~$49.9M accumulated deficit, and going-concern financing language in Q1 2026 — the field’s listed leader is pre-scale, and first-mover risk is real.[^D11-1^][^D11-2^]</w:t>
      </w:r>
      <w:r>
        <w:t xml:space="preserve"> </w:t>
      </w:r>
      <w:r>
        <w:rPr>
          <w:bCs/>
          <w:b/>
        </w:rPr>
        <w:t xml:space="preserve">General Atomics</w:t>
      </w:r>
      <w:r>
        <w:t xml:space="preserve"> </w:t>
      </w:r>
      <w:r>
        <w:t xml:space="preserve">fields PERSES, the incumbent: commercial since ~2012, &gt;6 million gallons destroyed, EPA-verified &gt;99.99% PFAS destruction, but with a cautionary field record — its Tooele Army Depot unit was sidelined for</w:t>
      </w:r>
      <w:r>
        <w:t xml:space="preserve"> </w:t>
      </w:r>
      <w:r>
        <w:t xml:space="preserve">“</w:t>
      </w:r>
      <w:r>
        <w:t xml:space="preserve">lack of capacity and reliability issues.</w:t>
      </w:r>
      <w:r>
        <w:t xml:space="preserve">”</w:t>
      </w:r>
      <w:r>
        <w:t xml:space="preserve">[^D11-10^]</w:t>
      </w:r>
      <w:r>
        <w:t xml:space="preserve"> </w:t>
      </w:r>
      <w:r>
        <w:rPr>
          <w:bCs/>
          <w:b/>
        </w:rPr>
        <w:t xml:space="preserve">Aquarden</w:t>
      </w:r>
      <w:r>
        <w:t xml:space="preserve"> </w:t>
      </w:r>
      <w:r>
        <w:t xml:space="preserve">(Denmark) sells the all-electric SuperOx (5 t/day per unit) with industrial installations in Denmark and France including ArianeGroup explosives/PFAS destruction.[^D11-11^]</w:t>
      </w:r>
      <w:r>
        <w:t xml:space="preserve"> </w:t>
      </w:r>
      <w:r>
        <w:rPr>
          <w:bCs/>
          <w:b/>
        </w:rPr>
        <w:t xml:space="preserve">Revive Environmental</w:t>
      </w:r>
      <w:r>
        <w:t xml:space="preserve"> </w:t>
      </w:r>
      <w:r>
        <w:t xml:space="preserve">operates Battelle’s PFAS Annihilator as a per-gallon destruction service — North America’s first fully permitted commercial-scale SCWO PFAS system.[^D11-7^][^D4-37^] The calibration for any HCSP business plan is sobering: the market leader has consumed roughly $50M of capital to reach ~$2M/yr revenue, with repeated deployment delays — a trajectory the HCSP’s financial model in later chapters must respect, not assume away.[^D11-1^][^D11-8^]</w:t>
      </w:r>
    </w:p>
    <w:bookmarkEnd w:id="40"/>
    <w:bookmarkStart w:id="41" w:name="X49a8a1c007a0e14b675e2277d644718bfe2864f"/>
    <w:p>
      <w:pPr>
        <w:pStyle w:val="Heading3"/>
      </w:pPr>
      <w:r>
        <w:t xml:space="preserve">1.4.2 Adjacent destruction technologies: the benchmark table</w:t>
      </w:r>
    </w:p>
    <w:p>
      <w:pPr>
        <w:pStyle w:val="FirstParagraph"/>
      </w:pPr>
      <w:r>
        <w:t xml:space="preserve">The HCSP competes not only with SCWO vendors but with every technology a waste owner can buy to destroy a concentrated stream. The benchmark below assembles verifiable cost, energy, and maturity anchors across the field.</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Technology / vendor</w:t>
            </w:r>
          </w:p>
        </w:tc>
        <w:tc>
          <w:tcPr/>
          <w:p>
            <w:pPr>
              <w:pStyle w:val="Compact"/>
              <w:jc w:val="left"/>
            </w:pPr>
            <w:r>
              <w:t xml:space="preserve">Throughput class</w:t>
            </w:r>
          </w:p>
        </w:tc>
        <w:tc>
          <w:tcPr/>
          <w:p>
            <w:pPr>
              <w:pStyle w:val="Compact"/>
              <w:jc w:val="left"/>
            </w:pPr>
            <w:r>
              <w:t xml:space="preserve">Cost benchmark</w:t>
            </w:r>
          </w:p>
        </w:tc>
        <w:tc>
          <w:tcPr/>
          <w:p>
            <w:pPr>
              <w:pStyle w:val="Compact"/>
              <w:jc w:val="left"/>
            </w:pPr>
            <w:r>
              <w:t xml:space="preserve">Energy intensity</w:t>
            </w:r>
          </w:p>
        </w:tc>
        <w:tc>
          <w:tcPr/>
          <w:p>
            <w:pPr>
              <w:pStyle w:val="Compact"/>
              <w:jc w:val="left"/>
            </w:pPr>
            <w:r>
              <w:t xml:space="preserve">TRL</w:t>
            </w:r>
          </w:p>
        </w:tc>
        <w:tc>
          <w:tcPr/>
          <w:p>
            <w:pPr>
              <w:pStyle w:val="Compact"/>
              <w:jc w:val="left"/>
            </w:pPr>
            <w:r>
              <w:t xml:space="preserve">Key constraint</w:t>
            </w:r>
          </w:p>
        </w:tc>
      </w:tr>
      <w:tr>
        <w:tc>
          <w:tcPr/>
          <w:p>
            <w:pPr>
              <w:pStyle w:val="Compact"/>
              <w:jc w:val="left"/>
            </w:pPr>
            <w:r>
              <w:rPr>
                <w:bCs/>
                <w:b/>
              </w:rPr>
              <w:t xml:space="preserve">HCSP (self-fueling H₂-loop design; working prototype built)</w:t>
            </w:r>
          </w:p>
        </w:tc>
        <w:tc>
          <w:tcPr/>
          <w:p>
            <w:pPr>
              <w:pStyle w:val="Compact"/>
              <w:jc w:val="left"/>
            </w:pPr>
            <w:r>
              <w:t xml:space="preserve">10 m³/day skid</w:t>
            </w:r>
          </w:p>
        </w:tc>
        <w:tc>
          <w:tcPr/>
          <w:p>
            <w:pPr>
              <w:pStyle w:val="Compact"/>
              <w:jc w:val="left"/>
            </w:pPr>
            <w:r>
              <w:t xml:space="preserve">Unproven at scale; modeled $0.50–1.50/gal all-in at skid scale [^D5-38^]</w:t>
            </w:r>
          </w:p>
        </w:tc>
        <w:tc>
          <w:tcPr/>
          <w:p>
            <w:pPr>
              <w:pStyle w:val="Compact"/>
              <w:jc w:val="left"/>
            </w:pPr>
            <w:r>
              <w:t xml:space="preserve">75–95 kW startup/auxiliary spec; self-fueling in operation per manufacturer [^S1^]; grid-fed field band ~294–500 kWh/m³ bounds the downside [^D11-19^][^D11-21^]</w:t>
            </w:r>
          </w:p>
        </w:tc>
        <w:tc>
          <w:tcPr/>
          <w:p>
            <w:pPr>
              <w:pStyle w:val="Compact"/>
              <w:jc w:val="left"/>
            </w:pPr>
            <w:r>
              <w:t xml:space="preserve">Prototype built; subsystems commercially mature [^S1^][^D11-36^]</w:t>
            </w:r>
          </w:p>
        </w:tc>
        <w:tc>
          <w:tcPr/>
          <w:p>
            <w:pPr>
              <w:pStyle w:val="Compact"/>
              <w:jc w:val="left"/>
            </w:pPr>
            <w:r>
              <w:t xml:space="preserve">Salt/corrosion management; third-party publication of prototype energy data</w:t>
            </w:r>
          </w:p>
        </w:tc>
      </w:tr>
      <w:tr>
        <w:tc>
          <w:tcPr/>
          <w:p>
            <w:pPr>
              <w:pStyle w:val="Compact"/>
              <w:jc w:val="left"/>
            </w:pPr>
            <w:r>
              <w:t xml:space="preserve">374Water AirSCWO 6</w:t>
            </w:r>
          </w:p>
        </w:tc>
        <w:tc>
          <w:tcPr/>
          <w:p>
            <w:pPr>
              <w:pStyle w:val="Compact"/>
              <w:jc w:val="left"/>
            </w:pPr>
            <w:r>
              <w:t xml:space="preserve">6 wet t/d</w:t>
            </w:r>
          </w:p>
        </w:tc>
        <w:tc>
          <w:tcPr/>
          <w:p>
            <w:pPr>
              <w:pStyle w:val="Compact"/>
              <w:jc w:val="left"/>
            </w:pPr>
            <w:r>
              <w:t xml:space="preserve">$1.63–4.88/gal PFAS concentrate (field); ~$50/wet ton biosolids (projected) [^D11-19^][^D11-17^]</w:t>
            </w:r>
          </w:p>
        </w:tc>
        <w:tc>
          <w:tcPr/>
          <w:p>
            <w:pPr>
              <w:pStyle w:val="Compact"/>
              <w:jc w:val="left"/>
            </w:pPr>
            <w:r>
              <w:t xml:space="preserve">~294 kWh/m³ + IPA co-fuel [^D11-19^]</w:t>
            </w:r>
          </w:p>
        </w:tc>
        <w:tc>
          <w:tcPr/>
          <w:p>
            <w:pPr>
              <w:pStyle w:val="Compact"/>
              <w:jc w:val="left"/>
            </w:pPr>
            <w:r>
              <w:t xml:space="preserve">7–8</w:t>
            </w:r>
          </w:p>
        </w:tc>
        <w:tc>
          <w:tcPr/>
          <w:p>
            <w:pPr>
              <w:pStyle w:val="Compact"/>
              <w:jc w:val="left"/>
            </w:pPr>
            <w:r>
              <w:t xml:space="preserve">Pre-scale finances; deployment delays [^D11-1^]</w:t>
            </w:r>
          </w:p>
        </w:tc>
      </w:tr>
      <w:tr>
        <w:tc>
          <w:tcPr/>
          <w:p>
            <w:pPr>
              <w:pStyle w:val="Compact"/>
              <w:jc w:val="left"/>
            </w:pPr>
            <w:r>
              <w:t xml:space="preserve">GA PERSES (iSCWO)</w:t>
            </w:r>
          </w:p>
        </w:tc>
        <w:tc>
          <w:tcPr/>
          <w:p>
            <w:pPr>
              <w:pStyle w:val="Compact"/>
              <w:jc w:val="left"/>
            </w:pPr>
            <w:r>
              <w:t xml:space="preserve">t/h-class transportable</w:t>
            </w:r>
          </w:p>
        </w:tc>
        <w:tc>
          <w:tcPr/>
          <w:p>
            <w:pPr>
              <w:pStyle w:val="Compact"/>
              <w:jc w:val="left"/>
            </w:pPr>
            <w:r>
              <w:t xml:space="preserve">Service-based</w:t>
            </w:r>
          </w:p>
        </w:tc>
        <w:tc>
          <w:tcPr/>
          <w:p>
            <w:pPr>
              <w:pStyle w:val="Compact"/>
              <w:jc w:val="left"/>
            </w:pPr>
            <w:r>
              <w:t xml:space="preserve">Compressed-air oxidant; 650 °C/3,400 psia</w:t>
            </w:r>
          </w:p>
        </w:tc>
        <w:tc>
          <w:tcPr/>
          <w:p>
            <w:pPr>
              <w:pStyle w:val="Compact"/>
              <w:jc w:val="left"/>
            </w:pPr>
            <w:r>
              <w:t xml:space="preserve">8–9</w:t>
            </w:r>
          </w:p>
        </w:tc>
        <w:tc>
          <w:tcPr/>
          <w:p>
            <w:pPr>
              <w:pStyle w:val="Compact"/>
              <w:jc w:val="left"/>
            </w:pPr>
            <w:r>
              <w:t xml:space="preserve">Reliability record mixed (Tooele) [^D11-10^]</w:t>
            </w:r>
          </w:p>
        </w:tc>
      </w:tr>
      <w:tr>
        <w:tc>
          <w:tcPr/>
          <w:p>
            <w:pPr>
              <w:pStyle w:val="Compact"/>
              <w:jc w:val="left"/>
            </w:pPr>
            <w:r>
              <w:t xml:space="preserve">Aquarden SuperOx</w:t>
            </w:r>
          </w:p>
        </w:tc>
        <w:tc>
          <w:tcPr/>
          <w:p>
            <w:pPr>
              <w:pStyle w:val="Compact"/>
              <w:jc w:val="left"/>
            </w:pPr>
            <w:r>
              <w:t xml:space="preserve">5 t/d modular</w:t>
            </w:r>
          </w:p>
        </w:tc>
        <w:tc>
          <w:tcPr/>
          <w:p>
            <w:pPr>
              <w:pStyle w:val="Compact"/>
              <w:jc w:val="left"/>
            </w:pPr>
            <w:r>
              <w:t xml:space="preserve">Service/system sale</w:t>
            </w:r>
          </w:p>
        </w:tc>
        <w:tc>
          <w:tcPr/>
          <w:p>
            <w:pPr>
              <w:pStyle w:val="Compact"/>
              <w:jc w:val="left"/>
            </w:pPr>
            <w:r>
              <w:t xml:space="preserve">100% electric [^D11-11^]</w:t>
            </w:r>
          </w:p>
        </w:tc>
        <w:tc>
          <w:tcPr/>
          <w:p>
            <w:pPr>
              <w:pStyle w:val="Compact"/>
              <w:jc w:val="left"/>
            </w:pPr>
            <w:r>
              <w:t xml:space="preserve">7–8</w:t>
            </w:r>
          </w:p>
        </w:tc>
        <w:tc>
          <w:tcPr/>
          <w:p>
            <w:pPr>
              <w:pStyle w:val="Compact"/>
              <w:jc w:val="left"/>
            </w:pPr>
            <w:r>
              <w:t xml:space="preserve">EU energy prices</w:t>
            </w:r>
          </w:p>
        </w:tc>
      </w:tr>
      <w:tr>
        <w:tc>
          <w:tcPr/>
          <w:p>
            <w:pPr>
              <w:pStyle w:val="Compact"/>
              <w:jc w:val="left"/>
            </w:pPr>
            <w:r>
              <w:t xml:space="preserve">Electrochemical oxidation (Aclarity)</w:t>
            </w:r>
          </w:p>
        </w:tc>
        <w:tc>
          <w:tcPr/>
          <w:p>
            <w:pPr>
              <w:pStyle w:val="Compact"/>
              <w:jc w:val="left"/>
            </w:pPr>
            <w:r>
              <w:t xml:space="preserve">Trailer to full-scale</w:t>
            </w:r>
          </w:p>
        </w:tc>
        <w:tc>
          <w:tcPr/>
          <w:p>
            <w:pPr>
              <w:pStyle w:val="Compact"/>
              <w:jc w:val="left"/>
            </w:pPr>
            <w:r>
              <w:t xml:space="preserve">Per-gallon service</w:t>
            </w:r>
          </w:p>
        </w:tc>
        <w:tc>
          <w:tcPr/>
          <w:p>
            <w:pPr>
              <w:pStyle w:val="Compact"/>
              <w:jc w:val="left"/>
            </w:pPr>
            <w:r>
              <w:t xml:space="preserve">10–26 kWh/m³ fielded; ≤130 class-wide [^D11-22^][^D11-23^]</w:t>
            </w:r>
          </w:p>
        </w:tc>
        <w:tc>
          <w:tcPr/>
          <w:p>
            <w:pPr>
              <w:pStyle w:val="Compact"/>
              <w:jc w:val="left"/>
            </w:pPr>
            <w:r>
              <w:t xml:space="preserve">6–7</w:t>
            </w:r>
          </w:p>
        </w:tc>
        <w:tc>
          <w:tcPr/>
          <w:p>
            <w:pPr>
              <w:pStyle w:val="Compact"/>
              <w:jc w:val="left"/>
            </w:pPr>
            <w:r>
              <w:t xml:space="preserve">Dilute streams only; electrode life</w:t>
            </w:r>
          </w:p>
        </w:tc>
      </w:tr>
      <w:tr>
        <w:tc>
          <w:tcPr/>
          <w:p>
            <w:pPr>
              <w:pStyle w:val="Compact"/>
              <w:jc w:val="left"/>
            </w:pPr>
            <w:r>
              <w:t xml:space="preserve">HALT (Aquagga)</w:t>
            </w:r>
          </w:p>
        </w:tc>
        <w:tc>
          <w:tcPr/>
          <w:p>
            <w:pPr>
              <w:pStyle w:val="Compact"/>
              <w:jc w:val="left"/>
            </w:pPr>
            <w:r>
              <w:t xml:space="preserve">1–60 gal/h containers</w:t>
            </w:r>
          </w:p>
        </w:tc>
        <w:tc>
          <w:tcPr/>
          <w:p>
            <w:pPr>
              <w:pStyle w:val="Compact"/>
              <w:jc w:val="left"/>
            </w:pPr>
            <w:r>
              <w:t xml:space="preserve">Program pricing ($40/gal AFFF bounty context) [^D11-33^]</w:t>
            </w:r>
          </w:p>
        </w:tc>
        <w:tc>
          <w:tcPr/>
          <w:p>
            <w:pPr>
              <w:pStyle w:val="Compact"/>
              <w:jc w:val="left"/>
            </w:pPr>
            <w:r>
              <w:t xml:space="preserve">264–350 kWh/m³ [^D11-21^]</w:t>
            </w:r>
          </w:p>
        </w:tc>
        <w:tc>
          <w:tcPr/>
          <w:p>
            <w:pPr>
              <w:pStyle w:val="Compact"/>
              <w:jc w:val="left"/>
            </w:pPr>
            <w:r>
              <w:t xml:space="preserve">6–7</w:t>
            </w:r>
          </w:p>
        </w:tc>
        <w:tc>
          <w:tcPr/>
          <w:p>
            <w:pPr>
              <w:pStyle w:val="Compact"/>
              <w:jc w:val="left"/>
            </w:pPr>
            <w:r>
              <w:t xml:space="preserve">Batch scale; ~5 M NaOH reagent</w:t>
            </w:r>
          </w:p>
        </w:tc>
      </w:tr>
      <w:tr>
        <w:tc>
          <w:tcPr/>
          <w:p>
            <w:pPr>
              <w:pStyle w:val="Compact"/>
              <w:jc w:val="left"/>
            </w:pPr>
            <w:r>
              <w:t xml:space="preserve">Non-thermal plasma (DMAX)</w:t>
            </w:r>
          </w:p>
        </w:tc>
        <w:tc>
          <w:tcPr/>
          <w:p>
            <w:pPr>
              <w:pStyle w:val="Compact"/>
              <w:jc w:val="left"/>
            </w:pPr>
            <w:r>
              <w:t xml:space="preserve">~20 gpm trailer</w:t>
            </w:r>
          </w:p>
        </w:tc>
        <w:tc>
          <w:tcPr/>
          <w:p>
            <w:pPr>
              <w:pStyle w:val="Compact"/>
              <w:jc w:val="left"/>
            </w:pPr>
            <w:r>
              <w:t xml:space="preserve">$0.06/gal opex (vendor claim) [^D11-32^]</w:t>
            </w:r>
          </w:p>
        </w:tc>
        <w:tc>
          <w:tcPr/>
          <w:p>
            <w:pPr>
              <w:pStyle w:val="Compact"/>
              <w:jc w:val="left"/>
            </w:pPr>
            <w:r>
              <w:t xml:space="preserve">1,560–2,370 kWh/m³ for full mineralization [^D11-24^]</w:t>
            </w:r>
          </w:p>
        </w:tc>
        <w:tc>
          <w:tcPr/>
          <w:p>
            <w:pPr>
              <w:pStyle w:val="Compact"/>
              <w:jc w:val="left"/>
            </w:pPr>
            <w:r>
              <w:t xml:space="preserve">6–7</w:t>
            </w:r>
          </w:p>
        </w:tc>
        <w:tc>
          <w:tcPr/>
          <w:p>
            <w:pPr>
              <w:pStyle w:val="Compact"/>
              <w:jc w:val="left"/>
            </w:pPr>
            <w:r>
              <w:t xml:space="preserve">Vendor-verified data scarce</w:t>
            </w:r>
          </w:p>
        </w:tc>
      </w:tr>
      <w:tr>
        <w:tc>
          <w:tcPr/>
          <w:p>
            <w:pPr>
              <w:pStyle w:val="Compact"/>
              <w:jc w:val="left"/>
            </w:pPr>
            <w:r>
              <w:t xml:space="preserve">Hazardous-waste incineration (Clean Harbors et al.)</w:t>
            </w:r>
          </w:p>
        </w:tc>
        <w:tc>
          <w:tcPr/>
          <w:p>
            <w:pPr>
              <w:pStyle w:val="Compact"/>
              <w:jc w:val="left"/>
            </w:pPr>
            <w:r>
              <w:t xml:space="preserve">100s t/d central</w:t>
            </w:r>
          </w:p>
        </w:tc>
        <w:tc>
          <w:tcPr/>
          <w:p>
            <w:pPr>
              <w:pStyle w:val="Compact"/>
              <w:jc w:val="left"/>
            </w:pPr>
            <w:r>
              <w:rPr>
                <w:bCs/>
                <w:b/>
              </w:rPr>
              <w:t xml:space="preserve">$1,110–1,610/ton PFAS wastes</w:t>
            </w:r>
            <w:r>
              <w:t xml:space="preserve"> </w:t>
            </w:r>
            <w:r>
              <w:t xml:space="preserve">(~$4.2–6.1/gal aqueous) [^D11-20^]</w:t>
            </w:r>
          </w:p>
        </w:tc>
        <w:tc>
          <w:tcPr/>
          <w:p>
            <w:pPr>
              <w:pStyle w:val="Compact"/>
              <w:jc w:val="left"/>
            </w:pPr>
            <w:r>
              <w:t xml:space="preserve">Fuel-fired</w:t>
            </w:r>
          </w:p>
        </w:tc>
        <w:tc>
          <w:tcPr/>
          <w:p>
            <w:pPr>
              <w:pStyle w:val="Compact"/>
              <w:jc w:val="left"/>
            </w:pPr>
            <w:r>
              <w:t xml:space="preserve">9</w:t>
            </w:r>
          </w:p>
        </w:tc>
        <w:tc>
          <w:tcPr/>
          <w:p>
            <w:pPr>
              <w:pStyle w:val="Compact"/>
              <w:jc w:val="left"/>
            </w:pPr>
            <w:r>
              <w:t xml:space="preserve">~24 permitted US combustors at 88–92% utilization; first new unit in 30 years; Title V/MACT permitting wall [^D5-4^][^D5-6^][^D5-13^]</w:t>
            </w:r>
          </w:p>
        </w:tc>
      </w:tr>
      <w:tr>
        <w:tc>
          <w:tcPr/>
          <w:p>
            <w:pPr>
              <w:pStyle w:val="Compact"/>
              <w:jc w:val="left"/>
            </w:pPr>
            <w:r>
              <w:t xml:space="preserve">SCWO literature, at scale</w:t>
            </w:r>
          </w:p>
        </w:tc>
        <w:tc>
          <w:tcPr/>
          <w:p>
            <w:pPr>
              <w:pStyle w:val="Compact"/>
              <w:jc w:val="left"/>
            </w:pPr>
            <w:r>
              <w:t xml:space="preserve">1 t/h-class plants</w:t>
            </w:r>
          </w:p>
        </w:tc>
        <w:tc>
          <w:tcPr/>
          <w:p>
            <w:pPr>
              <w:pStyle w:val="Compact"/>
              <w:jc w:val="left"/>
            </w:pPr>
            <w:r>
              <w:t xml:space="preserve">$0.04–0.37/gal slurries; $46–57/tonne transpiring-wall models; LCOW $2.2–7/m³ SCWO-desal [^D11-16^][^D11-18^][^D11-35^]</w:t>
            </w:r>
          </w:p>
        </w:tc>
        <w:tc>
          <w:tcPr/>
          <w:p>
            <w:pPr>
              <w:pStyle w:val="Compact"/>
              <w:jc w:val="left"/>
            </w:pPr>
            <w:r>
              <w:t xml:space="preserve">Autothermal &gt;~30 g/L organics [^D11-35^]</w:t>
            </w:r>
          </w:p>
        </w:tc>
        <w:tc>
          <w:tcPr/>
          <w:p>
            <w:pPr>
              <w:pStyle w:val="Compact"/>
              <w:jc w:val="left"/>
            </w:pPr>
            <w:r>
              <w:t xml:space="preserve">n/a</w:t>
            </w:r>
          </w:p>
        </w:tc>
        <w:tc>
          <w:tcPr/>
          <w:p>
            <w:pPr>
              <w:pStyle w:val="Compact"/>
              <w:jc w:val="left"/>
            </w:pPr>
            <w:r>
              <w:t xml:space="preserve">Projections, not field data</w:t>
            </w:r>
          </w:p>
        </w:tc>
      </w:tr>
    </w:tbl>
    <w:p>
      <w:pPr>
        <w:pStyle w:val="BodyText"/>
      </w:pPr>
      <w:r>
        <w:t xml:space="preserve">The table encodes the strategic picture. On cost, the HCSP’s realistic $0.50–1.50/gal all-in at skid scale sits far below incineration’s $4.2–6.1/gal equivalent for aqueous PFAS wastes and below incumbent per-gallon disposal for halogenated solvents ($15–20+/gal), while sitting above electrochemical oxidation on dilute streams — meaning the HCSP wins on</w:t>
      </w:r>
      <w:r>
        <w:t xml:space="preserve"> </w:t>
      </w:r>
      <w:r>
        <w:rPr>
          <w:iCs/>
          <w:i/>
        </w:rPr>
        <w:t xml:space="preserve">concentrated, hazardous</w:t>
      </w:r>
      <w:r>
        <w:t xml:space="preserve"> </w:t>
      </w:r>
      <w:r>
        <w:t xml:space="preserve">streams and loses on dilute ones, exactly as the autothermal physics of §1.2.1 predicts.[^D5-15^] On energy, the field splits into low-intensity ambient technologies (EOx at 10–26 kWh/m³, dilute-only) and thermal technologies (SCWO, HALT, plasma at 264–2,370 kWh/m³) that tolerate salts, slurries, and high-strength feeds; the HCSP departs from this axis altogether: its 75–95 kW specification covers startup and auxiliary loads, the self-fueling hydrogen loop sustains the reactor in operation per the manufacturer, and the grid-fed field band (~294–500 kWh/m³) for incumbent thermal options serves only as a conservative downside bound — with publication of the working prototype’s measured energy performance as the evidence step that makes the design bankable.[^S1^][^D11-19^] On maturity, incineration’s TRL 9 is offset by its permitting wall: roughly two dozen permitted US combustors running at 88–92% utilization, with one new unit permitted in three decades and Clean Harbors raising prices 5–7% per year — precisely the capacity-constrained incumbent a sealed, air-permit-free skid exploits.[^D5-6^][^D5-13^] The HCSP’s positioning is therefore not</w:t>
      </w:r>
      <w:r>
        <w:t xml:space="preserve"> </w:t>
      </w:r>
      <w:r>
        <w:t xml:space="preserve">“</w:t>
      </w:r>
      <w:r>
        <w:t xml:space="preserve">cheaper treatment</w:t>
      </w:r>
      <w:r>
        <w:t xml:space="preserve">”</w:t>
      </w:r>
      <w:r>
        <w:t xml:space="preserve"> </w:t>
      </w:r>
      <w:r>
        <w:t xml:space="preserve">but</w:t>
      </w:r>
      <w:r>
        <w:t xml:space="preserve"> </w:t>
      </w:r>
      <w:r>
        <w:rPr>
          <w:bCs/>
          <w:b/>
        </w:rPr>
        <w:t xml:space="preserve">on-site destruction under a permitting and liability umbrella the incumbents cannot match</w:t>
      </w:r>
      <w:r>
        <w:t xml:space="preserve"> </w:t>
      </w:r>
      <w:r>
        <w:t xml:space="preserve">— the value proposition that drives the industry-by-industry scoring in the chapters that follow.</w:t>
      </w:r>
    </w:p>
    <w:bookmarkEnd w:id="41"/>
    <w:bookmarkEnd w:id="42"/>
    <w:bookmarkEnd w:id="43"/>
    <w:bookmarkStart w:id="48" w:name="evaluation-framework"/>
    <w:p>
      <w:pPr>
        <w:pStyle w:val="Heading1"/>
      </w:pPr>
      <w:r>
        <w:t xml:space="preserve">2. Evaluation Framework</w:t>
      </w:r>
    </w:p>
    <w:p>
      <w:pPr>
        <w:pStyle w:val="FirstParagraph"/>
      </w:pPr>
      <w:r>
        <w:t xml:space="preserve">The central question of this report — which industries capture the most value from HCSP — cannot be answered by market size alone. A large wastewater market with cheap incumbent disposal options is worth less to HCSP than a small one where the alternative is a $50-per-gallon incineration invoice. We therefore score each industry on six criteria that, together, predict whether a buyer will pay HCSP’s destruction-based economics rather than defaulting to cheaper physics. The framework is deliberately weighted toward</w:t>
      </w:r>
      <w:r>
        <w:t xml:space="preserve"> </w:t>
      </w:r>
      <w:r>
        <w:rPr>
          <w:iCs/>
          <w:i/>
        </w:rPr>
        <w:t xml:space="preserve">pain</w:t>
      </w:r>
      <w:r>
        <w:t xml:space="preserve"> </w:t>
      </w:r>
      <w:r>
        <w:t xml:space="preserve">(what the buyer pays or risks today) over</w:t>
      </w:r>
      <w:r>
        <w:t xml:space="preserve"> </w:t>
      </w:r>
      <w:r>
        <w:rPr>
          <w:iCs/>
          <w:i/>
        </w:rPr>
        <w:t xml:space="preserve">potential</w:t>
      </w:r>
      <w:r>
        <w:t xml:space="preserve"> </w:t>
      </w:r>
      <w:r>
        <w:t xml:space="preserve">(what the technology could do in principle), because the preceding chapter established that even a deliberately conservative energy allowance of roughly $15–20/m³ in the United States — the briefing’s 75–95 kW startup/auxiliary specification applied as if continuous, though the manufacturer states the self-fueling hydrogen loop runs with negligible net energy cost in operation [^S1^] — stands against a water-replacement value of only ~$3.5/m³, ruling out any business case built on water sales.[^D12-64^][^D12-1^]</w:t>
      </w:r>
    </w:p>
    <w:bookmarkStart w:id="45" w:name="scoring-methodology"/>
    <w:p>
      <w:pPr>
        <w:pStyle w:val="Heading3"/>
      </w:pPr>
      <w:r>
        <w:t xml:space="preserve">2.1 Scoring Methodology</w:t>
      </w:r>
    </w:p>
    <w:bookmarkStart w:id="44" w:name="six-criteria"/>
    <w:p>
      <w:pPr>
        <w:pStyle w:val="Heading4"/>
      </w:pPr>
      <w:r>
        <w:t xml:space="preserve">2.1.1 Six criteria</w:t>
      </w:r>
    </w:p>
    <w:p>
      <w:pPr>
        <w:pStyle w:val="FirstParagraph"/>
      </w:pPr>
      <w:r>
        <w:t xml:space="preserve">Each industry is scored 0–10 on six criteria; scores are then normalized to a composite /10 attractiveness index, which Chapter 3 applies to produce the industry league table. No single criterion can carry an industry: a high-disposal-cost stream that is too dilute fails on physics, and a perfectly concentrated stream in a market with no regulatory compulsion fails on willingness to pay. The six criteria, their definitions, and one concrete evidence anchor each are set out below.</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What it measures</w:t>
            </w:r>
          </w:p>
        </w:tc>
        <w:tc>
          <w:tcPr/>
          <w:p>
            <w:pPr>
              <w:pStyle w:val="Compact"/>
              <w:jc w:val="left"/>
            </w:pPr>
            <w:r>
              <w:t xml:space="preserve">Why it matters</w:t>
            </w:r>
          </w:p>
        </w:tc>
        <w:tc>
          <w:tcPr/>
          <w:p>
            <w:pPr>
              <w:pStyle w:val="Compact"/>
              <w:jc w:val="left"/>
            </w:pPr>
            <w:r>
              <w:t xml:space="preserve">Example evidence anchor</w:t>
            </w:r>
          </w:p>
        </w:tc>
      </w:tr>
      <w:tr>
        <w:tc>
          <w:tcPr/>
          <w:p>
            <w:pPr>
              <w:pStyle w:val="Compact"/>
              <w:jc w:val="left"/>
            </w:pPr>
            <w:r>
              <w:t xml:space="preserve">1</w:t>
            </w:r>
          </w:p>
        </w:tc>
        <w:tc>
          <w:tcPr/>
          <w:p>
            <w:pPr>
              <w:pStyle w:val="Compact"/>
              <w:jc w:val="left"/>
            </w:pPr>
            <w:r>
              <w:t xml:space="preserve">Baseline disposal cost</w:t>
            </w:r>
          </w:p>
        </w:tc>
        <w:tc>
          <w:tcPr/>
          <w:p>
            <w:pPr>
              <w:pStyle w:val="Compact"/>
              <w:jc w:val="left"/>
            </w:pPr>
            <w:r>
              <w:t xml:space="preserve">The $/gal or $/ton the buyer pays today for the incumbent disposal route (incineration, hazardous landfill, hauling, sewer surcharge)</w:t>
            </w:r>
          </w:p>
        </w:tc>
        <w:tc>
          <w:tcPr/>
          <w:p>
            <w:pPr>
              <w:pStyle w:val="Compact"/>
              <w:jc w:val="left"/>
            </w:pPr>
            <w:r>
              <w:t xml:space="preserve">HCSP’s conservative energy allowance is ~$0.07–0.09/gal (negligible net energy cost in operation per the manufacturer’s self-fueling design [^S1^]); the wider the gap to incumbent pricing, the faster the payback and the more pricing headroom for a service model</w:t>
            </w:r>
          </w:p>
        </w:tc>
        <w:tc>
          <w:tcPr/>
          <w:p>
            <w:pPr>
              <w:pStyle w:val="Compact"/>
              <w:jc w:val="left"/>
            </w:pPr>
            <w:r>
              <w:t xml:space="preserve">Halogenated-solvent incineration and PFAS-waste destruction benchmark at</w:t>
            </w:r>
            <w:r>
              <w:t xml:space="preserve"> </w:t>
            </w:r>
            <w:r>
              <w:rPr>
                <w:bCs/>
                <w:b/>
              </w:rPr>
              <w:t xml:space="preserve">$1,110–1,610/ton</w:t>
            </w:r>
            <w:r>
              <w:t xml:space="preserve"> </w:t>
            </w:r>
            <w:r>
              <w:t xml:space="preserve">— versus $55/ton municipal tipping — creating a 20× price umbrella under which on-site destruction recovers its costs within months [^D11-20^]</w:t>
            </w:r>
          </w:p>
        </w:tc>
      </w:tr>
      <w:tr>
        <w:tc>
          <w:tcPr/>
          <w:p>
            <w:pPr>
              <w:pStyle w:val="Compact"/>
              <w:jc w:val="left"/>
            </w:pPr>
            <w:r>
              <w:t xml:space="preserve">2</w:t>
            </w:r>
          </w:p>
        </w:tc>
        <w:tc>
          <w:tcPr/>
          <w:p>
            <w:pPr>
              <w:pStyle w:val="Compact"/>
              <w:jc w:val="left"/>
            </w:pPr>
            <w:r>
              <w:t xml:space="preserve">Regulatory compulsion</w:t>
            </w:r>
          </w:p>
        </w:tc>
        <w:tc>
          <w:tcPr/>
          <w:p>
            <w:pPr>
              <w:pStyle w:val="Compact"/>
              <w:jc w:val="left"/>
            </w:pPr>
            <w:r>
              <w:t xml:space="preserve">Whether law or permit forces destruction/reuse (MCLs, ZLD mandates, closure orders, EPR), and whether those mandates survived the 2025–26 policy review</w:t>
            </w:r>
          </w:p>
        </w:tc>
        <w:tc>
          <w:tcPr/>
          <w:p>
            <w:pPr>
              <w:pStyle w:val="Compact"/>
              <w:jc w:val="left"/>
            </w:pPr>
            <w:r>
              <w:t xml:space="preserve">Voluntary sustainability spending evaporates in downturns; mandated destruction converts directly into procurement</w:t>
            </w:r>
          </w:p>
        </w:tc>
        <w:tc>
          <w:tcPr/>
          <w:p>
            <w:pPr>
              <w:pStyle w:val="Compact"/>
              <w:jc w:val="left"/>
            </w:pPr>
            <w:r>
              <w:t xml:space="preserve">India’s CPCB/NGT zero-liquid-discharge (ZLD) regime has produced</w:t>
            </w:r>
            <w:r>
              <w:t xml:space="preserve"> </w:t>
            </w:r>
            <w:r>
              <w:rPr>
                <w:bCs/>
                <w:b/>
              </w:rPr>
              <w:t xml:space="preserve">400+ closure orders</w:t>
            </w:r>
            <w:r>
              <w:t xml:space="preserve"> </w:t>
            </w:r>
            <w:r>
              <w:t xml:space="preserve">against textile units with 30–45-day enforcement timelines — compulsion that made Tirupur a functioning ZLD market, not an aspirational one [^D12-58^]</w:t>
            </w:r>
          </w:p>
        </w:tc>
      </w:tr>
      <w:tr>
        <w:tc>
          <w:tcPr/>
          <w:p>
            <w:pPr>
              <w:pStyle w:val="Compact"/>
              <w:jc w:val="left"/>
            </w:pPr>
            <w:r>
              <w:t xml:space="preserve">3</w:t>
            </w:r>
          </w:p>
        </w:tc>
        <w:tc>
          <w:tcPr/>
          <w:p>
            <w:pPr>
              <w:pStyle w:val="Compact"/>
              <w:jc w:val="left"/>
            </w:pPr>
            <w:r>
              <w:t xml:space="preserve">Stream concentration fit</w:t>
            </w:r>
          </w:p>
        </w:tc>
        <w:tc>
          <w:tcPr/>
          <w:p>
            <w:pPr>
              <w:pStyle w:val="Compact"/>
              <w:jc w:val="left"/>
            </w:pPr>
            <w:r>
              <w:t xml:space="preserve">Whether the feed’s chemical oxygen demand (COD) approaches the autothermal threshold (~60–150 g/L), or can be concentrated upstream</w:t>
            </w:r>
          </w:p>
        </w:tc>
        <w:tc>
          <w:tcPr/>
          <w:p>
            <w:pPr>
              <w:pStyle w:val="Compact"/>
              <w:jc w:val="left"/>
            </w:pPr>
            <w:r>
              <w:t xml:space="preserve">Concentration is the single best predictor of technical-economic fit: below threshold, HCSP is an energy sink; above it, reaction exotherm offsets preheat</w:t>
            </w:r>
          </w:p>
        </w:tc>
        <w:tc>
          <w:tcPr/>
          <w:p>
            <w:pPr>
              <w:pStyle w:val="Compact"/>
              <w:jc w:val="left"/>
            </w:pPr>
            <w:r>
              <w:t xml:space="preserve">Peer-reviewed techno-economics show SCWO becomes autothermal above ~30 g/L organics and can reach</w:t>
            </w:r>
            <w:r>
              <w:t xml:space="preserve"> </w:t>
            </w:r>
            <w:r>
              <w:rPr>
                <w:bCs/>
                <w:b/>
              </w:rPr>
              <w:t xml:space="preserve">net power export at ~53 g/L</w:t>
            </w:r>
            <w:r>
              <w:t xml:space="preserve"> </w:t>
            </w:r>
            <w:r>
              <w:t xml:space="preserve">— while a dilute stream at 0.2 g/L (typical indoor-agriculture runoff) would consume 180–228 kWh/m³ with no offsetting exotherm [^D11-35^][^D12-64^]</w:t>
            </w:r>
          </w:p>
        </w:tc>
      </w:tr>
      <w:tr>
        <w:tc>
          <w:tcPr/>
          <w:p>
            <w:pPr>
              <w:pStyle w:val="Compact"/>
              <w:jc w:val="left"/>
            </w:pPr>
            <w:r>
              <w:t xml:space="preserve">4</w:t>
            </w:r>
          </w:p>
        </w:tc>
        <w:tc>
          <w:tcPr/>
          <w:p>
            <w:pPr>
              <w:pStyle w:val="Compact"/>
              <w:jc w:val="left"/>
            </w:pPr>
            <w:r>
              <w:t xml:space="preserve">Water-reuse value</w:t>
            </w:r>
          </w:p>
        </w:tc>
        <w:tc>
          <w:tcPr/>
          <w:p>
            <w:pPr>
              <w:pStyle w:val="Compact"/>
              <w:jc w:val="left"/>
            </w:pPr>
            <w:r>
              <w:t xml:space="preserve">The local value of HCSP’s distilled-water output (tariffs, scarcity repricing, reuse mandates)</w:t>
            </w:r>
          </w:p>
        </w:tc>
        <w:tc>
          <w:tcPr/>
          <w:p>
            <w:pPr>
              <w:pStyle w:val="Compact"/>
              <w:jc w:val="left"/>
            </w:pPr>
            <w:r>
              <w:t xml:space="preserve">Water value is a</w:t>
            </w:r>
            <w:r>
              <w:t xml:space="preserve"> </w:t>
            </w:r>
            <w:r>
              <w:rPr>
                <w:iCs/>
                <w:i/>
              </w:rPr>
              <w:t xml:space="preserve">credit</w:t>
            </w:r>
            <w:r>
              <w:t xml:space="preserve">, never the product — but in high-tariff or mandated-reuse regions it materially improves net unit economics</w:t>
            </w:r>
          </w:p>
        </w:tc>
        <w:tc>
          <w:tcPr/>
          <w:p>
            <w:pPr>
              <w:pStyle w:val="Compact"/>
              <w:jc w:val="left"/>
            </w:pPr>
            <w:r>
              <w:t xml:space="preserve">Singapore’s NEWater price of</w:t>
            </w:r>
            <w:r>
              <w:t xml:space="preserve"> </w:t>
            </w:r>
            <w:r>
              <w:rPr>
                <w:bCs/>
                <w:b/>
              </w:rPr>
              <w:t xml:space="preserve">S$2.50/m³</w:t>
            </w:r>
            <w:r>
              <w:t xml:space="preserve"> </w:t>
            </w:r>
            <w:r>
              <w:t xml:space="preserve">(~US$1.85) and US combined water+sewer of ~$3.53/m³ cap the reuse credit well below even the conservative energy allowance — confirming destruction must carry the business case, with water as a byproduct credit [^D12-14^][^D12-1^]</w:t>
            </w:r>
          </w:p>
        </w:tc>
      </w:tr>
      <w:tr>
        <w:tc>
          <w:tcPr/>
          <w:p>
            <w:pPr>
              <w:pStyle w:val="Compact"/>
              <w:jc w:val="left"/>
            </w:pPr>
            <w:r>
              <w:t xml:space="preserve">5</w:t>
            </w:r>
          </w:p>
        </w:tc>
        <w:tc>
          <w:tcPr/>
          <w:p>
            <w:pPr>
              <w:pStyle w:val="Compact"/>
              <w:jc w:val="left"/>
            </w:pPr>
            <w:r>
              <w:t xml:space="preserve">Scale match to 10 m³/day</w:t>
            </w:r>
          </w:p>
        </w:tc>
        <w:tc>
          <w:tcPr/>
          <w:p>
            <w:pPr>
              <w:pStyle w:val="Compact"/>
              <w:jc w:val="left"/>
            </w:pPr>
            <w:r>
              <w:t xml:space="preserve">Whether target sites generate concentrated streams in the 1–50 m³/day band a modular skid (or a few) can serve, without plant-scale infrastructure</w:t>
            </w:r>
          </w:p>
        </w:tc>
        <w:tc>
          <w:tcPr/>
          <w:p>
            <w:pPr>
              <w:pStyle w:val="Compact"/>
              <w:jc w:val="left"/>
            </w:pPr>
            <w:r>
              <w:t xml:space="preserve">Mismatch kills deals in both directions: 10 m³/day is trivial against a refinery’s bulk effluent but oversized against a craft brewery’s whole discharge</w:t>
            </w:r>
          </w:p>
        </w:tc>
        <w:tc>
          <w:tcPr/>
          <w:p>
            <w:pPr>
              <w:pStyle w:val="Compact"/>
              <w:jc w:val="left"/>
            </w:pPr>
            <w:r>
              <w:t xml:space="preserve">India’s ZLD rules formally bite at &gt;25 m³/day discharge, yet</w:t>
            </w:r>
            <w:r>
              <w:t xml:space="preserve"> </w:t>
            </w:r>
            <w:r>
              <w:rPr>
                <w:bCs/>
                <w:b/>
              </w:rPr>
              <w:t xml:space="preserve">cluster-level enforcement applies irrespective of volume</w:t>
            </w:r>
            <w:r>
              <w:t xml:space="preserve"> </w:t>
            </w:r>
            <w:r>
              <w:t xml:space="preserve">— placing thousands of small textile and dye units inside the mandate and squarely in HCSP’s single-skid range [^D12-63^]</w:t>
            </w:r>
          </w:p>
        </w:tc>
      </w:tr>
      <w:tr>
        <w:tc>
          <w:tcPr/>
          <w:p>
            <w:pPr>
              <w:pStyle w:val="Compact"/>
              <w:jc w:val="left"/>
            </w:pPr>
            <w:r>
              <w:t xml:space="preserve">6</w:t>
            </w:r>
          </w:p>
        </w:tc>
        <w:tc>
          <w:tcPr/>
          <w:p>
            <w:pPr>
              <w:pStyle w:val="Compact"/>
              <w:jc w:val="left"/>
            </w:pPr>
            <w:r>
              <w:t xml:space="preserve">Competitive whitespace</w:t>
            </w:r>
          </w:p>
        </w:tc>
        <w:tc>
          <w:tcPr/>
          <w:p>
            <w:pPr>
              <w:pStyle w:val="Compact"/>
              <w:jc w:val="left"/>
            </w:pPr>
            <w:r>
              <w:t xml:space="preserve">Whether incumbents are blocked, capacity-constrained, or reputationally damaged (air permits, moratoria, PIC concerns), and how crowded the destruction-technology field is</w:t>
            </w:r>
          </w:p>
        </w:tc>
        <w:tc>
          <w:tcPr/>
          <w:p>
            <w:pPr>
              <w:pStyle w:val="Compact"/>
              <w:jc w:val="left"/>
            </w:pPr>
            <w:r>
              <w:t xml:space="preserve">A</w:t>
            </w:r>
            <w:r>
              <w:t xml:space="preserve"> </w:t>
            </w:r>
            <w:r>
              <w:t xml:space="preserve">“</w:t>
            </w:r>
            <w:r>
              <w:t xml:space="preserve">no air permit</w:t>
            </w:r>
            <w:r>
              <w:t xml:space="preserve">”</w:t>
            </w:r>
            <w:r>
              <w:t xml:space="preserve"> </w:t>
            </w:r>
            <w:r>
              <w:t xml:space="preserve">sealed system monetizes the permitting wall that stops every new incinerator; whitespace determines margin durability</w:t>
            </w:r>
          </w:p>
        </w:tc>
        <w:tc>
          <w:tcPr/>
          <w:p>
            <w:pPr>
              <w:pStyle w:val="Compact"/>
              <w:jc w:val="left"/>
            </w:pPr>
            <w:r>
              <w:t xml:space="preserve">US EPA’s 2026 interim guidance still classes SCWO as emerging while ranking thermal treatment among preferred methods — yet commercial units operate today, meaning the window in which SCWO is proven-but-uncontested is open now and will close as guidance catches up [^D11-36^][^D11-12^]</w:t>
            </w:r>
          </w:p>
        </w:tc>
      </w:tr>
    </w:tbl>
    <w:p>
      <w:pPr>
        <w:pStyle w:val="BodyText"/>
      </w:pPr>
      <w:r>
        <w:rPr>
          <w:iCs/>
          <w:i/>
        </w:rPr>
        <w:t xml:space="preserve">Table 2.1. The six-criterion scoring framework, with one representative evidence anchor per criterion. Full scoring application appears in Chapter 3.</w:t>
      </w:r>
    </w:p>
    <w:p>
      <w:pPr>
        <w:pStyle w:val="BodyText"/>
      </w:pPr>
      <w:r>
        <w:t xml:space="preserve">Several properties of this framework deserve emphasis. First, the criteria are deliberately asymmetric: criteria 1–3 are</w:t>
      </w:r>
      <w:r>
        <w:t xml:space="preserve"> </w:t>
      </w:r>
      <w:r>
        <w:rPr>
          <w:bCs/>
          <w:b/>
        </w:rPr>
        <w:t xml:space="preserve">physics and price gates</w:t>
      </w:r>
      <w:r>
        <w:t xml:space="preserve"> </w:t>
      </w:r>
      <w:r>
        <w:t xml:space="preserve">— an industry scoring low on any of them should be excluded regardless of its composite score — while criteria 4–6 are</w:t>
      </w:r>
      <w:r>
        <w:t xml:space="preserve"> </w:t>
      </w:r>
      <w:r>
        <w:rPr>
          <w:bCs/>
          <w:b/>
        </w:rPr>
        <w:t xml:space="preserve">differentiators</w:t>
      </w:r>
      <w:r>
        <w:t xml:space="preserve"> </w:t>
      </w:r>
      <w:r>
        <w:t xml:space="preserve">that rank otherwise-qualified industries. This structure is what correctly relegates indoor agriculture (the briefing’s anchor market) to a regulatory beachhead despite its large notional market: it fails gates 1 and 3 simultaneously. Second, the evidence anchors are drawn from primary or near-primary sources — regulator documents, SEC filings, peer-reviewed techno-economics — rather than vendor marketing; where the only available figure is a vendor projection (for example, $50/wet-ton biosolids at 30 t/day scale), it is used for triangulation, not as a scoring input.[^D11-17^] Third, scale match (criterion 5) is scored against</w:t>
      </w:r>
      <w:r>
        <w:t xml:space="preserve"> </w:t>
      </w:r>
      <w:r>
        <w:rPr>
          <w:iCs/>
          <w:i/>
        </w:rPr>
        <w:t xml:space="preserve">concentrated side-stream volume</w:t>
      </w:r>
      <w:r>
        <w:t xml:space="preserve">, not total site effluent: a semiconductor fab discharging thousands of m³/day may still score well if its destructible solvent or PFAS-concentrate side-stream sits in the single-digit m³/day range. The practical consequence for leadership is that the league table in Chapter 3 is a</w:t>
      </w:r>
      <w:r>
        <w:t xml:space="preserve"> </w:t>
      </w:r>
      <w:r>
        <w:rPr>
          <w:bCs/>
          <w:b/>
        </w:rPr>
        <w:t xml:space="preserve">screening tool, not a ranking of market sizes</w:t>
      </w:r>
      <w:r>
        <w:t xml:space="preserve"> </w:t>
      </w:r>
      <w:r>
        <w:t xml:space="preserve">— and the commercial team should treat any bottom-quartile industry as a no-bid zone rather than a stretch target.</w:t>
      </w:r>
    </w:p>
    <w:p>
      <w:pPr>
        <w:pStyle w:val="BodyText"/>
      </w:pPr>
      <w:r>
        <w:t xml:space="preserve">Scores are assigned on a 0–10 scale per criterion using the dimension-report evidence, then averaged with the three gate criteria carrying veto power as described above. Composite scores are normalized to /10 to preserve comparability with the cross-verified industry index developed during research; the resulting scores (e.g., PFAS destruction 8.0, defense/maritime 7.5, indoor agriculture 4.2) are presented and defended in Chapter 3 rather than here.</w:t>
      </w:r>
    </w:p>
    <w:bookmarkEnd w:id="44"/>
    <w:bookmarkEnd w:id="45"/>
    <w:bookmarkStart w:id="47" w:name="evidence-base"/>
    <w:p>
      <w:pPr>
        <w:pStyle w:val="Heading3"/>
      </w:pPr>
      <w:r>
        <w:t xml:space="preserve">2.2 Evidence Base</w:t>
      </w:r>
    </w:p>
    <w:bookmarkStart w:id="46" w:name="X9aeb7e8b6ae4bd9b4cafa43fd7c15a5fc6783e4"/>
    <w:p>
      <w:pPr>
        <w:pStyle w:val="Heading4"/>
      </w:pPr>
      <w:r>
        <w:t xml:space="preserve">2.2.1 Twelve research dimensions, confidence tiers, and conflict-zone handling</w:t>
      </w:r>
    </w:p>
    <w:p>
      <w:pPr>
        <w:pStyle w:val="FirstParagraph"/>
      </w:pPr>
      <w:r>
        <w:t xml:space="preserve">This report rests on twelve independent research dimensions covering, per industry: market sizing, regulatory drivers, stream chemistry, incumbent disposal costs, and regional economics — plus two technology dimensions that benchmark HCSP against the actual SCWO competitive field and map its regional energy benchmarks.[^D11-1^][^D12-9^] Each dimension graded its own claims, and a cross-verification pass then consolidated every material finding into four confidence tiers. The tiers are used throughout this report as follows:</w:t>
      </w:r>
    </w:p>
    <w:p>
      <w:pPr>
        <w:numPr>
          <w:ilvl w:val="0"/>
          <w:numId w:val="1001"/>
        </w:numPr>
        <w:pStyle w:val="Compact"/>
      </w:pPr>
      <w:r>
        <w:rPr>
          <w:bCs/>
          <w:b/>
        </w:rPr>
        <w:t xml:space="preserve">High confidence</w:t>
      </w:r>
      <w:r>
        <w:t xml:space="preserve"> </w:t>
      </w:r>
      <w:r>
        <w:t xml:space="preserve">— confirmed by two or more independent dimensions or anchored in primary sources (SEC filings, EPA documents, peer-reviewed studies). These findings are stated as conclusions; example: the 180–228 kWh/m³ startup/auxiliary electrical specification and the $1,110–1,610/ton incineration umbrella.[^D12-64^][^D11-20^]</w:t>
      </w:r>
    </w:p>
    <w:p>
      <w:pPr>
        <w:numPr>
          <w:ilvl w:val="0"/>
          <w:numId w:val="1001"/>
        </w:numPr>
        <w:pStyle w:val="Compact"/>
      </w:pPr>
      <w:r>
        <w:rPr>
          <w:bCs/>
          <w:b/>
        </w:rPr>
        <w:t xml:space="preserve">Medium confidence</w:t>
      </w:r>
      <w:r>
        <w:t xml:space="preserve"> </w:t>
      </w:r>
      <w:r>
        <w:t xml:space="preserve">— single-source or commercially estimated figures with definitional variance (e.g., global reuse market estimates of $17.9–21B for 2025 across four research houses). These are used with ranges and source attribution.[^D12-19^]</w:t>
      </w:r>
    </w:p>
    <w:p>
      <w:pPr>
        <w:numPr>
          <w:ilvl w:val="0"/>
          <w:numId w:val="1001"/>
        </w:numPr>
        <w:pStyle w:val="Compact"/>
      </w:pPr>
      <w:r>
        <w:rPr>
          <w:bCs/>
          <w:b/>
        </w:rPr>
        <w:t xml:space="preserve">Low confidence</w:t>
      </w:r>
      <w:r>
        <w:t xml:space="preserve"> </w:t>
      </w:r>
      <w:r>
        <w:t xml:space="preserve">— trade-press or marketing figures (e.g., a vendor’s</w:t>
      </w:r>
      <w:r>
        <w:t xml:space="preserve"> </w:t>
      </w:r>
      <w:r>
        <w:t xml:space="preserve">“</w:t>
      </w:r>
      <w:r>
        <w:t xml:space="preserve">$1.8B pipeline</w:t>
      </w:r>
      <w:r>
        <w:t xml:space="preserve">”</w:t>
      </w:r>
      <w:r>
        <w:t xml:space="preserve">) are flagged inline and excluded from scoring inputs.[^D11-8^]</w:t>
      </w:r>
    </w:p>
    <w:p>
      <w:pPr>
        <w:numPr>
          <w:ilvl w:val="0"/>
          <w:numId w:val="1001"/>
        </w:numPr>
        <w:pStyle w:val="Compact"/>
      </w:pPr>
      <w:r>
        <w:rPr>
          <w:bCs/>
          <w:b/>
        </w:rPr>
        <w:t xml:space="preserve">Conflict zones</w:t>
      </w:r>
      <w:r>
        <w:t xml:space="preserve"> </w:t>
      </w:r>
      <w:r>
        <w:t xml:space="preserve">— genuine disagreements between credible sources. These are</w:t>
      </w:r>
      <w:r>
        <w:t xml:space="preserve"> </w:t>
      </w:r>
      <w:r>
        <w:rPr>
          <w:bCs/>
          <w:b/>
        </w:rPr>
        <w:t xml:space="preserve">documented, not averaged away</w:t>
      </w:r>
      <w:r>
        <w:t xml:space="preserve">, because the disagreement itself is decision-relevant.</w:t>
      </w:r>
    </w:p>
    <w:p>
      <w:pPr>
        <w:pStyle w:val="FirstParagraph"/>
      </w:pPr>
      <w:r>
        <w:t xml:space="preserve">Two conflict zones illustrate the handling rule. First, the SCWO equipment market size spans $120M to $1.13B (2025) across research houses; we resolve this to a defensible $120–460M equipment market on taxonomy grounds (systems versus devices versus bundled services) and discard the $1.13B outlier as a low-authority aggregation — while noting the strategic conclusion (small market, 8–11% CAGR) is robust to the choice. Second, EPA’s April 2026 interim guidance calls SCWO</w:t>
      </w:r>
      <w:r>
        <w:t xml:space="preserve"> </w:t>
      </w:r>
      <w:r>
        <w:t xml:space="preserve">“</w:t>
      </w:r>
      <w:r>
        <w:t xml:space="preserve">commercially unproven at scale</w:t>
      </w:r>
      <w:r>
        <w:t xml:space="preserve">”</w:t>
      </w:r>
      <w:r>
        <w:t xml:space="preserve"> </w:t>
      </w:r>
      <w:r>
        <w:t xml:space="preserve">even as commercial units operate in the field; we treat this not as a contradiction to smooth over but as a</w:t>
      </w:r>
      <w:r>
        <w:t xml:space="preserve"> </w:t>
      </w:r>
      <w:r>
        <w:rPr>
          <w:bCs/>
          <w:b/>
        </w:rPr>
        <w:t xml:space="preserve">time-limited arbitrage</w:t>
      </w:r>
      <w:r>
        <w:t xml:space="preserve">: the gap between regulator perception and field reality is precisely the window in which early movers capture permitting advantage, and a guidance revision is a material de-risking event tracked as a scenario trigger in later chapters.[^D11-36^][^D11-11^]</w:t>
      </w:r>
    </w:p>
    <w:p>
      <w:pPr>
        <w:pStyle w:val="BodyText"/>
      </w:pPr>
      <w:r>
        <w:t xml:space="preserve">The evidence base has known limits that readers should hold in mind. SCWO cost and energy figures are strongly feed-dependent, and HCSP’s actual feed slate is not yet fixed; all $ /m³ floors in this report are conservative gross-electric ceilings before autothermal heat recovery.[^D12-64^] Third-party-verified destruction-cost data remain scarce industry-wide, so several competitor benchmarks are partially vendor-reported.[^D11-19^] Finally, US federal PFAS policy was in flux through 2025–26, making state-level mandates and liability (CERCLA, closure enforcement) the more reliable demand signal for the scoring that follows.[^D12-53^] These limitations argue for the framework’s gate-and-differentiator design: it is robust to exactly the uncertainties the evidence base cannot yet close, because it screens on physics and incumbent prices — the best-evidenced variables — before it ever relies on a market-size estimate.</w:t>
      </w:r>
    </w:p>
    <w:bookmarkEnd w:id="46"/>
    <w:bookmarkEnd w:id="47"/>
    <w:bookmarkEnd w:id="48"/>
    <w:bookmarkStart w:id="65" w:name="the-cross-industry-league-table"/>
    <w:p>
      <w:pPr>
        <w:pStyle w:val="Heading1"/>
      </w:pPr>
      <w:r>
        <w:t xml:space="preserve">3. The Cross-Industry League Table</w:t>
      </w:r>
    </w:p>
    <w:bookmarkStart w:id="53" w:name="X903d3c38a44f6859ceb599c228f3d7b7c153fa4"/>
    <w:p>
      <w:pPr>
        <w:pStyle w:val="Heading2"/>
      </w:pPr>
      <w:r>
        <w:t xml:space="preserve">3.1 The v2 Ranking: Fifteen Industries, One Physics Filter</w:t>
      </w:r>
    </w:p>
    <w:p>
      <w:pPr>
        <w:pStyle w:val="FirstParagraph"/>
      </w:pPr>
      <w:r>
        <w:t xml:space="preserve">Expanding the analysis from ten industries to fifteen — and expanding the product from a single 10 m³/day unit to a scalable family (10 / 100 / 1,000 / 1,900 m³/day) with power export and absorption-cooling trigeneration on concentrated feeds — changes the shape of the opportunity but not its organizing principle. The top of the ranking is stable: PFAS destruction (8.0/10), defense/maritime (7.5/10), and India’s zero-liquid-discharge (ZLD) textile clusters (7.4/10) remain the three markets where regulation-protected destruction pricing meets validated supercritical water oxidation (SCWO) evidence. What changes in v2 is the middle. Distillery/ethanol vinasse enters directly at 7.0 — the strongest new entrant — because its feed, its regulation, and its energy economics align simultaneously. Produced water, scored 3.5 in v1 and then inflated on an investor webpage into a</w:t>
      </w:r>
      <w:r>
        <w:t xml:space="preserve"> </w:t>
      </w:r>
      <w:r>
        <w:t xml:space="preserve">“</w:t>
      </w:r>
      <w:r>
        <w:t xml:space="preserve">$5/bbl, 1-million-barrel-per-day</w:t>
      </w:r>
      <w:r>
        <w:t xml:space="preserve">”</w:t>
      </w:r>
      <w:r>
        <w:t xml:space="preserve"> </w:t>
      </w:r>
      <w:r>
        <w:t xml:space="preserve">case that fails verification on every load-bearing input, is re-scored honestly at 4.75 as a regional hub niche. And data centers, the most-hyped adjacency, score just 3.0 as direct customers — their real value is as creditworthy offtakers of power and cooling from HCSP plants sited at someone else’s waste. This revision ranks the same fifteen verticals a second way — by what incumbents charge per gallon to remediate each stream — so the chapter now presents two lenses side by side: the composite league table (Sections 3.1–3.2), which asks where all demand forces align, and the cost-savings ladder (Section 3.3), which asks where the largest per-gallon savings pool sits. The two rankings agree at the very top but diverge instructively in the middle, and the divergence is itself a pricing-strategy finding.</w:t>
      </w:r>
    </w:p>
    <w:p>
      <w:pPr>
        <w:pStyle w:val="BodyText"/>
      </w:pPr>
      <w:r>
        <w:t xml:space="preserve">The two axes that sort all fifteen industries are feed concentration and disposal-price protection. Scale economics now give HCSP a working range from net energy demand of ~130–250 kWh/m³ at 10 m³/day down to 45–110 kWh/m³ at 1,000 m³/day, with net power export above roughly 60 g/L chemical oxygen demand (COD) and up to −60 kWhₑ/m³ at 150 g/L [^S1^]. Every market scoring 6.0 or above sits high on at least one axis; every market below 4.5 fails both.</w:t>
      </w:r>
    </w:p>
    <w:bookmarkStart w:id="52" w:name="X1400ff7350137a835dd1b70311e851b73093c71"/>
    <w:p>
      <w:pPr>
        <w:pStyle w:val="Heading3"/>
      </w:pPr>
      <w:r>
        <w:t xml:space="preserve">3.1.1 Master table: fifteen industries, weighted scores, tiers, and rationale</w:t>
      </w:r>
    </w:p>
    <w:p>
      <w:pPr>
        <w:pStyle w:val="FirstParagraph"/>
      </w:pPr>
      <w:r>
        <w:t xml:space="preserve">Scores are the cross-verified composites from the v2 verification study, each weighted across the six framework criteria of Chapter 2 (baseline disposal cost, regulatory compulsion, stream concentration fit, water-reuse value, scale match, competitive whitespace); new and revised scores are flagged.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 (target stream)</w:t>
            </w:r>
          </w:p>
        </w:tc>
        <w:tc>
          <w:tcPr/>
          <w:p>
            <w:pPr>
              <w:pStyle w:val="Compact"/>
              <w:jc w:val="left"/>
            </w:pPr>
            <w:r>
              <w:t xml:space="preserve">Score (/10)</w:t>
            </w:r>
          </w:p>
        </w:tc>
        <w:tc>
          <w:tcPr/>
          <w:p>
            <w:pPr>
              <w:pStyle w:val="Compact"/>
              <w:jc w:val="left"/>
            </w:pPr>
            <w:r>
              <w:t xml:space="preserve">Tier</w:t>
            </w:r>
          </w:p>
        </w:tc>
        <w:tc>
          <w:tcPr/>
          <w:p>
            <w:pPr>
              <w:pStyle w:val="Compact"/>
              <w:jc w:val="left"/>
            </w:pPr>
            <w:r>
              <w:t xml:space="preserve">One-line rationale</w:t>
            </w:r>
          </w:p>
        </w:tc>
      </w:tr>
      <w:tr>
        <w:tc>
          <w:tcPr/>
          <w:p>
            <w:pPr>
              <w:pStyle w:val="Compact"/>
              <w:jc w:val="left"/>
            </w:pPr>
            <w:r>
              <w:t xml:space="preserve">1</w:t>
            </w:r>
          </w:p>
        </w:tc>
        <w:tc>
          <w:tcPr/>
          <w:p>
            <w:pPr>
              <w:pStyle w:val="Compact"/>
              <w:jc w:val="left"/>
            </w:pPr>
            <w:r>
              <w:t xml:space="preserve">PFAS destruction (leachate concentrate, AFFF, ion-exchange brine)</w:t>
            </w:r>
          </w:p>
        </w:tc>
        <w:tc>
          <w:tcPr/>
          <w:p>
            <w:pPr>
              <w:pStyle w:val="Compact"/>
              <w:jc w:val="left"/>
            </w:pPr>
            <w:r>
              <w:rPr>
                <w:bCs/>
                <w:b/>
              </w:rPr>
              <w:t xml:space="preserve">8.0</w:t>
            </w:r>
          </w:p>
        </w:tc>
        <w:tc>
          <w:tcPr/>
          <w:p>
            <w:pPr>
              <w:pStyle w:val="Compact"/>
              <w:jc w:val="left"/>
            </w:pPr>
            <w:r>
              <w:t xml:space="preserve">1</w:t>
            </w:r>
          </w:p>
        </w:tc>
        <w:tc>
          <w:tcPr/>
          <w:p>
            <w:pPr>
              <w:pStyle w:val="Compact"/>
              <w:jc w:val="left"/>
            </w:pPr>
            <w:r>
              <w:t xml:space="preserve">Regulation survived political review; incumbents charge $1–28/gal to relocate rather than destroy; SCWO holds federally validated 99.9993% destruction evidence [^D4-24^][^D4-33^]</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1</w:t>
            </w:r>
          </w:p>
        </w:tc>
        <w:tc>
          <w:tcPr/>
          <w:p>
            <w:pPr>
              <w:pStyle w:val="Compact"/>
              <w:jc w:val="left"/>
            </w:pPr>
            <w:r>
              <w:t xml:space="preserve">DoD carries &gt;$9.3B in future PFAS cleanup plus a statutory AFFF phase-out to October 2026 generating destruction demand; SCWO already government-validated [^D9-1^][^D9-8^]</w:t>
            </w:r>
          </w:p>
        </w:tc>
      </w:tr>
      <w:tr>
        <w:tc>
          <w:tcPr/>
          <w:p>
            <w:pPr>
              <w:pStyle w:val="Compact"/>
              <w:jc w:val="left"/>
            </w:pPr>
            <w:r>
              <w:t xml:space="preserve">3</w:t>
            </w:r>
          </w:p>
        </w:tc>
        <w:tc>
          <w:tcPr/>
          <w:p>
            <w:pPr>
              <w:pStyle w:val="Compact"/>
              <w:jc w:val="left"/>
            </w:pPr>
            <w:r>
              <w:t xml:space="preserve">Textile/dyeing clusters (India ZLD wedge)</w:t>
            </w:r>
          </w:p>
        </w:tc>
        <w:tc>
          <w:tcPr/>
          <w:p>
            <w:pPr>
              <w:pStyle w:val="Compact"/>
              <w:jc w:val="left"/>
            </w:pPr>
            <w:r>
              <w:rPr>
                <w:bCs/>
                <w:b/>
              </w:rPr>
              <w:t xml:space="preserve">7.4</w:t>
            </w:r>
          </w:p>
        </w:tc>
        <w:tc>
          <w:tcPr/>
          <w:p>
            <w:pPr>
              <w:pStyle w:val="Compact"/>
              <w:jc w:val="left"/>
            </w:pPr>
            <w:r>
              <w:t xml:space="preserve">1</w:t>
            </w:r>
          </w:p>
        </w:tc>
        <w:tc>
          <w:tcPr/>
          <w:p>
            <w:pPr>
              <w:pStyle w:val="Compact"/>
              <w:jc w:val="left"/>
            </w:pPr>
            <w:r>
              <w:t xml:space="preserve">Court-enforced ZLD mandates and an unsolved sludge/brine disposal problem create forced demand; bulk effluent remains out of scope [^D10-18^]</w:t>
            </w:r>
          </w:p>
        </w:tc>
      </w:tr>
      <w:tr>
        <w:tc>
          <w:tcPr/>
          <w:p>
            <w:pPr>
              <w:pStyle w:val="Compact"/>
              <w:jc w:val="left"/>
            </w:pPr>
            <w:r>
              <w:t xml:space="preserve">4</w:t>
            </w:r>
          </w:p>
        </w:tc>
        <w:tc>
          <w:tcPr/>
          <w:p>
            <w:pPr>
              <w:pStyle w:val="Compact"/>
              <w:jc w:val="left"/>
            </w:pPr>
            <w:r>
              <w:t xml:space="preserve">Chemical / hazardous waste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Premium streams pay $15–50+/gal against incinerators at 88–92% utilization with almost no new capacity in three decades [^D5-15^][^D5-6^]</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Solvent/API disposal at $1.5–15/gal plus EU extended-producer-responsibility and AMR rules monetize destruction; paybacks 0.9–2.5 years [^D2-8^][^D2-24^][^D2-47^]</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Spent wash at 100–160 g/L COD is autothermal/export-grade feed, and India’s CPCB forces ~270 molasses distilleries into energy-hungry thermal ZLD that HCSP replaces while exporting power [^V2D3-22^][^V2D3-28^][^V2D3-29^]</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2</w:t>
            </w:r>
          </w:p>
        </w:tc>
        <w:tc>
          <w:tcPr/>
          <w:p>
            <w:pPr>
              <w:pStyle w:val="Compact"/>
              <w:jc w:val="left"/>
            </w:pPr>
            <w:r>
              <w:t xml:space="preserve">PFAS permit fights and $1.80–4.00/gal solvent/CMP side-streams are attractive niches; bulk fab effluent is a ~2/10 fit [^D3-33^][^D3-45^]</w:t>
            </w:r>
          </w:p>
        </w:tc>
      </w:tr>
      <w:tr>
        <w:tc>
          <w:tcPr/>
          <w:p>
            <w:pPr>
              <w:pStyle w:val="Compact"/>
              <w:jc w:val="left"/>
            </w:pPr>
            <w:r>
              <w:t xml:space="preserve">8</w:t>
            </w:r>
          </w:p>
        </w:tc>
        <w:tc>
          <w:tcPr/>
          <w:p>
            <w:pPr>
              <w:pStyle w:val="Compact"/>
              <w:jc w:val="left"/>
            </w:pPr>
            <w:r>
              <w:t xml:space="preserve">Municipal biosolids (crisis regions only; revised ↑)</w:t>
            </w:r>
          </w:p>
        </w:tc>
        <w:tc>
          <w:tcPr/>
          <w:p>
            <w:pPr>
              <w:pStyle w:val="Compact"/>
              <w:jc w:val="left"/>
            </w:pPr>
            <w:r>
              <w:rPr>
                <w:bCs/>
                <w:b/>
              </w:rPr>
              <w:t xml:space="preserve">6.6</w:t>
            </w:r>
          </w:p>
        </w:tc>
        <w:tc>
          <w:tcPr/>
          <w:p>
            <w:pPr>
              <w:pStyle w:val="Compact"/>
              <w:jc w:val="left"/>
            </w:pPr>
            <w:r>
              <w:t xml:space="preserve">2</w:t>
            </w:r>
          </w:p>
        </w:tc>
        <w:tc>
          <w:tcPr/>
          <w:p>
            <w:pPr>
              <w:pStyle w:val="Compact"/>
              <w:jc w:val="left"/>
            </w:pPr>
            <w:r>
              <w:t xml:space="preserve">A $4.8B/yr US disposal bill and PFAS-driven pathway collapse; scale and power export improve economics modestly, but procurement runs 3–7 years [^D6-35^][^D6-21^][^S1^]</w:t>
            </w:r>
          </w:p>
        </w:tc>
      </w:tr>
      <w:tr>
        <w:tc>
          <w:tcPr/>
          <w:p>
            <w:pPr>
              <w:pStyle w:val="Compact"/>
              <w:jc w:val="left"/>
            </w:pPr>
            <w:r>
              <w:t xml:space="preserve">9</w:t>
            </w:r>
          </w:p>
        </w:tc>
        <w:tc>
          <w:tcPr/>
          <w:p>
            <w:pPr>
              <w:pStyle w:val="Compact"/>
              <w:jc w:val="left"/>
            </w:pPr>
            <w:r>
              <w:t xml:space="preserve">Food &amp; beverage side-streams (revised ↑)</w:t>
            </w:r>
          </w:p>
        </w:tc>
        <w:tc>
          <w:tcPr/>
          <w:p>
            <w:pPr>
              <w:pStyle w:val="Compact"/>
              <w:jc w:val="left"/>
            </w:pPr>
            <w:r>
              <w:rPr>
                <w:bCs/>
                <w:b/>
              </w:rPr>
              <w:t xml:space="preserve">6.3</w:t>
            </w:r>
          </w:p>
        </w:tc>
        <w:tc>
          <w:tcPr/>
          <w:p>
            <w:pPr>
              <w:pStyle w:val="Compact"/>
              <w:jc w:val="left"/>
            </w:pPr>
            <w:r>
              <w:t xml:space="preserve">3</w:t>
            </w:r>
          </w:p>
        </w:tc>
        <w:tc>
          <w:tcPr/>
          <w:p>
            <w:pPr>
              <w:pStyle w:val="Compact"/>
              <w:jc w:val="left"/>
            </w:pPr>
            <w:r>
              <w:t xml:space="preserve">Anaerobic digestion owns bulk effluent; concentrated side-streams hauled at $45–120/1,000 gal pencil, and trigeneration cooling slots into existing ammonia refrigeration [^D7-E1^][^D7-E3^][^S1^]</w:t>
            </w:r>
          </w:p>
        </w:tc>
      </w:tr>
      <w:tr>
        <w:tc>
          <w:tcPr/>
          <w:p>
            <w:pPr>
              <w:pStyle w:val="Compact"/>
              <w:jc w:val="left"/>
            </w:pPr>
            <w:r>
              <w:t xml:space="preserve">10</w:t>
            </w:r>
          </w:p>
        </w:tc>
        <w:tc>
          <w:tcPr/>
          <w:p>
            <w:pPr>
              <w:pStyle w:val="Compact"/>
              <w:jc w:val="left"/>
            </w:pPr>
            <w:r>
              <w:t xml:space="preserve">Islands / resorts / coastal municipalities (</w:t>
            </w:r>
            <w:r>
              <w:rPr>
                <w:bCs/>
                <w:b/>
              </w:rPr>
              <w:t xml:space="preserve">NEW</w:t>
            </w:r>
            <w:r>
              <w:t xml:space="preserve">)</w:t>
            </w:r>
          </w:p>
        </w:tc>
        <w:tc>
          <w:tcPr/>
          <w:p>
            <w:pPr>
              <w:pStyle w:val="Compact"/>
              <w:jc w:val="left"/>
            </w:pPr>
            <w:r>
              <w:rPr>
                <w:bCs/>
                <w:b/>
              </w:rPr>
              <w:t xml:space="preserve">6.0</w:t>
            </w:r>
          </w:p>
        </w:tc>
        <w:tc>
          <w:tcPr/>
          <w:p>
            <w:pPr>
              <w:pStyle w:val="Compact"/>
              <w:jc w:val="left"/>
            </w:pPr>
            <w:r>
              <w:t xml:space="preserve">3</w:t>
            </w:r>
          </w:p>
        </w:tc>
        <w:tc>
          <w:tcPr/>
          <w:p>
            <w:pPr>
              <w:pStyle w:val="Compact"/>
              <w:jc w:val="left"/>
            </w:pPr>
            <w:r>
              <w:t xml:space="preserve">The only vertical where all three HCSP outputs price near global maximums — power $0.30–0.52/kWh, desal-parity water $2–5/m³ — but feed is dilute and needs FOG blending [^V2D3-36^][^V2D3-37^][^V2D3-38^]</w:t>
            </w:r>
          </w:p>
        </w:tc>
      </w:tr>
      <w:tr>
        <w:tc>
          <w:tcPr/>
          <w:p>
            <w:pPr>
              <w:pStyle w:val="Compact"/>
              <w:jc w:val="left"/>
            </w:pPr>
            <w:r>
              <w:t xml:space="preserve">11</w:t>
            </w:r>
          </w:p>
        </w:tc>
        <w:tc>
          <w:tcPr/>
          <w:p>
            <w:pPr>
              <w:pStyle w:val="Compact"/>
              <w:jc w:val="left"/>
            </w:pPr>
            <w:r>
              <w:t xml:space="preserve">Produced water (revised ↑, reframed)</w:t>
            </w:r>
          </w:p>
        </w:tc>
        <w:tc>
          <w:tcPr/>
          <w:p>
            <w:pPr>
              <w:pStyle w:val="Compact"/>
              <w:jc w:val="left"/>
            </w:pPr>
            <w:r>
              <w:rPr>
                <w:bCs/>
                <w:b/>
              </w:rPr>
              <w:t xml:space="preserve">4.75</w:t>
            </w:r>
          </w:p>
        </w:tc>
        <w:tc>
          <w:tcPr/>
          <w:p>
            <w:pPr>
              <w:pStyle w:val="Compact"/>
              <w:jc w:val="left"/>
            </w:pPr>
            <w:r>
              <w:t xml:space="preserve">3</w:t>
            </w:r>
          </w:p>
        </w:tc>
        <w:tc>
          <w:tcPr/>
          <w:p>
            <w:pPr>
              <w:pStyle w:val="Compact"/>
              <w:jc w:val="left"/>
            </w:pPr>
            <w:r>
              <w:t xml:space="preserve">Real only as 50–100k bbl/day hubs in Marcellus/Utica ($3–15/bbl trucking) or seismicity-constrained Permian pockets; the 1M bbl/day investor-page case fails verification [^V2D5-5^][^V2D5-18^][^S2^]</w:t>
            </w:r>
          </w:p>
        </w:tc>
      </w:tr>
      <w:tr>
        <w:tc>
          <w:tcPr/>
          <w:p>
            <w:pPr>
              <w:pStyle w:val="Compact"/>
              <w:jc w:val="left"/>
            </w:pPr>
            <w:r>
              <w:t xml:space="preserve">12</w:t>
            </w:r>
          </w:p>
        </w:tc>
        <w:tc>
          <w:tcPr/>
          <w:p>
            <w:pPr>
              <w:pStyle w:val="Compact"/>
              <w:jc w:val="left"/>
            </w:pPr>
            <w:r>
              <w:t xml:space="preserve">Indoor agriculture / CEA (revised ↑ marginally)</w:t>
            </w:r>
          </w:p>
        </w:tc>
        <w:tc>
          <w:tcPr/>
          <w:p>
            <w:pPr>
              <w:pStyle w:val="Compact"/>
              <w:jc w:val="left"/>
            </w:pPr>
            <w:r>
              <w:rPr>
                <w:bCs/>
                <w:b/>
              </w:rPr>
              <w:t xml:space="preserve">4.2</w:t>
            </w:r>
          </w:p>
        </w:tc>
        <w:tc>
          <w:tcPr/>
          <w:p>
            <w:pPr>
              <w:pStyle w:val="Compact"/>
              <w:jc w:val="left"/>
            </w:pPr>
            <w:r>
              <w:t xml:space="preserve">4</w:t>
            </w:r>
          </w:p>
        </w:tc>
        <w:tc>
          <w:tcPr/>
          <w:p>
            <w:pPr>
              <w:pStyle w:val="Compact"/>
              <w:jc w:val="left"/>
            </w:pPr>
            <w:r>
              <w:t xml:space="preserve">A ~99.8%-water stream far below the autothermal threshold, sold to distressed customers; cooling/water co-benefits help only at the margin [^D1-9^][^D1-40^]</w:t>
            </w:r>
          </w:p>
        </w:tc>
      </w:tr>
      <w:tr>
        <w:tc>
          <w:tcPr/>
          <w:p>
            <w:pPr>
              <w:pStyle w:val="Compact"/>
              <w:jc w:val="left"/>
            </w:pPr>
            <w:r>
              <w:t xml:space="preserve">13</w:t>
            </w:r>
          </w:p>
        </w:tc>
        <w:tc>
          <w:tcPr/>
          <w:p>
            <w:pPr>
              <w:pStyle w:val="Compact"/>
              <w:jc w:val="left"/>
            </w:pPr>
            <w:r>
              <w:t xml:space="preserve">CAFO manure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1.4B t/yr of feedstock but dilute (85–92% water), and digesters plus LCFS/RIN credits monetize the same story better; wedge is digestate elimination in land-constrained dairy belts [^V2D3-12^][^V2D3-18^][^V2D3-16^]</w:t>
            </w:r>
          </w:p>
        </w:tc>
      </w:tr>
      <w:tr>
        <w:tc>
          <w:tcPr/>
          <w:p>
            <w:pPr>
              <w:pStyle w:val="Compact"/>
              <w:jc w:val="left"/>
            </w:pPr>
            <w:r>
              <w:t xml:space="preserve">14</w:t>
            </w:r>
          </w:p>
        </w:tc>
        <w:tc>
          <w:tcPr/>
          <w:p>
            <w:pPr>
              <w:pStyle w:val="Compact"/>
              <w:jc w:val="left"/>
            </w:pPr>
            <w:r>
              <w:t xml:space="preserve">Mining / remote camps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High value per unit (diesel at $0.30–1.10/kWh, haul avoidance, water) but small organic volumes per site and bespoke, commodity-cycle procurement [^V2D3-32^]</w:t>
            </w:r>
          </w:p>
        </w:tc>
      </w:tr>
      <w:tr>
        <w:tc>
          <w:tcPr/>
          <w:p>
            <w:pPr>
              <w:pStyle w:val="Compact"/>
              <w:jc w:val="left"/>
            </w:pPr>
            <w:r>
              <w:t xml:space="preserve">15</w:t>
            </w:r>
          </w:p>
        </w:tc>
        <w:tc>
          <w:tcPr/>
          <w:p>
            <w:pPr>
              <w:pStyle w:val="Compact"/>
              <w:jc w:val="left"/>
            </w:pPr>
            <w:r>
              <w:t xml:space="preserve">Data centers (direct feed,</w:t>
            </w:r>
            <w:r>
              <w:t xml:space="preserve"> </w:t>
            </w:r>
            <w:r>
              <w:rPr>
                <w:bCs/>
                <w:b/>
              </w:rPr>
              <w:t xml:space="preserve">NEW</w:t>
            </w:r>
            <w:r>
              <w:t xml:space="preserve">)</w:t>
            </w:r>
          </w:p>
        </w:tc>
        <w:tc>
          <w:tcPr/>
          <w:p>
            <w:pPr>
              <w:pStyle w:val="Compact"/>
              <w:jc w:val="left"/>
            </w:pPr>
            <w:r>
              <w:rPr>
                <w:bCs/>
                <w:b/>
              </w:rPr>
              <w:t xml:space="preserve">3.0</w:t>
            </w:r>
          </w:p>
        </w:tc>
        <w:tc>
          <w:tcPr/>
          <w:p>
            <w:pPr>
              <w:pStyle w:val="Compact"/>
              <w:jc w:val="left"/>
            </w:pPr>
            <w:r>
              <w:t xml:space="preserve">4</w:t>
            </w:r>
          </w:p>
        </w:tc>
        <w:tc>
          <w:tcPr/>
          <w:p>
            <w:pPr>
              <w:pStyle w:val="Compact"/>
              <w:jc w:val="left"/>
            </w:pPr>
            <w:r>
              <w:t xml:space="preserve">On-site waste is inorganic cooling blowdown — not SCWO feed; the credible play is as offtaker of power/cooling/water from adjacent HCSP hosts [^V2D3-7^][^V2D3-9^]</w:t>
            </w:r>
          </w:p>
        </w:tc>
      </w:tr>
    </w:tbl>
    <w:p>
      <w:pPr>
        <w:pStyle w:val="BodyText"/>
      </w:pPr>
      <w:r>
        <w:t xml:space="preserve">Three features of the table deserve emphasis. First, the top of the ranking remains an</w:t>
      </w:r>
      <w:r>
        <w:t xml:space="preserve"> </w:t>
      </w:r>
      <w:r>
        <w:rPr>
          <w:iCs/>
          <w:i/>
        </w:rPr>
        <w:t xml:space="preserve">economics</w:t>
      </w:r>
      <w:r>
        <w:t xml:space="preserve"> </w:t>
      </w:r>
      <w:r>
        <w:t xml:space="preserve">verdict, not a technology verdict: every Tier 1 and Tier 2 market pairs a concentrated feed (COD at or above roughly 60–150 g/L, or a concentrate from an upstream separator) with an incumbent disposal price one to two orders of magnitude above HCSP’s conservative ~$0.07–0.09/gal energy allowance (negligible net energy cost in operation per the manufacturer’s self-fueling design [^S3^]). Distillery vinasse now joins that club on the same logic as PFAS — the feed is autothermal, the buyer is compliance-captive, and the incumbent is itself an energy-consuming thermal process. Second, the mid-table scores are</w:t>
      </w:r>
      <w:r>
        <w:t xml:space="preserve"> </w:t>
      </w:r>
      <w:r>
        <w:rPr>
          <w:iCs/>
          <w:i/>
        </w:rPr>
        <w:t xml:space="preserve">conditional</w:t>
      </w:r>
      <w:r>
        <w:t xml:space="preserve">: biosolids scores 6.6 only in disposal-crisis corridors, semiconductors 6.75 only for point-of-origin side-streams, islands 6.0 only with FOG/food-waste blending, and produced water 4.75 only at hub scale in high-cost basins — selling any of these as a whole-effluent or whole-basin product would drop them two to four points. Third, the v2 score movements are directionally informative even where small: every industry that gained (biosolids +0.2, F&amp;B +0.3, CEA +0.2, produced water +1.25) gained because scale, power export, or honest re-scoping improved the unit economics — none gained because the underlying demand logic changed.</w:t>
      </w:r>
    </w:p>
    <w:p>
      <w:pPr>
        <w:pStyle w:val="CaptionedFigure"/>
      </w:pPr>
      <w:r>
        <w:drawing>
          <wp:inline>
            <wp:extent cx="5334000" cy="4000500"/>
            <wp:effectExtent b="0" l="0" r="0" t="0"/>
            <wp:docPr descr="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 title="" id="50" name="Picture"/>
            <a:graphic>
              <a:graphicData uri="http://schemas.openxmlformats.org/drawingml/2006/picture">
                <pic:pic>
                  <pic:nvPicPr>
                    <pic:cNvPr descr="sec03_league_chart.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w:t>
      </w:r>
    </w:p>
    <w:p>
      <w:pPr>
        <w:pStyle w:val="BodyText"/>
      </w:pPr>
      <w:r>
        <w:t xml:space="preserve">The chart makes the strategic discontinuity visible. A dense band of eight markets between 6.6 and 8.0 — up from six in v1 — represents the monetizable core: destruction-priced, regulation-backed demand where the product family’s larger trains and trigeneration stack now add value rather than cost. Below the 6.5 line sits a conditional zone where geography or architecture decides the outcome, and below 4.5 a physics-constrained tail where no sales effort repeals dilution. Notably, the largest v2 movement — produced water’s +1.25 — still leaves it in the conditional zone, which is precisely the honest conclusion: a real niche exists, but it is a $0.2–0.5M bbl/day regional market, not the transformational basin-scale play previously advertised.</w:t>
      </w:r>
    </w:p>
    <w:bookmarkEnd w:id="52"/>
    <w:bookmarkEnd w:id="53"/>
    <w:bookmarkStart w:id="54" w:name="tier-structure-how-to-read-the-ranking"/>
    <w:p>
      <w:pPr>
        <w:pStyle w:val="Heading2"/>
      </w:pPr>
      <w:r>
        <w:t xml:space="preserve">3.2 Tier Structure: How to Read the Ranking</w:t>
      </w:r>
    </w:p>
    <w:p>
      <w:pPr>
        <w:pStyle w:val="FirstParagraph"/>
      </w:pPr>
      <w:r>
        <w:t xml:space="preserve">The fifteen scores collapse into four tiers with distinct commercial postures. The tiers, not the decimal points, should drive resource allocation: within-tier differences are smaller than the evidence uncertainty, but between-tier differences reflect structurally different demand drivers, sales cycles, and risk profiles.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Score band</w:t>
            </w:r>
          </w:p>
        </w:tc>
        <w:tc>
          <w:tcPr/>
          <w:p>
            <w:pPr>
              <w:pStyle w:val="Compact"/>
              <w:jc w:val="left"/>
            </w:pPr>
            <w:r>
              <w:t xml:space="preserve">Members</w:t>
            </w:r>
          </w:p>
        </w:tc>
        <w:tc>
          <w:tcPr/>
          <w:p>
            <w:pPr>
              <w:pStyle w:val="Compact"/>
              <w:jc w:val="left"/>
            </w:pPr>
            <w:r>
              <w:t xml:space="preserve">Demand driver</w:t>
            </w:r>
          </w:p>
        </w:tc>
        <w:tc>
          <w:tcPr/>
          <w:p>
            <w:pPr>
              <w:pStyle w:val="Compact"/>
              <w:jc w:val="left"/>
            </w:pPr>
            <w:r>
              <w:t xml:space="preserve">Commercial posture</w:t>
            </w:r>
          </w:p>
        </w:tc>
      </w:tr>
      <w:tr>
        <w:tc>
          <w:tcPr/>
          <w:p>
            <w:pPr>
              <w:pStyle w:val="Compact"/>
              <w:jc w:val="left"/>
            </w:pPr>
            <w:r>
              <w:rPr>
                <w:bCs/>
                <w:b/>
              </w:rPr>
              <w:t xml:space="preserve">Tier 1 — pursue now</w:t>
            </w:r>
          </w:p>
        </w:tc>
        <w:tc>
          <w:tcPr/>
          <w:p>
            <w:pPr>
              <w:pStyle w:val="Compact"/>
              <w:jc w:val="left"/>
            </w:pPr>
            <w:r>
              <w:t xml:space="preserve">≥ 7.4</w:t>
            </w:r>
          </w:p>
        </w:tc>
        <w:tc>
          <w:tcPr/>
          <w:p>
            <w:pPr>
              <w:pStyle w:val="Compact"/>
              <w:jc w:val="left"/>
            </w:pPr>
            <w:r>
              <w:t xml:space="preserve">PFAS destruction; defense/maritime; India textile ZLD</w:t>
            </w:r>
          </w:p>
        </w:tc>
        <w:tc>
          <w:tcPr/>
          <w:p>
            <w:pPr>
              <w:pStyle w:val="Compact"/>
              <w:jc w:val="left"/>
            </w:pPr>
            <w:r>
              <w:t xml:space="preserve">Regulation-protected destruction pricing; validated SCWO evidence; no cheap legal alternative</w:t>
            </w:r>
          </w:p>
        </w:tc>
        <w:tc>
          <w:tcPr/>
          <w:p>
            <w:pPr>
              <w:pStyle w:val="Compact"/>
              <w:jc w:val="left"/>
            </w:pPr>
            <w:r>
              <w:t xml:space="preserve">Direct entry via</w:t>
            </w:r>
            <w:r>
              <w:t xml:space="preserve"> </w:t>
            </w:r>
            <w:r>
              <w:t xml:space="preserve">“</w:t>
            </w:r>
            <w:r>
              <w:t xml:space="preserve">concentrate-and-destroy</w:t>
            </w:r>
            <w:r>
              <w:t xml:space="preserve">”</w:t>
            </w:r>
            <w:r>
              <w:t xml:space="preserve"> </w:t>
            </w:r>
            <w:r>
              <w:t xml:space="preserve">trains; service (per-gallon) pricing under a wide incumbent umbrella</w:t>
            </w:r>
          </w:p>
        </w:tc>
      </w:tr>
      <w:tr>
        <w:tc>
          <w:tcPr/>
          <w:p>
            <w:pPr>
              <w:pStyle w:val="Compact"/>
              <w:jc w:val="left"/>
            </w:pPr>
            <w:r>
              <w:rPr>
                <w:bCs/>
                <w:b/>
              </w:rPr>
              <w:t xml:space="preserve">Tier 2 — develop</w:t>
            </w:r>
          </w:p>
        </w:tc>
        <w:tc>
          <w:tcPr/>
          <w:p>
            <w:pPr>
              <w:pStyle w:val="Compact"/>
              <w:jc w:val="left"/>
            </w:pPr>
            <w:r>
              <w:t xml:space="preserve">6.5–7.4</w:t>
            </w:r>
          </w:p>
        </w:tc>
        <w:tc>
          <w:tcPr/>
          <w:p>
            <w:pPr>
              <w:pStyle w:val="Compact"/>
              <w:jc w:val="left"/>
            </w:pPr>
            <w:r>
              <w:t xml:space="preserve">Chemical/hazardous; pharma; distillery/ethanol; semiconductor side-streams; biosolids (crisis regions)</w:t>
            </w:r>
          </w:p>
        </w:tc>
        <w:tc>
          <w:tcPr/>
          <w:p>
            <w:pPr>
              <w:pStyle w:val="Compact"/>
              <w:jc w:val="left"/>
            </w:pPr>
            <w:r>
              <w:t xml:space="preserve">High disposal pain and strong paybacks, gated by incumbents, feed screening, or slow procurement</w:t>
            </w:r>
          </w:p>
        </w:tc>
        <w:tc>
          <w:tcPr/>
          <w:p>
            <w:pPr>
              <w:pStyle w:val="Compact"/>
              <w:jc w:val="left"/>
            </w:pPr>
            <w:r>
              <w:t xml:space="preserve">Feed-disciplined selling into premium streams; for distillery, lead with the energy-export economics against thermal ZLD incumbents</w:t>
            </w:r>
          </w:p>
        </w:tc>
      </w:tr>
      <w:tr>
        <w:tc>
          <w:tcPr/>
          <w:p>
            <w:pPr>
              <w:pStyle w:val="Compact"/>
              <w:jc w:val="left"/>
            </w:pPr>
            <w:r>
              <w:rPr>
                <w:bCs/>
                <w:b/>
              </w:rPr>
              <w:t xml:space="preserve">Tier 3 — conditional / regional</w:t>
            </w:r>
          </w:p>
        </w:tc>
        <w:tc>
          <w:tcPr/>
          <w:p>
            <w:pPr>
              <w:pStyle w:val="Compact"/>
              <w:jc w:val="left"/>
            </w:pPr>
            <w:r>
              <w:t xml:space="preserve">4.5–6.4</w:t>
            </w:r>
          </w:p>
        </w:tc>
        <w:tc>
          <w:tcPr/>
          <w:p>
            <w:pPr>
              <w:pStyle w:val="Compact"/>
              <w:jc w:val="left"/>
            </w:pPr>
            <w:r>
              <w:t xml:space="preserve">F&amp;B side-streams; islands/resorts; produced-water hubs</w:t>
            </w:r>
          </w:p>
        </w:tc>
        <w:tc>
          <w:tcPr/>
          <w:p>
            <w:pPr>
              <w:pStyle w:val="Compact"/>
              <w:jc w:val="left"/>
            </w:pPr>
            <w:r>
              <w:t xml:space="preserve">Real but geographically or architecturally bounded pain</w:t>
            </w:r>
          </w:p>
        </w:tc>
        <w:tc>
          <w:tcPr/>
          <w:p>
            <w:pPr>
              <w:pStyle w:val="Compact"/>
              <w:jc w:val="left"/>
            </w:pPr>
            <w:r>
              <w:t xml:space="preserve">Beachheads where the condition holds (Caribbean/Hawaii, Marcellus hubs, behind a concentrator); partner, don’t blanket-market</w:t>
            </w:r>
          </w:p>
        </w:tc>
      </w:tr>
      <w:tr>
        <w:tc>
          <w:tcPr/>
          <w:p>
            <w:pPr>
              <w:pStyle w:val="Compact"/>
              <w:jc w:val="left"/>
            </w:pPr>
            <w:r>
              <w:rPr>
                <w:bCs/>
                <w:b/>
              </w:rPr>
              <w:t xml:space="preserve">Tier 4 — weak fit</w:t>
            </w:r>
          </w:p>
        </w:tc>
        <w:tc>
          <w:tcPr/>
          <w:p>
            <w:pPr>
              <w:pStyle w:val="Compact"/>
              <w:jc w:val="left"/>
            </w:pPr>
            <w:r>
              <w:t xml:space="preserve">&lt; 4.5</w:t>
            </w:r>
          </w:p>
        </w:tc>
        <w:tc>
          <w:tcPr/>
          <w:p>
            <w:pPr>
              <w:pStyle w:val="Compact"/>
              <w:jc w:val="left"/>
            </w:pPr>
            <w:r>
              <w:t xml:space="preserve">CEA; CAFO manure; mining camps; data centers direct</w:t>
            </w:r>
          </w:p>
        </w:tc>
        <w:tc>
          <w:tcPr/>
          <w:p>
            <w:pPr>
              <w:pStyle w:val="Compact"/>
              <w:jc w:val="left"/>
            </w:pPr>
            <w:r>
              <w:t xml:space="preserve">Dilute streams, entrenched or subsidized incumbents, or no organic feed at all</w:t>
            </w:r>
          </w:p>
        </w:tc>
        <w:tc>
          <w:tcPr/>
          <w:p>
            <w:pPr>
              <w:pStyle w:val="Compact"/>
              <w:jc w:val="left"/>
            </w:pPr>
            <w:r>
              <w:t xml:space="preserve">No revenue plan; CEA as regulatory reference, data centers as offtaker strategy, NiFe-storage niches for remote variants only</w:t>
            </w:r>
          </w:p>
        </w:tc>
      </w:tr>
    </w:tbl>
    <w:p>
      <w:pPr>
        <w:pStyle w:val="BodyText"/>
      </w:pPr>
      <w:r>
        <w:t xml:space="preserve">The tier boundaries are drawn where the underlying demand logic changes, not at round numbers. Tier 1 buyers are legally compelled to destroy a specific molecule class and currently pay $1–28/gal for inferior relocation options [^D4-24^][^D4-25^][^D4-26^]. Tier 2 buyers share strong unit economics gated by incumbent relationships, feed-discipline requirements, or — for biosolids — municipal procurement cycles of three to seven years [^D6-21^]. Tier 3 markets are businesses only inside specific geographies (Northeast US biosolids corridors, Caribbean resorts, Marcellus hubs) or architectures (behind a concentrator, blended with FOG); they reward patience and grant leverage over direct sales spend. Tier 4 markets fail on at least three of the six framework criteria simultaneously — most decisively on stream concentration fit. The management implication is unchanged in kind but larger in scope than v1: concentrate 2026–2028 commercial resources on Tier 1, run Tier 2 as a disciplined pipeline now broadened by the distillery opportunity, and treat Tiers 3–4 as options, not forecasts.</w:t>
      </w:r>
    </w:p>
    <w:bookmarkEnd w:id="54"/>
    <w:bookmarkStart w:id="60" w:name="X2c417677b284ce5da8436e66797e94045725471"/>
    <w:p>
      <w:pPr>
        <w:pStyle w:val="Heading2"/>
      </w:pPr>
      <w:r>
        <w:t xml:space="preserve">3.3 The Cost-Savings Lens: Ranking by Incumbent Remediation Cost</w:t>
      </w:r>
    </w:p>
    <w:p>
      <w:pPr>
        <w:pStyle w:val="FirstParagraph"/>
      </w:pPr>
      <w:r>
        <w:rPr>
          <w:bCs/>
          <w:b/>
        </w:rPr>
        <w:t xml:space="preserve">Re-ranking the fifteen verticals by what incumbents charge per gallon — the savings pool HCSP can capture — inverts the middle of the league table without disturbing its most important conclusion.</w:t>
      </w:r>
      <w:r>
        <w:t xml:space="preserve"> </w:t>
      </w:r>
      <w:r>
        <w:t xml:space="preserve">Chemical and hazardous waste jumps from composite #4 to savings #1, defense AFFF holds #2, and PFAS concentrates stay top-3 under both lenses — the single most robust cross-method finding in this report. The composite leaders that fall (textile ZLD, distillery vinasse) fall for a specific and honest reason: their incumbents cost roughly one cent per gallon, so their strength is regulatory compulsion plus energy export, not savings displacement. One framing caveat governs everything in this section: manufacturer HCSP unit pricing is still to be determined (the company is early-phase, with scalable, per-industry customizable units), so no HCSP price appears here. All unit economics are framed as</w:t>
      </w:r>
      <w:r>
        <w:t xml:space="preserve"> </w:t>
      </w:r>
      <w:r>
        <w:rPr>
          <w:iCs/>
          <w:i/>
        </w:rPr>
        <w:t xml:space="preserve">addressable savings</w:t>
      </w:r>
      <w:r>
        <w:t xml:space="preserve"> </w:t>
      </w:r>
      <w:r>
        <w:t xml:space="preserve">— the incumbent cost pool above a conservative HCSP energy allowance. Per the manufacturer, the self-fueling hydrogen loop gives the system negligible net energy cost in operation [^S3^]; the $0.07–0.09/gal band shown in this section is a conservative bound derived from the briefing’s 75–95 kW startup/auxiliary electrical specification at 10 m³/day [^D4-47^][^D7-E1^] — and every panel below should be read as</w:t>
      </w:r>
      <w:r>
        <w:t xml:space="preserve"> </w:t>
      </w:r>
      <w:r>
        <w:t xml:space="preserve">“</w:t>
      </w:r>
      <w:r>
        <w:t xml:space="preserve">ranked by addressable savings, manufacturer cost inputs pending.</w:t>
      </w:r>
      <w:r>
        <w:t xml:space="preserve">”</w:t>
      </w:r>
    </w:p>
    <w:bookmarkStart w:id="58" w:name="the-savings-ladder"/>
    <w:p>
      <w:pPr>
        <w:pStyle w:val="Heading3"/>
      </w:pPr>
      <w:r>
        <w:t xml:space="preserve">3.3.1 The savings ladder</w:t>
      </w:r>
    </w:p>
    <w:p>
      <w:pPr>
        <w:pStyle w:val="FirstParagraph"/>
      </w:pPr>
      <w:r>
        <w:t xml:space="preserve">The table ranks all fifteen verticals by incumbent remediation or disposal cost per gallon of target stream, against the composite rank from Section 3.1.1 for direct side-by-side comparison. Ranges are log-spread — the column spans nearly four orders of magnitude — and rows built on sparse datapoints (mining, CAFO) are explicitly flagged low-confidence.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Savings rank</w:t>
            </w:r>
          </w:p>
        </w:tc>
        <w:tc>
          <w:tcPr/>
          <w:p>
            <w:pPr>
              <w:pStyle w:val="Compact"/>
              <w:jc w:val="left"/>
            </w:pPr>
            <w:r>
              <w:t xml:space="preserve">Vertical / target stream</w:t>
            </w:r>
          </w:p>
        </w:tc>
        <w:tc>
          <w:tcPr/>
          <w:p>
            <w:pPr>
              <w:pStyle w:val="Compact"/>
              <w:jc w:val="left"/>
            </w:pPr>
            <w:r>
              <w:t xml:space="preserve">Incumbent remediation cost ($/gal)</w:t>
            </w:r>
          </w:p>
        </w:tc>
        <w:tc>
          <w:tcPr/>
          <w:p>
            <w:pPr>
              <w:pStyle w:val="Compact"/>
              <w:jc w:val="left"/>
            </w:pPr>
            <w:r>
              <w:t xml:space="preserve">Composite rank (§3.1.1)</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Chemical &amp; hazardous — halogenated solvents</w:t>
            </w:r>
          </w:p>
        </w:tc>
        <w:tc>
          <w:tcPr/>
          <w:p>
            <w:pPr>
              <w:pStyle w:val="Compact"/>
              <w:jc w:val="left"/>
            </w:pPr>
            <w:r>
              <w:t xml:space="preserve">$15–50+ (lab packs $7–11/gal [^D2-9^])</w:t>
            </w:r>
          </w:p>
        </w:tc>
        <w:tc>
          <w:tcPr/>
          <w:p>
            <w:pPr>
              <w:pStyle w:val="Compact"/>
              <w:jc w:val="left"/>
            </w:pPr>
            <w:r>
              <w:t xml:space="preserve">4</w:t>
            </w:r>
          </w:p>
        </w:tc>
        <w:tc>
          <w:tcPr/>
          <w:p>
            <w:pPr>
              <w:pStyle w:val="Compact"/>
              <w:jc w:val="left"/>
            </w:pPr>
            <w:r>
              <w:t xml:space="preserve">2025 hazwaste pricing guides [^D5-15^][^D2-9^]</w:t>
            </w:r>
          </w:p>
        </w:tc>
      </w:tr>
      <w:tr>
        <w:tc>
          <w:tcPr/>
          <w:p>
            <w:pPr>
              <w:pStyle w:val="Compact"/>
              <w:jc w:val="left"/>
            </w:pPr>
            <w:r>
              <w:t xml:space="preserve">2</w:t>
            </w:r>
          </w:p>
        </w:tc>
        <w:tc>
          <w:tcPr/>
          <w:p>
            <w:pPr>
              <w:pStyle w:val="Compact"/>
              <w:jc w:val="left"/>
            </w:pPr>
            <w:r>
              <w:t xml:space="preserve">Defense — AFFF concentrate</w:t>
            </w:r>
          </w:p>
        </w:tc>
        <w:tc>
          <w:tcPr/>
          <w:p>
            <w:pPr>
              <w:pStyle w:val="Compact"/>
              <w:jc w:val="left"/>
            </w:pPr>
            <w:r>
              <w:t xml:space="preserve">$5–28 (haz. landfill $28 [^D4-26^]; incineration $5–10 [^D4-25^])</w:t>
            </w:r>
          </w:p>
        </w:tc>
        <w:tc>
          <w:tcPr/>
          <w:p>
            <w:pPr>
              <w:pStyle w:val="Compact"/>
              <w:jc w:val="left"/>
            </w:pPr>
            <w:r>
              <w:t xml:space="preserve">2</w:t>
            </w:r>
          </w:p>
        </w:tc>
        <w:tc>
          <w:tcPr/>
          <w:p>
            <w:pPr>
              <w:pStyle w:val="Compact"/>
              <w:jc w:val="left"/>
            </w:pPr>
            <w:r>
              <w:t xml:space="preserve">DoD disposal-pathway compilation [^D4-25^][^D4-26^]</w:t>
            </w:r>
          </w:p>
        </w:tc>
      </w:tr>
      <w:tr>
        <w:tc>
          <w:tcPr/>
          <w:p>
            <w:pPr>
              <w:pStyle w:val="Compact"/>
              <w:jc w:val="left"/>
            </w:pPr>
            <w:r>
              <w:t xml:space="preserve">3</w:t>
            </w:r>
          </w:p>
        </w:tc>
        <w:tc>
          <w:tcPr/>
          <w:p>
            <w:pPr>
              <w:pStyle w:val="Compact"/>
              <w:jc w:val="left"/>
            </w:pPr>
            <w:r>
              <w:t xml:space="preserve">PFAS concentrates (leachate foamate / IX brine)</w:t>
            </w:r>
          </w:p>
        </w:tc>
        <w:tc>
          <w:tcPr/>
          <w:p>
            <w:pPr>
              <w:pStyle w:val="Compact"/>
              <w:jc w:val="left"/>
            </w:pPr>
            <w:r>
              <w:t xml:space="preserve">$1.83–10 (incumbent SCWO services $6–10 [^D4-47^]; field-verified $1.63–4.88 [^D11-19^])</w:t>
            </w:r>
          </w:p>
        </w:tc>
        <w:tc>
          <w:tcPr/>
          <w:p>
            <w:pPr>
              <w:pStyle w:val="Compact"/>
              <w:jc w:val="left"/>
            </w:pPr>
            <w:r>
              <w:rPr>
                <w:bCs/>
                <w:b/>
              </w:rPr>
              <w:t xml:space="preserve">1</w:t>
            </w:r>
          </w:p>
        </w:tc>
        <w:tc>
          <w:tcPr/>
          <w:p>
            <w:pPr>
              <w:pStyle w:val="Compact"/>
              <w:jc w:val="left"/>
            </w:pPr>
            <w:r>
              <w:t xml:space="preserve">dim04, dim11 [^D4-24^][^D4-47^][^D11-19^]</w:t>
            </w:r>
          </w:p>
        </w:tc>
      </w:tr>
      <w:tr>
        <w:tc>
          <w:tcPr/>
          <w:p>
            <w:pPr>
              <w:pStyle w:val="Compact"/>
              <w:jc w:val="left"/>
            </w:pPr>
            <w:r>
              <w:t xml:space="preserve">4</w:t>
            </w:r>
          </w:p>
        </w:tc>
        <w:tc>
          <w:tcPr/>
          <w:p>
            <w:pPr>
              <w:pStyle w:val="Compact"/>
              <w:jc w:val="left"/>
            </w:pPr>
            <w:r>
              <w:t xml:space="preserve">Pharma &amp; biotech solvent/API waste</w:t>
            </w:r>
          </w:p>
        </w:tc>
        <w:tc>
          <w:tcPr/>
          <w:p>
            <w:pPr>
              <w:pStyle w:val="Compact"/>
              <w:jc w:val="left"/>
            </w:pPr>
            <w:r>
              <w:t xml:space="preserve">$1.5–15 (halogenated to $15–50+)</w:t>
            </w:r>
          </w:p>
        </w:tc>
        <w:tc>
          <w:tcPr/>
          <w:p>
            <w:pPr>
              <w:pStyle w:val="Compact"/>
              <w:jc w:val="left"/>
            </w:pPr>
            <w:r>
              <w:t xml:space="preserve">5</w:t>
            </w:r>
          </w:p>
        </w:tc>
        <w:tc>
          <w:tcPr/>
          <w:p>
            <w:pPr>
              <w:pStyle w:val="Compact"/>
              <w:jc w:val="left"/>
            </w:pPr>
            <w:r>
              <w:t xml:space="preserve">Solvent disposal + hazwaste guide [^D2-8^][^D2-9^]</w:t>
            </w:r>
          </w:p>
        </w:tc>
      </w:tr>
      <w:tr>
        <w:tc>
          <w:tcPr/>
          <w:p>
            <w:pPr>
              <w:pStyle w:val="Compact"/>
              <w:jc w:val="left"/>
            </w:pPr>
            <w:r>
              <w:t xml:space="preserve">5</w:t>
            </w:r>
          </w:p>
        </w:tc>
        <w:tc>
          <w:tcPr/>
          <w:p>
            <w:pPr>
              <w:pStyle w:val="Compact"/>
              <w:jc w:val="left"/>
            </w:pPr>
            <w:r>
              <w:t xml:space="preserve">Semiconductor side-streams (solvents, CMP, PFAS concentrate)</w:t>
            </w:r>
          </w:p>
        </w:tc>
        <w:tc>
          <w:tcPr/>
          <w:p>
            <w:pPr>
              <w:pStyle w:val="Compact"/>
              <w:jc w:val="left"/>
            </w:pPr>
            <w:r>
              <w:t xml:space="preserve">$1.9–7.6 (CMP $0.5–2/L [^D3-47^]; solvents $2–4/gal [^D3-45^]; IX concentrate $1.83–4.88 [^D11-19^])</w:t>
            </w:r>
          </w:p>
        </w:tc>
        <w:tc>
          <w:tcPr/>
          <w:p>
            <w:pPr>
              <w:pStyle w:val="Compact"/>
              <w:jc w:val="left"/>
            </w:pPr>
            <w:r>
              <w:t xml:space="preserve">7</w:t>
            </w:r>
          </w:p>
        </w:tc>
        <w:tc>
          <w:tcPr/>
          <w:p>
            <w:pPr>
              <w:pStyle w:val="Compact"/>
              <w:jc w:val="left"/>
            </w:pPr>
            <w:r>
              <w:t xml:space="preserve">dim03 [^D3-45^][^D3-47^]</w:t>
            </w:r>
          </w:p>
        </w:tc>
      </w:tr>
      <w:tr>
        <w:tc>
          <w:tcPr/>
          <w:p>
            <w:pPr>
              <w:pStyle w:val="Compact"/>
              <w:jc w:val="left"/>
            </w:pPr>
            <w:r>
              <w:t xml:space="preserve">6</w:t>
            </w:r>
          </w:p>
        </w:tc>
        <w:tc>
          <w:tcPr/>
          <w:p>
            <w:pPr>
              <w:pStyle w:val="Compact"/>
              <w:jc w:val="left"/>
            </w:pPr>
            <w:r>
              <w:t xml:space="preserve">CEA hauling-captive sites</w:t>
            </w:r>
          </w:p>
        </w:tc>
        <w:tc>
          <w:tcPr/>
          <w:p>
            <w:pPr>
              <w:pStyle w:val="Compact"/>
              <w:jc w:val="left"/>
            </w:pPr>
            <w:r>
              <w:t xml:space="preserve">$0.40–2.50</w:t>
            </w:r>
          </w:p>
        </w:tc>
        <w:tc>
          <w:tcPr/>
          <w:p>
            <w:pPr>
              <w:pStyle w:val="Compact"/>
              <w:jc w:val="left"/>
            </w:pPr>
            <w:r>
              <w:t xml:space="preserve">12</w:t>
            </w:r>
          </w:p>
        </w:tc>
        <w:tc>
          <w:tcPr/>
          <w:p>
            <w:pPr>
              <w:pStyle w:val="Compact"/>
              <w:jc w:val="left"/>
            </w:pPr>
            <w:r>
              <w:t xml:space="preserve">Cannabis wastewater hauling [^D1-15^]</w:t>
            </w:r>
          </w:p>
        </w:tc>
      </w:tr>
      <w:tr>
        <w:tc>
          <w:tcPr/>
          <w:p>
            <w:pPr>
              <w:pStyle w:val="Compact"/>
              <w:jc w:val="left"/>
            </w:pPr>
            <w:r>
              <w:t xml:space="preserve">7</w:t>
            </w:r>
          </w:p>
        </w:tc>
        <w:tc>
          <w:tcPr/>
          <w:p>
            <w:pPr>
              <w:pStyle w:val="Compact"/>
              <w:jc w:val="left"/>
            </w:pPr>
            <w:r>
              <w:t xml:space="preserve">Islands / remote disposal</w:t>
            </w:r>
          </w:p>
        </w:tc>
        <w:tc>
          <w:tcPr/>
          <w:p>
            <w:pPr>
              <w:pStyle w:val="Compact"/>
              <w:jc w:val="left"/>
            </w:pPr>
            <w:r>
              <w:t xml:space="preserve">~$0.5–1.25 (≥$300/wet t ≈ $1.25/gal-equiv)</w:t>
            </w:r>
          </w:p>
        </w:tc>
        <w:tc>
          <w:tcPr/>
          <w:p>
            <w:pPr>
              <w:pStyle w:val="Compact"/>
              <w:jc w:val="left"/>
            </w:pPr>
            <w:r>
              <w:t xml:space="preserve">10</w:t>
            </w:r>
          </w:p>
        </w:tc>
        <w:tc>
          <w:tcPr/>
          <w:p>
            <w:pPr>
              <w:pStyle w:val="Compact"/>
              <w:jc w:val="left"/>
            </w:pPr>
            <w:r>
              <w:t xml:space="preserve">v2_dim03 (sparse; low-medium confidence) [^V2D3-E1^]</w:t>
            </w:r>
          </w:p>
        </w:tc>
      </w:tr>
      <w:tr>
        <w:tc>
          <w:tcPr/>
          <w:p>
            <w:pPr>
              <w:pStyle w:val="Compact"/>
              <w:jc w:val="left"/>
            </w:pPr>
            <w:r>
              <w:t xml:space="preserve">8</w:t>
            </w:r>
          </w:p>
        </w:tc>
        <w:tc>
          <w:tcPr/>
          <w:p>
            <w:pPr>
              <w:pStyle w:val="Compact"/>
              <w:jc w:val="left"/>
            </w:pPr>
            <w:r>
              <w:t xml:space="preserve">Municipal biosolids — crisis regions</w:t>
            </w:r>
          </w:p>
        </w:tc>
        <w:tc>
          <w:tcPr/>
          <w:p>
            <w:pPr>
              <w:pStyle w:val="Compact"/>
              <w:jc w:val="left"/>
            </w:pPr>
            <w:r>
              <w:t xml:space="preserve">$0.79–1.04 ($190–250/wet t ÷ ~240 gal)</w:t>
            </w:r>
          </w:p>
        </w:tc>
        <w:tc>
          <w:tcPr/>
          <w:p>
            <w:pPr>
              <w:pStyle w:val="Compact"/>
              <w:jc w:val="left"/>
            </w:pPr>
            <w:r>
              <w:t xml:space="preserve">8</w:t>
            </w:r>
          </w:p>
        </w:tc>
        <w:tc>
          <w:tcPr/>
          <w:p>
            <w:pPr>
              <w:pStyle w:val="Compact"/>
              <w:jc w:val="left"/>
            </w:pPr>
            <w:r>
              <w:t xml:space="preserve">MassDEP residuals study, 2028 projection [^D6-14^]</w:t>
            </w:r>
          </w:p>
        </w:tc>
      </w:tr>
      <w:tr>
        <w:tc>
          <w:tcPr/>
          <w:p>
            <w:pPr>
              <w:pStyle w:val="Compact"/>
              <w:jc w:val="left"/>
            </w:pPr>
            <w:r>
              <w:t xml:space="preserve">9</w:t>
            </w:r>
          </w:p>
        </w:tc>
        <w:tc>
          <w:tcPr/>
          <w:p>
            <w:pPr>
              <w:pStyle w:val="Compact"/>
              <w:jc w:val="left"/>
            </w:pPr>
            <w:r>
              <w:t xml:space="preserve">Mining / remote camps</w:t>
            </w:r>
            <w:r>
              <w:t xml:space="preserve"> </w:t>
            </w:r>
            <w:r>
              <w:rPr>
                <w:iCs/>
                <w:i/>
              </w:rPr>
              <w:t xml:space="preserve">(low confidence)</w:t>
            </w:r>
          </w:p>
        </w:tc>
        <w:tc>
          <w:tcPr/>
          <w:p>
            <w:pPr>
              <w:pStyle w:val="Compact"/>
              <w:jc w:val="left"/>
            </w:pPr>
            <w:r>
              <w:t xml:space="preserve">~$0.5–2.0 (haul premiums 2–4× invoice; sparse)</w:t>
            </w:r>
          </w:p>
        </w:tc>
        <w:tc>
          <w:tcPr/>
          <w:p>
            <w:pPr>
              <w:pStyle w:val="Compact"/>
              <w:jc w:val="left"/>
            </w:pPr>
            <w:r>
              <w:t xml:space="preserve">14</w:t>
            </w:r>
          </w:p>
        </w:tc>
        <w:tc>
          <w:tcPr/>
          <w:p>
            <w:pPr>
              <w:pStyle w:val="Compact"/>
              <w:jc w:val="left"/>
            </w:pPr>
            <w:r>
              <w:t xml:space="preserve">v2_dim03 remote-cost baseline [^V2D3-32^]</w:t>
            </w:r>
          </w:p>
        </w:tc>
      </w:tr>
      <w:tr>
        <w:tc>
          <w:tcPr/>
          <w:p>
            <w:pPr>
              <w:pStyle w:val="Compact"/>
              <w:jc w:val="left"/>
            </w:pPr>
            <w:r>
              <w:t xml:space="preserve">10</w:t>
            </w:r>
          </w:p>
        </w:tc>
        <w:tc>
          <w:tcPr/>
          <w:p>
            <w:pPr>
              <w:pStyle w:val="Compact"/>
              <w:jc w:val="left"/>
            </w:pPr>
            <w:r>
              <w:t xml:space="preserve">CAFO manure / digestate</w:t>
            </w:r>
            <w:r>
              <w:t xml:space="preserve"> </w:t>
            </w:r>
            <w:r>
              <w:rPr>
                <w:iCs/>
                <w:i/>
              </w:rPr>
              <w:t xml:space="preserve">(low confidence)</w:t>
            </w:r>
          </w:p>
        </w:tc>
        <w:tc>
          <w:tcPr/>
          <w:p>
            <w:pPr>
              <w:pStyle w:val="Compact"/>
              <w:jc w:val="left"/>
            </w:pPr>
            <w:r>
              <w:t xml:space="preserve">~$0.1–0.5 (spreading/haul equivalents; sparse)</w:t>
            </w:r>
          </w:p>
        </w:tc>
        <w:tc>
          <w:tcPr/>
          <w:p>
            <w:pPr>
              <w:pStyle w:val="Compact"/>
              <w:jc w:val="left"/>
            </w:pPr>
            <w:r>
              <w:t xml:space="preserve">13</w:t>
            </w:r>
          </w:p>
        </w:tc>
        <w:tc>
          <w:tcPr/>
          <w:p>
            <w:pPr>
              <w:pStyle w:val="Compact"/>
              <w:jc w:val="left"/>
            </w:pPr>
            <w:r>
              <w:t xml:space="preserve">v2_dim03 (sparse) [^V2D3-E2^]</w:t>
            </w:r>
          </w:p>
        </w:tc>
      </w:tr>
      <w:tr>
        <w:tc>
          <w:tcPr/>
          <w:p>
            <w:pPr>
              <w:pStyle w:val="Compact"/>
              <w:jc w:val="left"/>
            </w:pPr>
            <w:r>
              <w:t xml:space="preserve">11</w:t>
            </w:r>
          </w:p>
        </w:tc>
        <w:tc>
          <w:tcPr/>
          <w:p>
            <w:pPr>
              <w:pStyle w:val="Compact"/>
              <w:jc w:val="left"/>
            </w:pPr>
            <w:r>
              <w:t xml:space="preserve">Produced water — Marcellus niche</w:t>
            </w:r>
          </w:p>
        </w:tc>
        <w:tc>
          <w:tcPr/>
          <w:p>
            <w:pPr>
              <w:pStyle w:val="Compact"/>
              <w:jc w:val="left"/>
            </w:pPr>
            <w:r>
              <w:t xml:space="preserve">$0.07–0.36 ($3–15/bbl)</w:t>
            </w:r>
          </w:p>
        </w:tc>
        <w:tc>
          <w:tcPr/>
          <w:p>
            <w:pPr>
              <w:pStyle w:val="Compact"/>
              <w:jc w:val="left"/>
            </w:pPr>
            <w:r>
              <w:t xml:space="preserve">11</w:t>
            </w:r>
          </w:p>
        </w:tc>
        <w:tc>
          <w:tcPr/>
          <w:p>
            <w:pPr>
              <w:pStyle w:val="Compact"/>
              <w:jc w:val="left"/>
            </w:pPr>
            <w:r>
              <w:t xml:space="preserve">Trucking-to-Ohio disposal [^V2D5-5^]</w:t>
            </w:r>
          </w:p>
        </w:tc>
      </w:tr>
      <w:tr>
        <w:tc>
          <w:tcPr/>
          <w:p>
            <w:pPr>
              <w:pStyle w:val="Compact"/>
              <w:jc w:val="left"/>
            </w:pPr>
            <w:r>
              <w:t xml:space="preserve">12</w:t>
            </w:r>
          </w:p>
        </w:tc>
        <w:tc>
          <w:tcPr/>
          <w:p>
            <w:pPr>
              <w:pStyle w:val="Compact"/>
              <w:jc w:val="left"/>
            </w:pPr>
            <w:r>
              <w:t xml:space="preserve">F&amp;B side-streams</w:t>
            </w:r>
          </w:p>
        </w:tc>
        <w:tc>
          <w:tcPr/>
          <w:p>
            <w:pPr>
              <w:pStyle w:val="Compact"/>
              <w:jc w:val="left"/>
            </w:pPr>
            <w:r>
              <w:t xml:space="preserve">$0.045–0.12 ($45–120/1,000 gal)</w:t>
            </w:r>
          </w:p>
        </w:tc>
        <w:tc>
          <w:tcPr/>
          <w:p>
            <w:pPr>
              <w:pStyle w:val="Compact"/>
              <w:jc w:val="left"/>
            </w:pPr>
            <w:r>
              <w:t xml:space="preserve">9</w:t>
            </w:r>
          </w:p>
        </w:tc>
        <w:tc>
          <w:tcPr/>
          <w:p>
            <w:pPr>
              <w:pStyle w:val="Compact"/>
              <w:jc w:val="left"/>
            </w:pPr>
            <w:r>
              <w:t xml:space="preserve">FOG/food-waste receiving fees [^D7-E3^]</w:t>
            </w:r>
          </w:p>
        </w:tc>
      </w:tr>
      <w:tr>
        <w:tc>
          <w:tcPr/>
          <w:p>
            <w:pPr>
              <w:pStyle w:val="Compact"/>
              <w:jc w:val="left"/>
            </w:pPr>
            <w:r>
              <w:t xml:space="preserve">13</w:t>
            </w:r>
          </w:p>
        </w:tc>
        <w:tc>
          <w:tcPr/>
          <w:p>
            <w:pPr>
              <w:pStyle w:val="Compact"/>
              <w:jc w:val="left"/>
            </w:pPr>
            <w:r>
              <w:t xml:space="preserve">Distillery vinasse (ZLD thermal incumbent)</w:t>
            </w:r>
          </w:p>
        </w:tc>
        <w:tc>
          <w:tcPr/>
          <w:p>
            <w:pPr>
              <w:pStyle w:val="Compact"/>
              <w:jc w:val="left"/>
            </w:pPr>
            <w:r>
              <w:t xml:space="preserve">~$0.007–0.010 ($1.8–2.6/m³ O&amp;M benchmark)</w:t>
            </w:r>
          </w:p>
        </w:tc>
        <w:tc>
          <w:tcPr/>
          <w:p>
            <w:pPr>
              <w:pStyle w:val="Compact"/>
              <w:jc w:val="left"/>
            </w:pPr>
            <w:r>
              <w:t xml:space="preserve">6</w:t>
            </w:r>
          </w:p>
        </w:tc>
        <w:tc>
          <w:tcPr/>
          <w:p>
            <w:pPr>
              <w:pStyle w:val="Compact"/>
              <w:jc w:val="left"/>
            </w:pPr>
            <w:r>
              <w:t xml:space="preserve">India ZLD O&amp;M; reference ZLD plant capex [^D10-27^][^V2D3-30^]</w:t>
            </w:r>
          </w:p>
        </w:tc>
      </w:tr>
      <w:tr>
        <w:tc>
          <w:tcPr/>
          <w:p>
            <w:pPr>
              <w:pStyle w:val="Compact"/>
              <w:jc w:val="left"/>
            </w:pPr>
            <w:r>
              <w:t xml:space="preserve">14</w:t>
            </w:r>
          </w:p>
        </w:tc>
        <w:tc>
          <w:tcPr/>
          <w:p>
            <w:pPr>
              <w:pStyle w:val="Compact"/>
              <w:jc w:val="left"/>
            </w:pPr>
            <w:r>
              <w:t xml:space="preserve">Textile ZLD clusters</w:t>
            </w:r>
          </w:p>
        </w:tc>
        <w:tc>
          <w:tcPr/>
          <w:p>
            <w:pPr>
              <w:pStyle w:val="Compact"/>
              <w:jc w:val="left"/>
            </w:pPr>
            <w:r>
              <w:t xml:space="preserve">~$0.007–0.010 ($1.8–2.6/m³)</w:t>
            </w:r>
          </w:p>
        </w:tc>
        <w:tc>
          <w:tcPr/>
          <w:p>
            <w:pPr>
              <w:pStyle w:val="Compact"/>
              <w:jc w:val="left"/>
            </w:pPr>
            <w:r>
              <w:rPr>
                <w:bCs/>
                <w:b/>
              </w:rPr>
              <w:t xml:space="preserve">3</w:t>
            </w:r>
          </w:p>
        </w:tc>
        <w:tc>
          <w:tcPr/>
          <w:p>
            <w:pPr>
              <w:pStyle w:val="Compact"/>
              <w:jc w:val="left"/>
            </w:pPr>
            <w:r>
              <w:t xml:space="preserve">India ZLD O&amp;M [^D10-27^]</w:t>
            </w:r>
          </w:p>
        </w:tc>
      </w:tr>
      <w:tr>
        <w:tc>
          <w:tcPr/>
          <w:p>
            <w:pPr>
              <w:pStyle w:val="Compact"/>
              <w:jc w:val="left"/>
            </w:pPr>
            <w:r>
              <w:t xml:space="preserve">15</w:t>
            </w:r>
          </w:p>
        </w:tc>
        <w:tc>
          <w:tcPr/>
          <w:p>
            <w:pPr>
              <w:pStyle w:val="Compact"/>
              <w:jc w:val="left"/>
            </w:pPr>
            <w:r>
              <w:t xml:space="preserve">Data centers direct</w:t>
            </w:r>
          </w:p>
        </w:tc>
        <w:tc>
          <w:tcPr/>
          <w:p>
            <w:pPr>
              <w:pStyle w:val="Compact"/>
              <w:jc w:val="left"/>
            </w:pPr>
            <w:r>
              <w:t xml:space="preserve">N/A — offtaker, no remediation stream</w:t>
            </w:r>
          </w:p>
        </w:tc>
        <w:tc>
          <w:tcPr/>
          <w:p>
            <w:pPr>
              <w:pStyle w:val="Compact"/>
              <w:jc w:val="left"/>
            </w:pPr>
            <w:r>
              <w:t xml:space="preserve">15</w:t>
            </w:r>
          </w:p>
        </w:tc>
        <w:tc>
          <w:tcPr/>
          <w:p>
            <w:pPr>
              <w:pStyle w:val="Compact"/>
              <w:jc w:val="left"/>
            </w:pPr>
            <w:r>
              <w:t xml:space="preserve">Inorganic blowdown, not SCWO feed [^V2D3-7^]</w:t>
            </w:r>
          </w:p>
        </w:tc>
      </w:tr>
    </w:tbl>
    <w:p>
      <w:pPr>
        <w:pStyle w:val="BodyText"/>
      </w:pPr>
      <w:r>
        <w:rPr>
          <w:iCs/>
          <w:i/>
        </w:rPr>
        <w:t xml:space="preserve">All unit economics in this table are addressable savings against a conservative ~$0.07–0.09/gal HCSP energy band — manufacturer-stated negligible net energy cost in operation via the self-fueling hydrogen loop [^S3^], with the band derived from the briefing’s 75–95 kW startup/auxiliary electrical specification; manufacturer unit costs are pending.</w:t>
      </w:r>
    </w:p>
    <w:p>
      <w:pPr>
        <w:pStyle w:val="CaptionedFigure"/>
      </w:pPr>
      <w:r>
        <w:drawing>
          <wp:inline>
            <wp:extent cx="5334000" cy="3753555"/>
            <wp:effectExtent b="0" l="0" r="0" t="0"/>
            <wp:docPr descr="Horizontal log-scale bar chart of incumbent remediation cost per gallon across fourteen verticals (data centers excluded as an offtaker), NATURE palette. Bars span from distillery vinasse and textile ZLD at ~$0.007–0.010/gal up to halogenated solvents at $15–50/gal; a conservative HCSP energy band of ~$0.07–0.09/gal — derived from the briefing’s 75–95 kW startup/auxiliary electrical specification, with the manufacturer stating negligible net energy cost in operation via the self-fueling hydrogen loop — is drawn as a vertical reference band. Mining and CAFO bars are hatched to flag sparse, low-confidence data. Sources: canonical v3 savings-ladder dataset (hcsp_v3_savings_ladder.md); HCSP dim01–dim07, dim10–dim11 and v2 dim03/dim05 research as cited in Table 3.3.1." title="" id="56" name="Picture"/>
            <a:graphic>
              <a:graphicData uri="http://schemas.openxmlformats.org/drawingml/2006/picture">
                <pic:pic>
                  <pic:nvPicPr>
                    <pic:cNvPr descr="sec03_savings_ladder.png" id="57" name="Picture"/>
                    <pic:cNvPicPr>
                      <a:picLocks noChangeArrowheads="1" noChangeAspect="1"/>
                    </pic:cNvPicPr>
                  </pic:nvPicPr>
                  <pic:blipFill>
                    <a:blip r:embed="rId55"/>
                    <a:stretch>
                      <a:fillRect/>
                    </a:stretch>
                  </pic:blipFill>
                  <pic:spPr bwMode="auto">
                    <a:xfrm>
                      <a:off x="0" y="0"/>
                      <a:ext cx="5334000" cy="3753555"/>
                    </a:xfrm>
                    <a:prstGeom prst="rect">
                      <a:avLst/>
                    </a:prstGeom>
                    <a:noFill/>
                    <a:ln w="9525">
                      <a:noFill/>
                      <a:headEnd/>
                      <a:tailEnd/>
                    </a:ln>
                  </pic:spPr>
                </pic:pic>
              </a:graphicData>
            </a:graphic>
          </wp:inline>
        </w:drawing>
      </w:r>
    </w:p>
    <w:p>
      <w:pPr>
        <w:pStyle w:val="ImageCaption"/>
      </w:pPr>
      <w:r>
        <w:t xml:space="preserve">Horizontal log-scale bar chart of incumbent remediation cost per gallon across fourteen verticals (data centers excluded as an offtaker), NATURE palette. Bars span from distillery vinasse and textile ZLD at ~$0.007–0.010/gal up to halogenated solvents at $15–50/gal; a conservative HCSP energy band of ~$0.07–0.09/gal — derived from the briefing’s 75–95 kW startup/auxiliary electrical specification, with the manufacturer stating negligible net energy cost in operation via the self-fueling hydrogen loop — is drawn as a vertical reference band. Mining and CAFO bars are hatched to flag sparse, low-confidence data. Sources: canonical v3 savings-ladder dataset (hcsp_v3_savings_ladder.md); HCSP dim01–dim07, dim10–dim11 and v2 dim03/dim05 research as cited in Table 3.3.1.</w:t>
      </w:r>
    </w:p>
    <w:p>
      <w:pPr>
        <w:pStyle w:val="BodyText"/>
      </w:pPr>
      <w:r>
        <w:t xml:space="preserve">Three readings of the ladder carry decision weight. First, the top of the savings ranking is an umbrella story, not a volume story: halogenated solvents at $15–50+/gal [^D5-15^] and AFFF at up to $28/gal [^D4-26^] sit two to three orders of magnitude above the conservative HCSP energy band, which means HCSP can price at a fraction of the incumbent and still hold wide margins — but the streams behind those prices are measured in thousands, not millions, of gallons per site. Second, the chart’s most informative feature is where the conservative band bites: produced water ($0.07–0.36/gal) and F&amp;B side-streams ($0.045–0.12/gal) straddle or undercut even this deliberately conservative energy allowance at their low ends, which is why those verticals work only at hub scale or behind a concentrator, and why distillery and textiles — at ~1¢/gal — can never be sold on savings at all. Third, the outlier is CEA: a composite #12 vertical that jumps to savings #6 because hauling-captive cannabis and greenhouse sites pay $0.40–2.50/gal [^D1-15^], a reminder that a small, distressed sub-segment can still be the right first service contract. The two flagged rows (mining, CAFO) should be treated as placeholders pending primary pricing data, not as established rungs.</w:t>
      </w:r>
    </w:p>
    <w:bookmarkEnd w:id="58"/>
    <w:bookmarkStart w:id="59" w:name="what-changes-between-the-lenses"/>
    <w:p>
      <w:pPr>
        <w:pStyle w:val="Heading3"/>
      </w:pPr>
      <w:r>
        <w:t xml:space="preserve">3.3.2 What changes between the lenses</w:t>
      </w:r>
    </w:p>
    <w:p>
      <w:pPr>
        <w:pStyle w:val="FirstParagraph"/>
      </w:pPr>
      <w:r>
        <w:rPr>
          <w:bCs/>
          <w:b/>
        </w:rPr>
        <w:t xml:space="preserve">The two lenses answer different questions, and the divergence map is the deliverable.</w:t>
      </w:r>
      <w:r>
        <w:t xml:space="preserve"> </w:t>
      </w:r>
      <w:r>
        <w:t xml:space="preserve">The composite ranking asks</w:t>
      </w:r>
      <w:r>
        <w:t xml:space="preserve"> </w:t>
      </w:r>
      <w:r>
        <w:t xml:space="preserve">“</w:t>
      </w:r>
      <w:r>
        <w:t xml:space="preserve">where do all forces align?</w:t>
      </w:r>
      <w:r>
        <w:t xml:space="preserve">”</w:t>
      </w:r>
      <w:r>
        <w:t xml:space="preserve">; the savings lens asks</w:t>
      </w:r>
      <w:r>
        <w:t xml:space="preserve"> </w:t>
      </w:r>
      <w:r>
        <w:t xml:space="preserve">“</w:t>
      </w:r>
      <w:r>
        <w:t xml:space="preserve">where is the margin umbrella?</w:t>
      </w:r>
      <w:r>
        <w:t xml:space="preserve">”</w:t>
      </w:r>
      <w:r>
        <w:t xml:space="preserve"> </w:t>
      </w:r>
      <w:r>
        <w:t xml:space="preserve">Four movements matter. Chemical/hazardous waste rises to savings #1 because no other vertical’s incumbent pricing ($15–50+/gal) sits so far above HCSP’s conservative energy band while also facing a structurally capacity-constrained incumbent base [^D5-15^][^D5-6^] — its composite #4 reflects competition and procurement friction, not weak economics. Defense/AFFF holds #2 on both lists, with the savings case carried by the $28/gal hazardous-landfill benchmark [^D4-26^]. PFAS concentrates are top-3 under both lenses — the most robust finding in this chapter — because regulation, validated destruction evidence, and a $1.83–10/gal incumbent band all point the same way [^D4-24^][^D11-19^]. And CEA-captive sites climb from composite #12 to savings #6, confirming the hauling-displacement niche as the only savings-led entry in that vertical [^D1-15^].</w:t>
      </w:r>
    </w:p>
    <w:p>
      <w:pPr>
        <w:pStyle w:val="BodyText"/>
      </w:pPr>
      <w:r>
        <w:t xml:space="preserve">The demotions are equally informative. Distillery vinasse (composite #6 → savings #13) and textile ZLD (composite #3 → savings #14) collapse to the bottom because their mandated thermal incumbents cost only ~$0.007–0.010/gal [^D10-27^][^V2D3-30^]; their composite strength is regulatory compulsion plus energy export from autothermal feed, not savings displacement, and proposals in those verticals must lead with the energy line, not the disposal line. The qualifier that keeps the savings lens honest is margin × volume: a $50/gal trickle of lab-pack waste is a smaller pool than a $5/gal river of PFAS foamate, so the savings rank indicates</w:t>
      </w:r>
      <w:r>
        <w:t xml:space="preserve"> </w:t>
      </w:r>
      <w:r>
        <w:rPr>
          <w:iCs/>
          <w:i/>
        </w:rPr>
        <w:t xml:space="preserve">pricing headroom</w:t>
      </w:r>
      <w:r>
        <w:t xml:space="preserve">, not revenue size — Chapter 8’s market pools supply the volume leg. Finally, the pending-pricing caveat binds the whole section: until HCSP unit costs are published, every figure here is an addressable-savings ceiling against the conservative ~$0.07–0.09/gal energy band (manufacturer-stated negligible net operating energy cost via the self-fueling hydrogen loop [^S3^]) [^D4-47^][^D7-E1^], not a forecast of realized price. The commercial consequence is that WDaaS pricing should be set as a discount-to-incumbent in each vertical — deepest in solvents and AFFF, shallowest in biosolids and F&amp;B — rather than as a single global rate.</w:t>
      </w:r>
    </w:p>
    <w:bookmarkEnd w:id="59"/>
    <w:bookmarkEnd w:id="60"/>
    <w:bookmarkStart w:id="64" w:name="what-v2-changed-and-what-it-did-not"/>
    <w:p>
      <w:pPr>
        <w:pStyle w:val="Heading2"/>
      </w:pPr>
      <w:r>
        <w:t xml:space="preserve">3.4 What v2 Changed — and What It Did Not</w:t>
      </w:r>
    </w:p>
    <w:bookmarkStart w:id="61" w:name="Xad60f22c5d4bc5c757f3c9d748aaddf9972af30"/>
    <w:p>
      <w:pPr>
        <w:pStyle w:val="Heading3"/>
      </w:pPr>
      <w:r>
        <w:t xml:space="preserve">3.4.1 Five new verticals: one genuine entrant, one inversion, three niches</w:t>
      </w:r>
    </w:p>
    <w:p>
      <w:pPr>
        <w:pStyle w:val="FirstParagraph"/>
      </w:pPr>
      <w:r>
        <w:rPr>
          <w:bCs/>
          <w:b/>
        </w:rPr>
        <w:t xml:space="preserve">Distillery/ethanol vinasse (7.0) is the standout v2 entrant and joins the top group for one reason: it is the only new vertical where regulation, feed physics, and energy economics align at once.</w:t>
      </w:r>
      <w:r>
        <w:t xml:space="preserve"> </w:t>
      </w:r>
      <w:r>
        <w:t xml:space="preserve">Molasses spent wash runs 100,000–160,000 mg/L COD — squarely in the autothermal and power-export band [^V2D3-22^] — and India’s Central Pollution Control Board mandates ZLD for roughly 270 molasses distilleries, with closure orders for non-compliance and land application explicitly disallowed [^V2D3-28^][^V2D3-29^]. The mandated incumbent route (biomethanation, multiple-effect evaporation, then boiler incineration)</w:t>
      </w:r>
      <w:r>
        <w:t xml:space="preserve"> </w:t>
      </w:r>
      <w:r>
        <w:rPr>
          <w:iCs/>
          <w:i/>
        </w:rPr>
        <w:t xml:space="preserve">consumes</w:t>
      </w:r>
      <w:r>
        <w:t xml:space="preserve"> </w:t>
      </w:r>
      <w:r>
        <w:t xml:space="preserve">energy; an HCSP train replaces it while</w:t>
      </w:r>
      <w:r>
        <w:t xml:space="preserve"> </w:t>
      </w:r>
      <w:r>
        <w:rPr>
          <w:iCs/>
          <w:i/>
        </w:rPr>
        <w:t xml:space="preserve">exporting</w:t>
      </w:r>
      <w:r>
        <w:t xml:space="preserve"> </w:t>
      </w:r>
      <w:r>
        <w:t xml:space="preserve">steam and power, with fermentation cooling as an absorption-chilling offtake. The serviceable addressable market is an analyst build-up of $2–5B across India and Brazil — medium confidence, with unit pricing the main uncertainty [^V2D3-29^]. This is the same triad that made PFAS the v1 leader, and it makes distillery retrofits the strongest candidate for the first 100–1,000 m³/day deployments.</w:t>
      </w:r>
    </w:p>
    <w:p>
      <w:pPr>
        <w:pStyle w:val="BodyText"/>
      </w:pPr>
      <w:r>
        <w:rPr>
          <w:bCs/>
          <w:b/>
        </w:rPr>
        <w:t xml:space="preserve">Islands/resorts (6.0)</w:t>
      </w:r>
      <w:r>
        <w:t xml:space="preserve"> </w:t>
      </w:r>
      <w:r>
        <w:t xml:space="preserve">is the only vertical where all three HCSP outputs are simultaneously priced at or near global maximums: electricity at $0.30–0.52/kWh in Hawaii and the US Virgin Islands, small-scale desalinated water at $2–5/m³, and cooling that displaces electric air conditioning at those tariffs [^V2D3-36^][^V2D3-37^][^V2D3-38^]. The constraint is the feed: municipal and resort sludge is dilute, so autothermal operation requires blending with grease-trap waste and food organics that islands also struggle to dispose of — which is, conveniently, a disposal problem HCSP solves in the same train. The risk is erosion of the power-value leg as island solar-plus-storage power purchase agreements emerge near $0.10–0.15/kWh.</w:t>
      </w:r>
    </w:p>
    <w:p>
      <w:pPr>
        <w:pStyle w:val="BodyText"/>
      </w:pPr>
      <w:r>
        <w:rPr>
          <w:bCs/>
          <w:b/>
        </w:rPr>
        <w:t xml:space="preserve">Data centers (3.0 direct) require an inversion, not a sale.</w:t>
      </w:r>
      <w:r>
        <w:t xml:space="preserve"> </w:t>
      </w:r>
      <w:r>
        <w:t xml:space="preserve">Their on-site liquid waste is dominated by inorganic cooling-tower blowdown — a membrane/ZLD problem, not an oxidation problem — so a waste-treatment unit cannot be justified by the site’s own streams [^V2D3-7^]. The credible play is the Microsoft Cheyenne Data Plant logic run in reverse: site HCSP at an adjacent waste-rich host (a wastewater plant, distillery, or F&amp;B facility) and sell power, cooling, and reclaimed water across the fence to a data center facing four-to-seven-year grid interconnection queues [^V2D3-9^][^V2D3-3^]. Data centers therefore appear in this table as a demand anchor that de-risks project finance in stronger verticals, not as a buyer.</w:t>
      </w:r>
    </w:p>
    <w:p>
      <w:pPr>
        <w:pStyle w:val="BodyText"/>
      </w:pPr>
      <w:r>
        <w:rPr>
          <w:bCs/>
          <w:b/>
        </w:rPr>
        <w:t xml:space="preserve">CAFO manure (4.0) and mining/remote camps (4.0)</w:t>
      </w:r>
      <w:r>
        <w:t xml:space="preserve"> </w:t>
      </w:r>
      <w:r>
        <w:t xml:space="preserve">are bounded niches. Manure is an enormous feedstock — 1.4 billion tons/yr in the US — but 85–92% water, and anaerobic digesters stacked with LCFS credits (historically &gt;$50/MMBtu, ~15× commodity gas) monetize the same methane-avoidance story with proven financing [^V2D3-12^][^V2D3-18^]. HCSP’s wedge is narrow but real: digestate elimination and water recovery in land-constrained, water-stressed dairy belts where the roughly 0.8 hectare-per-cow land-base requirement is binding [^V2D3-16^]. Remote camps offer high value per unit — diesel power at $0.30–1.10/kWh, extreme haul costs, water scarcity — but small organic volumes per site and bespoke procurement keep them opportunistic [^V2D3-32^].</w:t>
      </w:r>
    </w:p>
    <w:bookmarkEnd w:id="61"/>
    <w:bookmarkStart w:id="62" w:name="Xf25999e376938ce165b8b374fe849540d71627c"/>
    <w:p>
      <w:pPr>
        <w:pStyle w:val="Heading3"/>
      </w:pPr>
      <w:r>
        <w:t xml:space="preserve">3.4.2 The produced-water correction: a real niche, honestly framed</w:t>
      </w:r>
    </w:p>
    <w:p>
      <w:pPr>
        <w:pStyle w:val="FirstParagraph"/>
      </w:pPr>
      <w:r>
        <w:t xml:space="preserve">Produced water moves up from 3.5 to 4.75, but the reframing matters more than the number. The v2 verification found that every headline figure on the</w:t>
      </w:r>
      <w:r>
        <w:t xml:space="preserve"> </w:t>
      </w:r>
      <w:r>
        <w:t xml:space="preserve">“</w:t>
      </w:r>
      <w:r>
        <w:t xml:space="preserve">$5/bbl, 1,000,000 bbl/day</w:t>
      </w:r>
      <w:r>
        <w:t xml:space="preserve">”</w:t>
      </w:r>
      <w:r>
        <w:t xml:space="preserve"> </w:t>
      </w:r>
      <w:r>
        <w:t xml:space="preserve">investor webpage is contradicted by primary evidence: the $5/bbl benchmark holds only in the Marcellus niche (Permian pipeline disposal runs $0.25–1.00/bbl), the claimed unit scale is roughly 1,200× the largest SCWO plant ever built, and the claimed capital cost is 60–160× below the most optimistic modeled benchmark [^V2D5-3^][^V2D5-17^][^V2D5-18^]. The defensible case is a 50,000–100,000 bbl/day hub using salt-separation-first architecture in Marcellus/Utica — where trucking-to-Ohio disposal runs $3–15/bbl — or in seismicity-constrained Permian pockets, with corrected returns of roughly 45–82% IRR and 1.2–2.1-year paybacks in the niche versus negative returns at Permian pipeline pricing [^V2D5-5^][^S2^]. Chapter 7 carries the full corrected model; the league-table consequence is that produced water belongs in Tier 3 as a regional option, explicitly not as the basin-scale revenue engine. Publishing the corrected niche case is itself a strategic asset: the numbers that survive diligence are the ones that preserve credibility for the Tier 1 and Tier 2 story.</w:t>
      </w:r>
    </w:p>
    <w:bookmarkEnd w:id="62"/>
    <w:bookmarkStart w:id="63" w:name="sequencing-consequence"/>
    <w:p>
      <w:pPr>
        <w:pStyle w:val="Heading3"/>
      </w:pPr>
      <w:r>
        <w:t xml:space="preserve">3.4.3 Sequencing consequence</w:t>
      </w:r>
    </w:p>
    <w:p>
      <w:pPr>
        <w:pStyle w:val="FirstParagraph"/>
      </w:pPr>
      <w:r>
        <w:t xml:space="preserve">The v2 table widens the monetizable core from six markets to eight and pushes the first large-train deployments toward a specific geography: India’s compliance-captive distillery and textile clusters, where autothermal feeds, mandated thermal incumbents, and energy export coincide. Tier 1 remains the entry point; Tier 2 is now deep enough to sustain a pipeline; and the Tier 3/4 tail should be resourced only where it de-risks the core — data centers as offtakers, islands as trigeneration showcases, produced water as a disciplined regional option.</w:t>
      </w:r>
    </w:p>
    <w:bookmarkEnd w:id="63"/>
    <w:bookmarkEnd w:id="64"/>
    <w:bookmarkEnd w:id="65"/>
    <w:bookmarkStart w:id="76" w:name="tier-1-where-hcsp-creates-the-most-value"/>
    <w:p>
      <w:pPr>
        <w:pStyle w:val="Heading1"/>
      </w:pPr>
      <w:r>
        <w:t xml:space="preserve">4. Tier 1: Where HCSP Creates the Most Value</w:t>
      </w:r>
    </w:p>
    <w:p>
      <w:pPr>
        <w:pStyle w:val="FirstParagraph"/>
      </w:pPr>
      <w:r>
        <w:rPr>
          <w:bCs/>
          <w:b/>
        </w:rPr>
        <w:t xml:space="preserve">The two highest-scoring Tier 1 markets in Chapter 3’s league table — PFAS destruction/landfill leachate (8.0/10) and defense, maritime, and remote installations (7.5/10) — share one economic DNA: the customer is paying to make a regulated liability disappear, not to recover water.</w:t>
      </w:r>
      <w:r>
        <w:t xml:space="preserve"> </w:t>
      </w:r>
      <w:r>
        <w:t xml:space="preserve">(The third Tier 1 market, India’s textile ZLD wedge at 7.4/10, is analyzed with the regional opportunities in Chapter 6 because its entry logic is cluster- and geography-gated rather than stream-based.) Every other candidate stream in this report monetizes a product (water, fertilizer, recovered solvent); these two monetize risk removal, at price points of $1–28 per gallon that sit one to two orders of magnitude above HCSP’s modeled power cost of roughly $0.07–0.09 per gallon.[^D4-24^][^D4-25^][^D4-26^] Tier 1 is therefore where HCSP should concentrate commercialization capital: a liability-driven buyer, federally validated destruction evidence for the technology class, and a cost umbrella wide enough to sustain service pricing with sub-1.5-year payback.</w:t>
      </w:r>
    </w:p>
    <w:p>
      <w:pPr>
        <w:pStyle w:val="BodyText"/>
      </w:pPr>
      <w:r>
        <w:t xml:space="preserve">Both dimensions also carry quantified uncertainty investors should price in: the PFAS market’s long-run value was downgraded 43% by its leading trade journal on federal deregulation, the landfill-leachate mandate that would convert ~2,600 municipal solid waste (MSW) landfills into mandatory buyers is still pending, and the Department of Defense (DoD) re-opened the incumbent incineration pathway in early 2026.[^D4-9^][^D4-52^][^D4-31^] These are timing and competition risks, not demand-killers — the liability creating the demand (CERCLA designation, statutory AFFF transition) is the part of the framework that survived.</w:t>
      </w:r>
    </w:p>
    <w:bookmarkStart w:id="72" w:name="X8f7f19f072c97e0b07a4327798637f6a9f80c3a"/>
    <w:p>
      <w:pPr>
        <w:pStyle w:val="Heading2"/>
      </w:pPr>
      <w:r>
        <w:t xml:space="preserve">4.1 PFAS Destruction and Landfill Leachate (8.0/10)</w:t>
      </w:r>
    </w:p>
    <w:p>
      <w:pPr>
        <w:pStyle w:val="FirstParagraph"/>
      </w:pPr>
      <w:r>
        <w:rPr>
          <w:bCs/>
          <w:b/>
        </w:rPr>
        <w:t xml:space="preserve">This is the single best market for HCSP: the strongest regulatory tailwind in the report, the widest price umbrella, and the strongest third-party destruction evidence SCWO has ever assembled.</w:t>
      </w:r>
      <w:r>
        <w:t xml:space="preserve"> </w:t>
      </w:r>
      <w:r>
        <w:t xml:space="preserve">Per- and polyfluoroalkyl substances (PFAS) — the</w:t>
      </w:r>
      <w:r>
        <w:t xml:space="preserve"> </w:t>
      </w:r>
      <w:r>
        <w:t xml:space="preserve">“</w:t>
      </w:r>
      <w:r>
        <w:t xml:space="preserve">forever chemicals</w:t>
      </w:r>
      <w:r>
        <w:t xml:space="preserve">”</w:t>
      </w:r>
      <w:r>
        <w:t xml:space="preserve"> </w:t>
      </w:r>
      <w:r>
        <w:t xml:space="preserve">whose carbon–fluorine bonds resist biological and conventional chemical treatment — are precisely the class of stream where concentration-then-destroy economics favor a supercritical water oxidation (SCWO) skid.</w:t>
      </w:r>
    </w:p>
    <w:bookmarkStart w:id="66" w:name="X32248a8f7fdebd12ca7855683376dfe866b42c0"/>
    <w:p>
      <w:pPr>
        <w:pStyle w:val="Heading3"/>
      </w:pPr>
      <w:r>
        <w:t xml:space="preserve">4.1.1 Regulation: the liability engine is intact, the mandate catalyst is pending</w:t>
      </w:r>
    </w:p>
    <w:p>
      <w:pPr>
        <w:pStyle w:val="FirstParagraph"/>
      </w:pPr>
      <w:r>
        <w:rPr>
          <w:bCs/>
          <w:b/>
        </w:rPr>
        <w:t xml:space="preserve">So what:</w:t>
      </w:r>
      <w:r>
        <w:t xml:space="preserve"> </w:t>
      </w:r>
      <w:r>
        <w:t xml:space="preserve">the regulatory framework’s two anchor provisions — the 4 parts-per-trillion (ppt) drinking-water limits and the hazardous-substance designation that attaches cleanup liability to every PFAS handoff — have both been retained and defended by the current EPA. What remains pending is the rule that would convert landfill operators from optional to mandatory buyers.</w:t>
      </w:r>
    </w:p>
    <w:p>
      <w:pPr>
        <w:pStyle w:val="BodyText"/>
      </w:pPr>
      <w:r>
        <w:t xml:space="preserve">The April 2024 National Primary Drinking Water Regulation set maximum contaminant levels (MCLs) of 4.0 ppt each for PFOA and PFOS.[^D4-1^] EPA under Administrator Zeldin retained and is defending those MCLs, while proposing to rescind four secondary standards and extend the PFOA/PFOS compliance deadline from 2029 to 2031; the D.C. Circuit’s January 21, 2026 denial of EPA’s vacatur motion keeps all six MCLs legally in effect meanwhile.[^D4-2^][^D4-3^][^D4-4^] For investors, the read is straightforward: the demand floor is durable, the demand clock has been pushed out roughly two years.</w:t>
      </w:r>
    </w:p>
    <w:p>
      <w:pPr>
        <w:pStyle w:val="BodyText"/>
      </w:pPr>
      <w:r>
        <w:t xml:space="preserve">The second anchor matters more for HCSP specifically. EPA’s designation of PFOA and PFOS as hazardous substances under the Comprehensive Environmental Response, Compensation, and Liability Act (CERCLA) — effective July 2024 — was retained (announced September 17, 2025) and upheld by the D.C. Circuit in 2026.[^D4-5^][^D4-6^][^D4-7^] CERCLA puts landfills and publicly owned treatment works (POTWs) formally in the liability chain as</w:t>
      </w:r>
      <w:r>
        <w:t xml:space="preserve"> </w:t>
      </w:r>
      <w:r>
        <w:t xml:space="preserve">“</w:t>
      </w:r>
      <w:r>
        <w:t xml:space="preserve">passive receivers</w:t>
      </w:r>
      <w:r>
        <w:t xml:space="preserve">”</w:t>
      </w:r>
      <w:r>
        <w:t xml:space="preserve"> </w:t>
      </w:r>
      <w:r>
        <w:t xml:space="preserve">with no statutory protection.[^D4-6^] That transforms leachate hauling from a disposal cost into a retained liability — and makes on-site destruction, which extinguishes the liability rather than relocating it, the economically rational choice.</w:t>
      </w:r>
    </w:p>
    <w:p>
      <w:pPr>
        <w:pStyle w:val="BodyText"/>
      </w:pPr>
      <w:r>
        <w:t xml:space="preserve">The pending catalyst is the landfill Effluent Limitation Guideline (ELG). EPA’s Effluent Guidelines Program Plan 15 (January 2023) committed to revising the landfill ELG (40 CFR Part 445) to address PFAS in leachate — the first PFAS ELG — and the September 2025 Unified Agenda anticipates a proposed rulemaking in 2026.[^D4-10^][^D4-52^] Finalization would convert roughly 2,600 US MSW landfills from optional to mandatory buyers of leachate PFAS treatment. The commitment has not been withdrawn, but the proposal has slipped repeatedly; treat 2026–2028 as the realistic window.</w:t>
      </w:r>
    </w:p>
    <w:p>
      <w:pPr>
        <w:pStyle w:val="BodyText"/>
      </w:pPr>
      <w:r>
        <w:t xml:space="preserve">The honest downside is already market-priced. The Environmental Business Journal (EBJ) cut its 30-year PFAS management market estimate from $230 billion (2024) to $132 billion (2025) — a 43% downgrade attributed explicitly to federal loosening of PFAS restrictions.[^D4-9^] This is the cleanest quantification of regulatory risk available, and it still leaves a nine-figure cumulative opportunity anchored on remediation (~$88B), drinking water (~$24B), and wastewater (~$20B).[^D4-9^]</w:t>
      </w:r>
    </w:p>
    <w:bookmarkEnd w:id="66"/>
    <w:bookmarkStart w:id="70" w:name="Xd536d1720cd0661f9c1479b5893e8511142abbf"/>
    <w:p>
      <w:pPr>
        <w:pStyle w:val="Heading3"/>
      </w:pPr>
      <w:r>
        <w:t xml:space="preserve">4.1.2 Economics: a $2–28/gallon liability priced against a $0.08/gallon power bill</w:t>
      </w:r>
    </w:p>
    <w:p>
      <w:pPr>
        <w:pStyle w:val="FirstParagraph"/>
      </w:pPr>
      <w:r>
        <w:rPr>
          <w:bCs/>
          <w:b/>
        </w:rPr>
        <w:t xml:space="preserve">So what:</w:t>
      </w:r>
      <w:r>
        <w:t xml:space="preserve"> </w:t>
      </w:r>
      <w:r>
        <w:t xml:space="preserve">HCSP can price destruction services at $2–5 per gallon, undercut incineration and incumbent SCWO providers by 2–5×, and still earn service margins exceeding 60% — because the incumbent price umbrella is set by relocation pathways ($1–28/gal) that no longer extinguish liability under CERCLA.</w:t>
      </w:r>
    </w:p>
    <w:p>
      <w:pPr>
        <w:pStyle w:val="BodyText"/>
      </w:pPr>
      <w:r>
        <w:t xml:space="preserve">The demand base is physical, not speculative. US landfills generate approximately 16 billion gallons of leachate per year, at mean PFAS concentrations of 9,400–11,200 ppt — roughly 2,500 times the 4 ppt MCL.[^D4-17^][^D4-19^] About 62% of landfills send leachate to POTWs, which do not destroy PFAS and are increasingly refusing loads or adding surcharges as their own CERCLA exposure grows.[^D4-18^][^D4-22^][^D4-6^] Every upstream concentration technology (carbon, ion exchange, reverse osmosis, foam fractionation) leaves a residual — foam fractionate is 0.5–2% of feed volume but concentrated up to 100,000× — and that concentrate-management segment, $200–400 million in 2023, is forecast to reach $1–2 billion by 2030.[^D4-24^][^D4-755^] That segment is HCSP’s direct bullseye.</w:t>
      </w:r>
    </w:p>
    <w:p>
      <w:pPr>
        <w:pStyle w:val="BodyText"/>
      </w:pPr>
      <w:r>
        <w:t xml:space="preserve">Market sizing converges on $2.1–3.4 billion per year globally for PFAS treatment/remediation (2025–2026 base years, four research houses), with North America at roughly 42–45% (~$0.9–1.5B/yr) and the destruction-systems slice identified as the fastest-growing.[^D4-10^][^D4-11^][^D4-12^][^D4-13^][^D4-14^] Bottom-up, the US destruction-addressable market for concentrated PFAS streams reaches $1.5–4 billion per year by 2030 — leachate concentrate ($50M–1.5B/yr), drinking-water residuals ($1–2B/yr by 2030), AFFF stockpiles ($25–450M cumulative), and DoD remediation concentrates ($0.9–1.9B cumulative).[^D4-24^][^D4-13^][^D4-121^] Volume math supports 200–500 skid-equivalents of US demand by the early 2030s.[^D4-47^]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Disposal / destruction pathway</w:t>
            </w:r>
          </w:p>
        </w:tc>
        <w:tc>
          <w:tcPr/>
          <w:p>
            <w:pPr>
              <w:pStyle w:val="Compact"/>
              <w:jc w:val="left"/>
            </w:pPr>
            <w:r>
              <w:t xml:space="preserve">Price to customer ($/gal concentrate)</w:t>
            </w:r>
          </w:p>
        </w:tc>
        <w:tc>
          <w:tcPr/>
          <w:p>
            <w:pPr>
              <w:pStyle w:val="Compact"/>
              <w:jc w:val="left"/>
            </w:pPr>
            <w:r>
              <w:t xml:space="preserve">What the customer actually gets</w:t>
            </w:r>
          </w:p>
        </w:tc>
        <w:tc>
          <w:tcPr/>
          <w:p>
            <w:pPr>
              <w:pStyle w:val="Compact"/>
              <w:jc w:val="left"/>
            </w:pPr>
            <w:r>
              <w:t xml:space="preserve">HCSP competitive read</w:t>
            </w:r>
          </w:p>
        </w:tc>
      </w:tr>
      <w:tr>
        <w:tc>
          <w:tcPr/>
          <w:p>
            <w:pPr>
              <w:pStyle w:val="Compact"/>
              <w:jc w:val="left"/>
            </w:pPr>
            <w:r>
              <w:t xml:space="preserve">Deep-well injection</w:t>
            </w:r>
          </w:p>
        </w:tc>
        <w:tc>
          <w:tcPr/>
          <w:p>
            <w:pPr>
              <w:pStyle w:val="Compact"/>
              <w:jc w:val="left"/>
            </w:pPr>
            <w:r>
              <w:t xml:space="preserve">1–2 [^D4-25^]</w:t>
            </w:r>
          </w:p>
        </w:tc>
        <w:tc>
          <w:tcPr/>
          <w:p>
            <w:pPr>
              <w:pStyle w:val="Compact"/>
              <w:jc w:val="left"/>
            </w:pPr>
            <w:r>
              <w:t xml:space="preserve">Relocation; long-term liability retained; wells</w:t>
            </w:r>
            <w:r>
              <w:t xml:space="preserve"> </w:t>
            </w:r>
            <w:r>
              <w:t xml:space="preserve">“</w:t>
            </w:r>
            <w:r>
              <w:t xml:space="preserve">rarely available</w:t>
            </w:r>
            <w:r>
              <w:t xml:space="preserve">”</w:t>
            </w:r>
            <w:r>
              <w:t xml:space="preserve"> </w:t>
            </w:r>
            <w:r>
              <w:t xml:space="preserve">per DoD [^D4-24^]</w:t>
            </w:r>
          </w:p>
        </w:tc>
        <w:tc>
          <w:tcPr/>
          <w:p>
            <w:pPr>
              <w:pStyle w:val="Compact"/>
              <w:jc w:val="left"/>
            </w:pPr>
            <w:r>
              <w:t xml:space="preserve">Price floor; beat once transport + liability priced in</w:t>
            </w:r>
          </w:p>
        </w:tc>
      </w:tr>
      <w:tr>
        <w:tc>
          <w:tcPr/>
          <w:p>
            <w:pPr>
              <w:pStyle w:val="Compact"/>
              <w:jc w:val="left"/>
            </w:pPr>
            <w:r>
              <w:t xml:space="preserve">Hazardous-waste incineration</w:t>
            </w:r>
          </w:p>
        </w:tc>
        <w:tc>
          <w:tcPr/>
          <w:p>
            <w:pPr>
              <w:pStyle w:val="Compact"/>
              <w:jc w:val="left"/>
            </w:pPr>
            <w:r>
              <w:t xml:space="preserve">5–10 [^D4-25^][^D4-557^]</w:t>
            </w:r>
          </w:p>
        </w:tc>
        <w:tc>
          <w:tcPr/>
          <w:p>
            <w:pPr>
              <w:pStyle w:val="Compact"/>
              <w:jc w:val="left"/>
            </w:pPr>
            <w:r>
              <w:t xml:space="preserve">Destruction (99.9999% demonstrated); air permits, community-opposition risk; DoD moratorium lifted Feb–Mar 2026 [^D4-31^]</w:t>
            </w:r>
          </w:p>
        </w:tc>
        <w:tc>
          <w:tcPr/>
          <w:p>
            <w:pPr>
              <w:pStyle w:val="Compact"/>
              <w:jc w:val="left"/>
            </w:pPr>
            <w:r>
              <w:t xml:space="preserve">HCSP undercuts 2–5× with no air permit</w:t>
            </w:r>
          </w:p>
        </w:tc>
      </w:tr>
      <w:tr>
        <w:tc>
          <w:tcPr/>
          <w:p>
            <w:pPr>
              <w:pStyle w:val="Compact"/>
              <w:jc w:val="left"/>
            </w:pPr>
            <w:r>
              <w:t xml:space="preserve">Hazardous-waste landfill</w:t>
            </w:r>
          </w:p>
        </w:tc>
        <w:tc>
          <w:tcPr/>
          <w:p>
            <w:pPr>
              <w:pStyle w:val="Compact"/>
              <w:jc w:val="left"/>
            </w:pPr>
            <w:r>
              <w:t xml:space="preserve">6–28 (AFFF: $28, Michigan 2020) [^D4-26^]</w:t>
            </w:r>
          </w:p>
        </w:tc>
        <w:tc>
          <w:tcPr/>
          <w:p>
            <w:pPr>
              <w:pStyle w:val="Compact"/>
              <w:jc w:val="left"/>
            </w:pPr>
            <w:r>
              <w:t xml:space="preserve">No destruction; CERCLA liability persists; EPA cautions against for concentrates [^D4-40^]</w:t>
            </w:r>
          </w:p>
        </w:tc>
        <w:tc>
          <w:tcPr/>
          <w:p>
            <w:pPr>
              <w:pStyle w:val="Compact"/>
              <w:jc w:val="left"/>
            </w:pPr>
            <w:r>
              <w:t xml:space="preserve">Losing regulatory favor; widest part of the umbrella</w:t>
            </w:r>
          </w:p>
        </w:tc>
      </w:tr>
      <w:tr>
        <w:tc>
          <w:tcPr/>
          <w:p>
            <w:pPr>
              <w:pStyle w:val="Compact"/>
              <w:jc w:val="left"/>
            </w:pPr>
            <w:r>
              <w:t xml:space="preserve">Incumbent SCWO service (374Water benchmark)</w:t>
            </w:r>
          </w:p>
        </w:tc>
        <w:tc>
          <w:tcPr/>
          <w:p>
            <w:pPr>
              <w:pStyle w:val="Compact"/>
              <w:jc w:val="left"/>
            </w:pPr>
            <w:r>
              <w:t xml:space="preserve">~6–10; up to 100–400 for neat AFFF at pilot scale [^D4-47^][^D4-28^]</w:t>
            </w:r>
          </w:p>
        </w:tc>
        <w:tc>
          <w:tcPr/>
          <w:p>
            <w:pPr>
              <w:pStyle w:val="Compact"/>
              <w:jc w:val="left"/>
            </w:pPr>
            <w:r>
              <w:t xml:space="preserve">Destruction, on-site, no air permit</w:t>
            </w:r>
          </w:p>
        </w:tc>
        <w:tc>
          <w:tcPr/>
          <w:p>
            <w:pPr>
              <w:pStyle w:val="Compact"/>
              <w:jc w:val="left"/>
            </w:pPr>
            <w:r>
              <w:t xml:space="preserve">HCSP targets the same niche at lower price point</w:t>
            </w:r>
          </w:p>
        </w:tc>
      </w:tr>
      <w:tr>
        <w:tc>
          <w:tcPr/>
          <w:p>
            <w:pPr>
              <w:pStyle w:val="Compact"/>
              <w:jc w:val="left"/>
            </w:pPr>
            <w:r>
              <w:rPr>
                <w:bCs/>
                <w:b/>
              </w:rPr>
              <w:t xml:space="preserve">HCSP modeled service pricing</w:t>
            </w:r>
          </w:p>
        </w:tc>
        <w:tc>
          <w:tcPr/>
          <w:p>
            <w:pPr>
              <w:pStyle w:val="Compact"/>
              <w:jc w:val="left"/>
            </w:pPr>
            <w:r>
              <w:rPr>
                <w:bCs/>
                <w:b/>
              </w:rPr>
              <w:t xml:space="preserve">2–5</w:t>
            </w:r>
            <w:r>
              <w:t xml:space="preserve"> </w:t>
            </w:r>
            <w:r>
              <w:t xml:space="preserve">[^D4-24^]</w:t>
            </w:r>
          </w:p>
        </w:tc>
        <w:tc>
          <w:tcPr/>
          <w:p>
            <w:pPr>
              <w:pStyle w:val="Compact"/>
              <w:jc w:val="left"/>
            </w:pPr>
            <w:r>
              <w:t xml:space="preserve">Destruction, on-site, no air permit; power cost ~$0.07–0.09/gal; all-in OPEX est. $0.5–2.0/gal</w:t>
            </w:r>
          </w:p>
        </w:tc>
        <w:tc>
          <w:tcPr/>
          <w:p>
            <w:pPr>
              <w:pStyle w:val="Compact"/>
              <w:jc w:val="left"/>
            </w:pPr>
            <w:r>
              <w:rPr>
                <w:bCs/>
                <w:b/>
              </w:rPr>
              <w:t xml:space="preserve">Viable margin at half the incumbent SCWO price</w:t>
            </w:r>
          </w:p>
        </w:tc>
      </w:tr>
      <w:tr>
        <w:tc>
          <w:tcPr/>
          <w:p>
            <w:pPr>
              <w:pStyle w:val="Compact"/>
              <w:jc w:val="left"/>
            </w:pPr>
            <w:r>
              <w:t xml:space="preserve">HCSP power cost only</w:t>
            </w:r>
          </w:p>
        </w:tc>
        <w:tc>
          <w:tcPr/>
          <w:p>
            <w:pPr>
              <w:pStyle w:val="Compact"/>
              <w:jc w:val="left"/>
            </w:pPr>
            <w:r>
              <w:t xml:space="preserve">0.07–0.09 [^D4-24^]</w:t>
            </w:r>
          </w:p>
        </w:tc>
        <w:tc>
          <w:tcPr/>
          <w:p>
            <w:pPr>
              <w:pStyle w:val="Compact"/>
              <w:jc w:val="left"/>
            </w:pPr>
            <w:r>
              <w:t xml:space="preserve">75–95 kW × 24 h ≈ 0.68–0.86 kWh/gal at $0.10/kWh</w:t>
            </w:r>
          </w:p>
        </w:tc>
        <w:tc>
          <w:tcPr/>
          <w:p>
            <w:pPr>
              <w:pStyle w:val="Compact"/>
              <w:jc w:val="left"/>
            </w:pPr>
            <w:r>
              <w:t xml:space="preserve">The umbrella’s foundation</w:t>
            </w:r>
          </w:p>
        </w:tc>
      </w:tr>
    </w:tbl>
    <w:p>
      <w:pPr>
        <w:pStyle w:val="BodyText"/>
      </w:pPr>
      <w:r>
        <w:t xml:space="preserve">The interpretation that matters for capital allocation: the spread between the cheapest destructive incumbent ($5–10/gal incineration) and HCSP’s modeled all-in operating cost ($0.5–2.0/gal, a feed- and variant-dependent band for which Chapter 8’s $0.53–1.03/gal is the reference fully loaded stack) is the widest in any vertical in this report, and it exists because customers currently pay for</w:t>
      </w:r>
      <w:r>
        <w:t xml:space="preserve"> </w:t>
      </w:r>
      <w:r>
        <w:rPr>
          <w:iCs/>
          <w:i/>
        </w:rPr>
        <w:t xml:space="preserve">transport and burial</w:t>
      </w:r>
      <w:r>
        <w:t xml:space="preserve">, not treatment. The outlier — deep-well injection at $1–2/gal — is the only pathway cheaper than HCSP service pricing, and it is capacity-constrained, unavailable to most generators, and retains liability; DoD calls it</w:t>
      </w:r>
      <w:r>
        <w:t xml:space="preserve"> </w:t>
      </w:r>
      <w:r>
        <w:t xml:space="preserve">“</w:t>
      </w:r>
      <w:r>
        <w:t xml:space="preserve">rarely available.</w:t>
      </w:r>
      <w:r>
        <w:t xml:space="preserve">”</w:t>
      </w:r>
      <w:r>
        <w:t xml:space="preserve">[^D4-24^][^D4-40^] The $28/gal Michigan paid to landfill AFFF in 2020 shows the ceiling panic-buying sets when destruction capacity is scarce.[^D4-26^] Critically, SCWO energy scales with water volume, not contaminant load — so the skid belongs at the</w:t>
      </w:r>
      <w:r>
        <w:t xml:space="preserve"> </w:t>
      </w:r>
      <w:r>
        <w:rPr>
          <w:iCs/>
          <w:i/>
        </w:rPr>
        <w:t xml:space="preserve">end</w:t>
      </w:r>
      <w:r>
        <w:t xml:space="preserve"> </w:t>
      </w:r>
      <w:r>
        <w:t xml:space="preserve">of concentrate-and-destroy treatment trains, not on dilute raw leachate, where electrochemical rivals win on energy.[^D4-35^][^D4-43^] Capex benchmarking supports fast payback: 374Water’s AS6 service site carries $4.5–6.0M capital with a claimed 1.5–2.5-year payback; if HCSP capex lands at $1.5–3.0M and prices at $2–4/gal on ~0.95M gal/yr, revenue of $1.9–3.8M/yr implies payback under 1.5 years — contingent, we emphasize, on specs that are project-given rather than independently verified.[^D4-48^][^D4-47^] The conflict zone is documented rather than averaged away: Chapter 8 anchors capex more conservatively at $2.5–4.0M, benchmarked to the ~$5.2M Orange County Sanitation District AirSCWO-6 contract (equipment plus operation, within a $7.9M total project)[^D11-14^], and at that anchor the same revenue range still implies roughly 0.7–2.1-year simple payback.</w:t>
      </w:r>
    </w:p>
    <w:p>
      <w:pPr>
        <w:pStyle w:val="CaptionedFigure"/>
      </w:pPr>
      <w:r>
        <w:drawing>
          <wp:inline>
            <wp:extent cx="5334000" cy="2746570"/>
            <wp:effectExtent b="0" l="0" r="0" t="0"/>
            <wp:docPr descr="HCSP cost umbrella: incumbent PFAS disposal/destruction pricing vs. HCSP ($/gal). Sources: S7 Risk; Krishnan et al.; 374Water WDS disclosures; hcsp_dim04 modeled economics." title="" id="68" name="Picture"/>
            <a:graphic>
              <a:graphicData uri="http://schemas.openxmlformats.org/drawingml/2006/picture">
                <pic:pic>
                  <pic:nvPicPr>
                    <pic:cNvPr descr="chart04_cost_umbrella.png" id="69" name="Picture"/>
                    <pic:cNvPicPr>
                      <a:picLocks noChangeArrowheads="1" noChangeAspect="1"/>
                    </pic:cNvPicPr>
                  </pic:nvPicPr>
                  <pic:blipFill>
                    <a:blip r:embed="rId67"/>
                    <a:stretch>
                      <a:fillRect/>
                    </a:stretch>
                  </pic:blipFill>
                  <pic:spPr bwMode="auto">
                    <a:xfrm>
                      <a:off x="0" y="0"/>
                      <a:ext cx="5334000" cy="2746570"/>
                    </a:xfrm>
                    <a:prstGeom prst="rect">
                      <a:avLst/>
                    </a:prstGeom>
                    <a:noFill/>
                    <a:ln w="9525">
                      <a:noFill/>
                      <a:headEnd/>
                      <a:tailEnd/>
                    </a:ln>
                  </pic:spPr>
                </pic:pic>
              </a:graphicData>
            </a:graphic>
          </wp:inline>
        </w:drawing>
      </w:r>
    </w:p>
    <w:p>
      <w:pPr>
        <w:pStyle w:val="ImageCaption"/>
      </w:pPr>
      <w:r>
        <w:t xml:space="preserve">HCSP cost umbrella: incumbent PFAS disposal/destruction pricing vs. HCSP ($/gal). Sources: S7 Risk; Krishnan et al.; 374Water WDS disclosures; hcsp_dim04 modeled economics.</w:t>
      </w:r>
    </w:p>
    <w:bookmarkEnd w:id="70"/>
    <w:bookmarkStart w:id="71" w:name="X4699ea1de54bc77201226ef51f3ed5ea8e401c5"/>
    <w:p>
      <w:pPr>
        <w:pStyle w:val="Heading3"/>
      </w:pPr>
      <w:r>
        <w:t xml:space="preserve">4.1.3 Evidence edge: federally validated destruction — guidance lags the field</w:t>
      </w:r>
    </w:p>
    <w:p>
      <w:pPr>
        <w:pStyle w:val="FirstParagraph"/>
      </w:pPr>
      <w:r>
        <w:rPr>
          <w:bCs/>
          <w:b/>
        </w:rPr>
        <w:t xml:space="preserve">So what:</w:t>
      </w:r>
      <w:r>
        <w:t xml:space="preserve"> </w:t>
      </w:r>
      <w:r>
        <w:t xml:space="preserve">SCWO now holds the strongest third-party PFAS destruction record of any emerging technology, and EPA’s</w:t>
      </w:r>
      <w:r>
        <w:t xml:space="preserve"> </w:t>
      </w:r>
      <w:r>
        <w:t xml:space="preserve">“</w:t>
      </w:r>
      <w:r>
        <w:t xml:space="preserve">commercially unproven</w:t>
      </w:r>
      <w:r>
        <w:t xml:space="preserve">”</w:t>
      </w:r>
      <w:r>
        <w:t xml:space="preserve"> </w:t>
      </w:r>
      <w:r>
        <w:t xml:space="preserve">label is a documentation lag, not a performance verdict — a gap that closes with the next guidance revision and de-risks permitting conversations.</w:t>
      </w:r>
    </w:p>
    <w:p>
      <w:pPr>
        <w:pStyle w:val="BodyText"/>
      </w:pPr>
      <w:r>
        <w:t xml:space="preserve">A US Army Corps of Engineers ERDC technical report documented 99.9993% total PFAS destruction-and-removal efficiency (DRE) on AFFF by a commercial AirSCWO system, with fluorinated stack emissions of 0.0005 g/hr against 16.6 g/hr of PFAS fed — near-zero air pathway, empirically supporting the no-air-permit claim — independently validated by Arcadis.[^D4-33^] A Defense Innovation Unit/ESTCP demonstration released April 2026 showed &gt;99.9% DRE on all four concentrated liquid PFAS streams tested.[^D4-34^] Peer-reviewed Battelle studies show 99.999% destruction in AFFF at bench scale and ≥99.9% across three foam formulations in the field, with fluoride-ion mass balance confirming mineralization rather than transformation.[^D4-36^][^D4-35^]</w:t>
      </w:r>
    </w:p>
    <w:p>
      <w:pPr>
        <w:pStyle w:val="BodyText"/>
      </w:pPr>
      <w:r>
        <w:t xml:space="preserve">Against this, EPA’s April 2026 interim guidance still calls SCWO</w:t>
      </w:r>
      <w:r>
        <w:t xml:space="preserve"> </w:t>
      </w:r>
      <w:r>
        <w:t xml:space="preserve">“</w:t>
      </w:r>
      <w:r>
        <w:t xml:space="preserve">commercially unproven at scale</w:t>
      </w:r>
      <w:r>
        <w:t xml:space="preserve">”</w:t>
      </w:r>
      <w:r>
        <w:t xml:space="preserve"> </w:t>
      </w:r>
      <w:r>
        <w:t xml:space="preserve">— even as Revive Environmental operates North America’s first fully permitted commercial-scale SCWO PFAS destruction system (WEF 2025 Innovative Technology Award, requiring over a year of full-scale operation) and 374Water runs a commercial facility in Orlando.[^D4-39^][^D4-37^][^D4-47^] The lag cuts both ways: near-term permitting friction, but its correction is a probable, dated de-risking event. Competitors are real — HALT, electrochemical oxidation, UV-photochemical (Claros, $55M Series B), re-opened incineration — but no dominant player exists, and SCWO’s mineralization proof plus slurry/salt-feed suitability is differentiated.[^D4-41^][^D4-42^][^D4-43^][^D4-45^] The one technical watch-item is salt precipitation and corrosion on salty concentrates, the documented SCWO failure mode; HCSP’s reliability there is the proof point a demonstration program must establish.[^D4-35^]</w:t>
      </w:r>
    </w:p>
    <w:bookmarkEnd w:id="71"/>
    <w:bookmarkEnd w:id="72"/>
    <w:bookmarkStart w:id="75" w:name="X4d735f148d1834d2249ca887886b7df67e82de6"/>
    <w:p>
      <w:pPr>
        <w:pStyle w:val="Heading2"/>
      </w:pPr>
      <w:r>
        <w:t xml:space="preserve">4.2 Defense, Maritime, and Remote Installations (7.5/10)</w:t>
      </w:r>
    </w:p>
    <w:p>
      <w:pPr>
        <w:pStyle w:val="FirstParagraph"/>
      </w:pPr>
      <w:r>
        <w:rPr>
          <w:bCs/>
          <w:b/>
        </w:rPr>
        <w:t xml:space="preserve">Defense is the highest-strategic-value, moderate-near-term-revenue play in the portfolio: the customer has already paid to validate HCSP’s core technology class, faces a statutory waste-generation deadline in October 2026, and historically pays capability premiums — but procurement friction means it is a sequenced second market, not the beachhead.</w:t>
      </w:r>
    </w:p>
    <w:bookmarkStart w:id="73" w:name="Xd7a89354f3830d7730e1f7e653a8a1db033941e"/>
    <w:p>
      <w:pPr>
        <w:pStyle w:val="Heading3"/>
      </w:pPr>
      <w:r>
        <w:t xml:space="preserve">4.2.1 DoD PFAS cleanup and the AFFF transition: a validated customer with a statutory clock</w:t>
      </w:r>
    </w:p>
    <w:p>
      <w:pPr>
        <w:pStyle w:val="FirstParagraph"/>
      </w:pPr>
      <w:r>
        <w:t xml:space="preserve">DoD estimates its future PFAS investigation and cleanup costs will exceed $9.3 billion (FY2025 and beyond), more than triple the 2022 estimate, across 718 installations with known or suspected releases.[^D9-1^][^D9-2^] The pipeline shape is the opportunity: preliminary assessments are complete at 712 sites and remedial investigations begun at 370, but</w:t>
      </w:r>
      <w:r>
        <w:t xml:space="preserve"> </w:t>
      </w:r>
      <w:r>
        <w:rPr>
          <w:bCs/>
          <w:b/>
        </w:rPr>
        <w:t xml:space="preserve">zero</w:t>
      </w:r>
      <w:r>
        <w:t xml:space="preserve"> </w:t>
      </w:r>
      <w:r>
        <w:t xml:space="preserve">installations have reached the long-term cleanup phase — destruction-relevant spend is all ahead of the market.[^D9-2^] Congress has formally directed DoD to prioritize PFAS technologies that are most cost-effective and energy-efficient, and USACE states new systems</w:t>
      </w:r>
      <w:r>
        <w:t xml:space="preserve"> </w:t>
      </w:r>
      <w:r>
        <w:t xml:space="preserve">“</w:t>
      </w:r>
      <w:r>
        <w:t xml:space="preserve">will need to consider innovative approaches to reduce footprint and costs</w:t>
      </w:r>
      <w:r>
        <w:t xml:space="preserve">”</w:t>
      </w:r>
      <w:r>
        <w:t xml:space="preserve"> </w:t>
      </w:r>
      <w:r>
        <w:t xml:space="preserve">— HCSP’s design targets written into procurement criteria.[^D9-3^]</w:t>
      </w:r>
    </w:p>
    <w:p>
      <w:pPr>
        <w:pStyle w:val="BodyText"/>
      </w:pPr>
      <w:r>
        <w:t xml:space="preserve">The forcing event is the AFFF transition. The FY2020 NDAA banned PFAS-containing aqueous film-forming foam (AFFF); after two waivers, the statutory deadline is October 1, 2026, covering ~1,000 facilities and more than 6,000 mobile assets, with initial transition funding above $2.1 billion.[^D9-4^][^D9-5^] Every transitioned system must be drained and rinsed, generating foam concentrate and rinsate requiring destruction; DoD’s FY2025 request included roughly $600 million for AFFF changeout and disposal.[^D9-5^][^D4-30^] DoD is also the lead funder de-risking SCWO itself — SERDP/ESTCP produced the Battelle PFAS Annihilator’s 99.999% AFFF destruction result — so the customer has pre-validated the technology class HCSP embodies.[^D9-8^][^D9-9^]</w:t>
      </w:r>
    </w:p>
    <w:p>
      <w:pPr>
        <w:pStyle w:val="BodyText"/>
      </w:pPr>
      <w:r>
        <w:t xml:space="preserve">One competitive caveat must be stated plainly: on February 20–March 3, 2026, DoD ended its moratorium on incinerating PFAS materials, establishing a permit-based disposal framework through hazardous-waste incinerators, landfills, and deep wells.[^D4-31^][^D4-32^] This re-opens the incumbent pathway and intensifies competition — but it is also volume validation: DoD lifted the moratorium because foam-transition concentrate and rinse water had overflowed storage. The waste now exceeds storage capacity and must move; the question HCSP answers is whether it moves to an incinerator or is destroyed on-site without an air permit or transport liability.</w:t>
      </w:r>
    </w:p>
    <w:bookmarkEnd w:id="73"/>
    <w:bookmarkStart w:id="74" w:name="Xf8b6417ebedd3cae54ceef4c4f3bf45096bba68"/>
    <w:p>
      <w:pPr>
        <w:pStyle w:val="Heading3"/>
      </w:pPr>
      <w:r>
        <w:t xml:space="preserve">4.2.2 Remote/expeditionary fit and the maritime niche: premium pricing where logistics hurt</w:t>
      </w:r>
    </w:p>
    <w:p>
      <w:pPr>
        <w:pStyle w:val="FirstParagraph"/>
      </w:pPr>
      <w:r>
        <w:rPr>
          <w:bCs/>
          <w:b/>
        </w:rPr>
        <w:t xml:space="preserve">So what:</w:t>
      </w:r>
      <w:r>
        <w:t xml:space="preserve"> </w:t>
      </w:r>
      <w:r>
        <w:t xml:space="preserve">at austere sites, HCSP can command 2–5× the per-cubic-meter pricing of a grid-connected plant because the alternative — hauling streams that are 95–99% water over fuel-constrained logistics — costs 2–4× the invoice price and, in theater, has historically been measured in casualties.</w:t>
      </w:r>
    </w:p>
    <w:p>
      <w:pPr>
        <w:pStyle w:val="BodyText"/>
      </w:pPr>
      <w:r>
        <w:t xml:space="preserve">The spec-sheet fit is unusually direct. Navy SBIR topic N254-123 (2025) seeks expeditionary water treatment that is PLC-automated, no-operator-intervention, ruggedized, compact, and energy-efficient, dual-use in</w:t>
      </w:r>
      <w:r>
        <w:t xml:space="preserve"> </w:t>
      </w:r>
      <w:r>
        <w:t xml:space="preserve">“</w:t>
      </w:r>
      <w:r>
        <w:t xml:space="preserve">military bases, disaster zones, and remote communities</w:t>
      </w:r>
      <w:r>
        <w:t xml:space="preserve">”</w:t>
      </w:r>
      <w:r>
        <w:t xml:space="preserve"> </w:t>
      </w:r>
      <w:r>
        <w:t xml:space="preserve">— a near-verbatim match to HCSP’s attributes.[^D9-18^] DoD operates 500+ installations worldwide and pays capability premiums —</w:t>
      </w:r>
      <w:r>
        <w:t xml:space="preserve"> </w:t>
      </w:r>
      <w:r>
        <w:t xml:space="preserve">“</w:t>
      </w:r>
      <w:r>
        <w:t xml:space="preserve">DoD pays top dollar</w:t>
      </w:r>
      <w:r>
        <w:t xml:space="preserve">”</w:t>
      </w:r>
      <w:r>
        <w:t xml:space="preserve"> </w:t>
      </w:r>
      <w:r>
        <w:t xml:space="preserve">for resilient water technology.[^D9-10^] The strategic rationale is documented at the highest level: in Iraq, roughly 80% of convoy tonnage was fuel and water, and ~1,000 US deaths were attributed to attacks on those convoys.[^D9-23^] Energy economics cut both ways, however: a 75–95 kW load at a diesel-powered site implies roughly $0.7–3.5M per year in fuel, so HCSP wins at remote sites only on concentrated, energy-dense feeds (autothermal potential) or where hauling economics are worse — dilute greywater polishing belongs to low-power rivals.[^D9-27^][^D9-21^]</w:t>
      </w:r>
    </w:p>
    <w:p>
      <w:pPr>
        <w:pStyle w:val="BodyText"/>
      </w:pPr>
      <w:r>
        <w:t xml:space="preserve">Maritime is a niche, not a volume play, and the sizing discipline matters. The cruise sewage-system market ($3.52B in 2025, growing to $5.86B by 2032 at 6.5% CAGR) and the broader marine water-treatment market ($4.2B, 2024) are driven by MARPOL Annex IV, the Baltic Special Area’s effective passenger-ship discharge prohibition, and Alaska’s regime under which roughly half of large cruise ships hold all wastewater onboard.[^D9-11^][^D9-13^][^D9-12^] But large ships generate 500–3,000 m³/day of wastewater — HCSP’s 10 m³/day is 0.3–2% of that flow.[^D9-14^] The honest fit is sludge and membrane-concentrate destruction on newbuilds (56 ships, $56.7B orderbook), expedition and small vessels, and naval auxiliaries — not whole-ship greywater — and it is gated by marine type approval and shock/vibration qualification that SCWO has never passed.[^D9-19^][^D9-11^] Note also that the NDAA AFFF ban exempts oceangoing vessels, so maritime PFAS demand is land-based; shipboard demand rests on sludge and concentrates.[^D9-5^]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Segment</w:t>
            </w:r>
          </w:p>
        </w:tc>
        <w:tc>
          <w:tcPr/>
          <w:p>
            <w:pPr>
              <w:pStyle w:val="Compact"/>
              <w:jc w:val="left"/>
            </w:pPr>
            <w:r>
              <w:t xml:space="preserve">Quantified base</w:t>
            </w:r>
          </w:p>
        </w:tc>
        <w:tc>
          <w:tcPr/>
          <w:p>
            <w:pPr>
              <w:pStyle w:val="Compact"/>
              <w:jc w:val="left"/>
            </w:pPr>
            <w:r>
              <w:t xml:space="preserve">HCSP-relevant slice</w:t>
            </w:r>
          </w:p>
        </w:tc>
        <w:tc>
          <w:tcPr/>
          <w:p>
            <w:pPr>
              <w:pStyle w:val="Compact"/>
              <w:jc w:val="left"/>
            </w:pPr>
            <w:r>
              <w:t xml:space="preserve">Indicative SAM</w:t>
            </w:r>
          </w:p>
        </w:tc>
        <w:tc>
          <w:tcPr/>
          <w:p>
            <w:pPr>
              <w:pStyle w:val="Compact"/>
              <w:jc w:val="left"/>
            </w:pPr>
            <w:r>
              <w:t xml:space="preserve">Timing / gate</w:t>
            </w:r>
          </w:p>
        </w:tc>
      </w:tr>
      <w:tr>
        <w:tc>
          <w:tcPr/>
          <w:p>
            <w:pPr>
              <w:pStyle w:val="Compact"/>
              <w:jc w:val="left"/>
            </w:pPr>
            <w:r>
              <w:t xml:space="preserve">DoD PFAS investigation &amp; cleanup</w:t>
            </w:r>
          </w:p>
        </w:tc>
        <w:tc>
          <w:tcPr/>
          <w:p>
            <w:pPr>
              <w:pStyle w:val="Compact"/>
              <w:jc w:val="left"/>
            </w:pPr>
            <w:r>
              <w:t xml:space="preserve">&gt;$9.3B future costs; 718 installations; zero in final cleanup [^D9-1^][^D9-2^]</w:t>
            </w:r>
          </w:p>
        </w:tc>
        <w:tc>
          <w:tcPr/>
          <w:p>
            <w:pPr>
              <w:pStyle w:val="Compact"/>
              <w:jc w:val="left"/>
            </w:pPr>
            <w:r>
              <w:t xml:space="preserve">Destruction ~5–15% of remedial spend (concentrates, foam, soil wash)</w:t>
            </w:r>
          </w:p>
        </w:tc>
        <w:tc>
          <w:tcPr/>
          <w:p>
            <w:pPr>
              <w:pStyle w:val="Compact"/>
              <w:jc w:val="left"/>
            </w:pPr>
            <w:r>
              <w:t xml:space="preserve">$0.5–1.4B cumulative, 2027–2040</w:t>
            </w:r>
          </w:p>
        </w:tc>
        <w:tc>
          <w:tcPr/>
          <w:p>
            <w:pPr>
              <w:pStyle w:val="Compact"/>
              <w:jc w:val="left"/>
            </w:pPr>
            <w:r>
              <w:t xml:space="preserve">SERDP/ESTCP demo; remedial-action phase arrival</w:t>
            </w:r>
          </w:p>
        </w:tc>
      </w:tr>
      <w:tr>
        <w:tc>
          <w:tcPr/>
          <w:p>
            <w:pPr>
              <w:pStyle w:val="Compact"/>
              <w:jc w:val="left"/>
            </w:pPr>
            <w:r>
              <w:t xml:space="preserve">AFFF transition destruction</w:t>
            </w:r>
          </w:p>
        </w:tc>
        <w:tc>
          <w:tcPr/>
          <w:p>
            <w:pPr>
              <w:pStyle w:val="Compact"/>
              <w:jc w:val="left"/>
            </w:pPr>
            <w:r>
              <w:t xml:space="preserve">&gt;$2.1B initial; ~1,000 facilities, &gt;6,000 mobile assets by Oct 2026 [^D9-4^][^D9-5^]</w:t>
            </w:r>
          </w:p>
        </w:tc>
        <w:tc>
          <w:tcPr/>
          <w:p>
            <w:pPr>
              <w:pStyle w:val="Compact"/>
              <w:jc w:val="left"/>
            </w:pPr>
            <w:r>
              <w:t xml:space="preserve">Foam stock + rinsate destruction at 100–300 priority sites</w:t>
            </w:r>
          </w:p>
        </w:tc>
        <w:tc>
          <w:tcPr/>
          <w:p>
            <w:pPr>
              <w:pStyle w:val="Compact"/>
              <w:jc w:val="left"/>
            </w:pPr>
            <w:r>
              <w:t xml:space="preserve">$100–300M one-time, 2026–2032</w:t>
            </w:r>
          </w:p>
        </w:tc>
        <w:tc>
          <w:tcPr/>
          <w:p>
            <w:pPr>
              <w:pStyle w:val="Compact"/>
              <w:jc w:val="left"/>
            </w:pPr>
            <w:r>
              <w:t xml:space="preserve">Incineration now competing (moratorium lifted) [^D4-31^]</w:t>
            </w:r>
          </w:p>
        </w:tc>
      </w:tr>
      <w:tr>
        <w:tc>
          <w:tcPr/>
          <w:p>
            <w:pPr>
              <w:pStyle w:val="Compact"/>
              <w:jc w:val="left"/>
            </w:pPr>
            <w:r>
              <w:t xml:space="preserve">Maritime sludge/concentrate adjunct</w:t>
            </w:r>
          </w:p>
        </w:tc>
        <w:tc>
          <w:tcPr/>
          <w:p>
            <w:pPr>
              <w:pStyle w:val="Compact"/>
              <w:jc w:val="left"/>
            </w:pPr>
            <w:r>
              <w:t xml:space="preserve">Cruise sewage systems $3.52B/yr (2025); marine water treatment $4.2B/yr [^D9-11^]</w:t>
            </w:r>
          </w:p>
        </w:tc>
        <w:tc>
          <w:tcPr/>
          <w:p>
            <w:pPr>
              <w:pStyle w:val="Compact"/>
              <w:jc w:val="left"/>
            </w:pPr>
            <w:r>
              <w:t xml:space="preserve">1–3% of market: sludge/RO-concentrate destruction, expedition vessels, naval auxiliaries</w:t>
            </w:r>
          </w:p>
        </w:tc>
        <w:tc>
          <w:tcPr/>
          <w:p>
            <w:pPr>
              <w:pStyle w:val="Compact"/>
              <w:jc w:val="left"/>
            </w:pPr>
            <w:r>
              <w:t xml:space="preserve">$35–120M/yr</w:t>
            </w:r>
          </w:p>
        </w:tc>
        <w:tc>
          <w:tcPr/>
          <w:p>
            <w:pPr>
              <w:pStyle w:val="Compact"/>
              <w:jc w:val="left"/>
            </w:pPr>
            <w:r>
              <w:t xml:space="preserve">IMO type approval; MIL-S-901/167 qualification</w:t>
            </w:r>
          </w:p>
        </w:tc>
      </w:tr>
      <w:tr>
        <w:tc>
          <w:tcPr/>
          <w:p>
            <w:pPr>
              <w:pStyle w:val="Compact"/>
              <w:jc w:val="left"/>
            </w:pPr>
            <w:r>
              <w:t xml:space="preserve">Remote/mining camps &amp; emergency response</w:t>
            </w:r>
          </w:p>
        </w:tc>
        <w:tc>
          <w:tcPr/>
          <w:p>
            <w:pPr>
              <w:pStyle w:val="Compact"/>
              <w:jc w:val="left"/>
            </w:pPr>
            <w:r>
              <w:t xml:space="preserve">Mobile water treatment $2.55B (2024) → $4.38B (2032); emergency equipment $5.3B → $11.9B (2034) [^D9-28^]</w:t>
            </w:r>
          </w:p>
        </w:tc>
        <w:tc>
          <w:tcPr/>
          <w:p>
            <w:pPr>
              <w:pStyle w:val="Compact"/>
              <w:jc w:val="left"/>
            </w:pPr>
            <w:r>
              <w:t xml:space="preserve">Containerized units in the dominant 1,000–10,000 L/day band; 250–5,000-person camps [^D9-26^]</w:t>
            </w:r>
          </w:p>
        </w:tc>
        <w:tc>
          <w:tcPr/>
          <w:p>
            <w:pPr>
              <w:pStyle w:val="Compact"/>
              <w:jc w:val="left"/>
            </w:pPr>
            <w:r>
              <w:t xml:space="preserve">$50–150M/yr</w:t>
            </w:r>
          </w:p>
        </w:tc>
        <w:tc>
          <w:tcPr/>
          <w:p>
            <w:pPr>
              <w:pStyle w:val="Compact"/>
              <w:jc w:val="left"/>
            </w:pPr>
            <w:r>
              <w:t xml:space="preserve">Commercial sales cycle — faster than DoD</w:t>
            </w:r>
          </w:p>
        </w:tc>
      </w:tr>
      <w:tr>
        <w:tc>
          <w:tcPr/>
          <w:p>
            <w:pPr>
              <w:pStyle w:val="Compact"/>
              <w:jc w:val="left"/>
            </w:pPr>
            <w:r>
              <w:t xml:space="preserve">Expeditionary military (SBIR-led)</w:t>
            </w:r>
          </w:p>
        </w:tc>
        <w:tc>
          <w:tcPr/>
          <w:p>
            <w:pPr>
              <w:pStyle w:val="Compact"/>
              <w:jc w:val="left"/>
            </w:pPr>
            <w:r>
              <w:t xml:space="preserve">Navy SBIR N254-123; Net Zero base precedent [^D9-18^][^D9-10^]</w:t>
            </w:r>
          </w:p>
        </w:tc>
        <w:tc>
          <w:tcPr/>
          <w:p>
            <w:pPr>
              <w:pStyle w:val="Compact"/>
              <w:jc w:val="left"/>
            </w:pPr>
            <w:r>
              <w:t xml:space="preserve">SBIR Phase I–III, then FOB/base-camp fleet buys</w:t>
            </w:r>
          </w:p>
        </w:tc>
        <w:tc>
          <w:tcPr/>
          <w:p>
            <w:pPr>
              <w:pStyle w:val="Compact"/>
              <w:jc w:val="left"/>
            </w:pPr>
            <w:r>
              <w:t xml:space="preserve">$10–50M near-term, option on more</w:t>
            </w:r>
          </w:p>
        </w:tc>
        <w:tc>
          <w:tcPr/>
          <w:p>
            <w:pPr>
              <w:pStyle w:val="Compact"/>
              <w:jc w:val="left"/>
            </w:pPr>
            <w:r>
              <w:t xml:space="preserve">3–5+ yr transition to program-of-record [^D9-25^]</w:t>
            </w:r>
          </w:p>
        </w:tc>
      </w:tr>
    </w:tbl>
    <w:p>
      <w:pPr>
        <w:pStyle w:val="BodyText"/>
      </w:pPr>
      <w:r>
        <w:t xml:space="preserve">Read as a portfolio, the table argues for sequencing rather than simultaneity. The two large cumulative pools (DoD cleanup, AFFF destruction) are the prize, but both are gated by defense acquisition timelines — SBIR Phase I to program-of-record runs 3–5+ years, and DoD has delayed cleanups up to a decade under budget pressure.[^D9-25^][^D9-24^] The two recurring-revenue pools (maritime adjunct, remote camps) are smaller per year but commercially accessible now: mining camps already buy containerized, unattended, telemetry-monitored package plants at exactly HCSP’s scale, and the 1,000–10,000 L/day band — where HCSP’s 10 m³/day sits at the top — is the largest-share segment of the emergency-treatment market.[^D9-26^][^D9-28^] The composite is a TAM of roughly $10–13B/yr globally growing 6.5–9.4%, an HCSP-realistic SAM of $0.2–0.6B/yr plus the lumpy $0.6–1.7B cumulative DoD pool, and a five-year beachhead of 30–80 units implying $60–400M revenue at $2–5M per unit — all contingent on the same gate as every SCWO venture of the past 30 years: demonstrating &gt;90% unattended availability with salt management solved on real feeds.[^D9-20^][^D9-22^] The willingness-to-pay premium is real but conditional: it exists where hauling logistics are painful and collapses at grid-connected bases where GAC-plus-incineration incumbents are cheaper.[^D9-27^]</w:t>
      </w:r>
    </w:p>
    <w:p>
      <w:pPr>
        <w:pStyle w:val="BodyText"/>
      </w:pPr>
      <w:r>
        <w:rPr>
          <w:bCs/>
          <w:b/>
        </w:rPr>
        <w:t xml:space="preserve">Recommendation for Tier 1 sequencing:</w:t>
      </w:r>
      <w:r>
        <w:t xml:space="preserve"> </w:t>
      </w:r>
      <w:r>
        <w:t xml:space="preserve">lead commercialization with PFAS concentrate destruction (4.1) under a waste-destruction-as-a-service model at $2–5/gal — 374Water’s Orlando facility validates both the model and the price umbrella[^D4-47^] — while pursuing the DoD opportunity (4.2) in parallel through ESTCP/state take-back demonstrations that build the third-party validation record both markets reward. Enter maritime last, after land-based reliability data exists. The single cross-cutting proof point investors should demand before scale capital: unattended reliability on salty concentrates, the documented failure mode of the technology class.[^D4-35^][^D9-20^]</w:t>
      </w:r>
    </w:p>
    <w:bookmarkEnd w:id="74"/>
    <w:bookmarkEnd w:id="75"/>
    <w:bookmarkEnd w:id="76"/>
    <w:bookmarkStart w:id="86" w:name="tier-2-high-value-industrial-verticals"/>
    <w:p>
      <w:pPr>
        <w:pStyle w:val="Heading1"/>
      </w:pPr>
      <w:r>
        <w:t xml:space="preserve">5. Tier 2: High-Value Industrial Verticals</w:t>
      </w:r>
    </w:p>
    <w:p>
      <w:pPr>
        <w:pStyle w:val="FirstParagraph"/>
      </w:pPr>
      <w:r>
        <w:t xml:space="preserve">Tier 2 is where HCSP (a modular, skid-mounted supercritical water oxidation (SCWO) system rated at 10 m³/day) converts from a technology story into a cash-flow story. The three verticals in this chapter — chemical and hazardous waste destruction (7.0/10), pharmaceutical and biotech manufacturing (7.0/10), and semiconductor and electronics side-streams (6.5–7.0/10) — share one structural trait: the buyer pays to make a concentrated liability disappear, not to recover water. Incumbent disposal prices in these verticals run from $1.50 to $50+ per gallon, while HCSP’s modeled all-in operating cost is roughly $0.50–1.50 per gallon (a feed- and stream-dependent band; Chapter 8’s $0.53–1.03/gal is the reference fully loaded stack) [^D5-38^][^D5-44^]. That pricing umbrella produces paybacks measured in months on premium streams and 1–4 years on blended streams — provided two disciplines are enforced: feed concentration above the autothermal threshold (≥120 g/L chemical oxygen demand (COD)) and honest treatment of SCWO’s corrosion and qualification-cycle risks. For technology leadership and investors, the decision these chapters support is sequencing: consistent with the league table’s Tier-1-first logic, these verticals are the revenue engine that monetizes the credibility the Tier 1 (PFAS, defense) demonstrations build — they follow the Tier 1 beachhead rather than precede it, and within Tier 2 they should be entered in the order presented here.</w:t>
      </w:r>
    </w:p>
    <w:bookmarkStart w:id="79" w:name="X3d496b60c0f437f4b9c05c45dccc8086c9834e5"/>
    <w:p>
      <w:pPr>
        <w:pStyle w:val="Heading2"/>
      </w:pPr>
      <w:r>
        <w:t xml:space="preserve">5.1 Chemical and Hazardous Waste Destruction (7.0/10)</w:t>
      </w:r>
    </w:p>
    <w:bookmarkStart w:id="77" w:name="Xdc861caba13750e3caa9f9edd16b1fe440fe2c9"/>
    <w:p>
      <w:pPr>
        <w:pStyle w:val="Heading3"/>
      </w:pPr>
      <w:r>
        <w:t xml:space="preserve">5.1.1 Incumbent pricing umbrella: the widest in the portfolio</w:t>
      </w:r>
    </w:p>
    <w:p>
      <w:pPr>
        <w:pStyle w:val="FirstParagraph"/>
      </w:pPr>
      <w:r>
        <w:t xml:space="preserve">The hazardous-waste disposal market HCSP would enter is simultaneously large, concentrated, and capacity-constrained — a combination that has handed incumbents durable pricing power and handed HCSP an unusually wide cost umbrella. Global hazardous-waste incineration services represent roughly $13.6–18.6 billion per year (2024–25 estimates), with North America the largest region at approximately $6 billion [^D5-1^][^D5-2^]. Supply is an oligopoly: only about 24 permitted hazardous-waste combustors operate under the US Resource Conservation and Recovery Act (RCRA), and Clean Harbors alone controls more than 60% of North American incineration capacity [^D5-4^][^D5-5^]. Utilization ran 88–92% through 2025 excluding the ramping Kimball, Nebraska unit [^D5-6^][^D5-7^], and pricing has escalated accordingly: +21% average incineration price in Q4 2022, followed by +5% (Q1 2025) and +7% (Q2 2025) on a mix-adjusted basis [^D5-9^][^D5-7^]. New capacity is nearly impossible to permit: the El Dorado, Arkansas expansion — a $120 million, single-kiln addition completed in 2017 — was the first new US commercial hazardous-waste incinerator built in the 21st century and remains the only one meeting current, non-grandfathered Maximum Achievable Control Technology (MACT) air standards [^D5-12^][^D5-13^].</w:t>
      </w:r>
    </w:p>
    <w:p>
      <w:pPr>
        <w:pStyle w:val="BodyText"/>
      </w:pPr>
      <w:r>
        <w:t xml:space="preserve">Against that backdrop, generator-level prices define the umbrella. Non-halogenated solvents cost $5–10 per gallon to dispose; halogenated (chlorinated) solvents $15–20+ per gallon, with specialty reactives, polychlorinated biphenyls (PCBs), and unknowns at $15–50+ per gallon [^D5-15^]. Obsolete pesticide stockpiles destroy at $3,500–5,000 per ton internationally, and dioxin-bearing pesticides command roughly $15 per pound (~$30,000 per ton) [^D5-19^][^D5-16^]. K-listed refinery sludges (including API separator sludge K051) move at $200–800 per ton, occasionally exceeding $1,000 [^D5-18^]. The relevant baseline is the all-in generator cost — hauling, manifesting, land-disposal-restriction treatment, incineration, and residual CERCLA (Comprehensive Environmental Response, Compensation, and Liability Act) liability — which lands at $2–20 per gallon for most pumpable hazardous organics. The implication: HCSP does not need to be cheaper than incineration’s $150–400/ton bulk tipping fee; it needs to be cheaper than the liability-laden delivered price, and it clears that bar by an order of magnitude on premium streams [^D5-14^][^D5-15^].</w:t>
      </w:r>
    </w:p>
    <w:bookmarkEnd w:id="77"/>
    <w:bookmarkStart w:id="78" w:name="Xa1a7ffc40094876b7dd6dd19b482bb2bd8e6646"/>
    <w:p>
      <w:pPr>
        <w:pStyle w:val="Heading3"/>
      </w:pPr>
      <w:r>
        <w:t xml:space="preserve">5.1.2 Payback: 2–3 months on halogenated streams — conditional on feed discipline</w:t>
      </w:r>
    </w:p>
    <w:p>
      <w:pPr>
        <w:pStyle w:val="FirstParagraph"/>
      </w:pPr>
      <w:r>
        <w:t xml:space="preserve">The payback math is the strongest quantitative case in this report. Table 5-1 models a 10 m³/day HCSP unit operating 350 days per year (~925,000 gal/yr) against published disposal baselines, with capital expenditure of $2.5–4.0 million (consistent with $2–10 million per commercial SCWO unit, skid-scale at the lower end) and conservative all-in operating cost of $0.50–1.50 per gallon [^D5-44^][^D5-38^].</w:t>
      </w:r>
    </w:p>
    <w:p>
      <w:pPr>
        <w:pStyle w:val="BodyText"/>
      </w:pPr>
      <w:r>
        <w:rPr>
          <w:bCs/>
          <w:b/>
        </w:rPr>
        <w:t xml:space="preserve">Table 5-1. Payback of a 10 m³/day HCSP unit vs. haul-and-incinerate baseline, by waste class (925,000 gal/yr ≈ 3,650 t/yr; $3M midpoint capex)</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Waste class</w:t>
            </w:r>
          </w:p>
        </w:tc>
        <w:tc>
          <w:tcPr/>
          <w:p>
            <w:pPr>
              <w:pStyle w:val="Compact"/>
              <w:jc w:val="left"/>
            </w:pPr>
            <w:r>
              <w:t xml:space="preserve">Baseline disposal price</w:t>
            </w:r>
          </w:p>
        </w:tc>
        <w:tc>
          <w:tcPr/>
          <w:p>
            <w:pPr>
              <w:pStyle w:val="Compact"/>
              <w:jc w:val="left"/>
            </w:pPr>
            <w:r>
              <w:t xml:space="preserve">Annual baseline cost</w:t>
            </w:r>
          </w:p>
        </w:tc>
        <w:tc>
          <w:tcPr/>
          <w:p>
            <w:pPr>
              <w:pStyle w:val="Compact"/>
              <w:jc w:val="left"/>
            </w:pPr>
            <w:r>
              <w:t xml:space="preserve">HCSP opex/yr</w:t>
            </w:r>
          </w:p>
        </w:tc>
        <w:tc>
          <w:tcPr/>
          <w:p>
            <w:pPr>
              <w:pStyle w:val="Compact"/>
              <w:jc w:val="left"/>
            </w:pPr>
            <w:r>
              <w:t xml:space="preserve">Net saving/yr</w:t>
            </w:r>
          </w:p>
        </w:tc>
        <w:tc>
          <w:tcPr/>
          <w:p>
            <w:pPr>
              <w:pStyle w:val="Compact"/>
              <w:jc w:val="left"/>
            </w:pPr>
            <w:r>
              <w:t xml:space="preserve">Simple payback</w:t>
            </w:r>
          </w:p>
        </w:tc>
      </w:tr>
      <w:tr>
        <w:tc>
          <w:tcPr/>
          <w:p>
            <w:pPr>
              <w:pStyle w:val="Compact"/>
              <w:jc w:val="left"/>
            </w:pPr>
            <w:r>
              <w:t xml:space="preserve">Halogenated solvents</w:t>
            </w:r>
          </w:p>
        </w:tc>
        <w:tc>
          <w:tcPr/>
          <w:p>
            <w:pPr>
              <w:pStyle w:val="Compact"/>
              <w:jc w:val="left"/>
            </w:pPr>
            <w:r>
              <w:t xml:space="preserve">$15–20/gal [^D5-15^]</w:t>
            </w:r>
          </w:p>
        </w:tc>
        <w:tc>
          <w:tcPr/>
          <w:p>
            <w:pPr>
              <w:pStyle w:val="Compact"/>
              <w:jc w:val="left"/>
            </w:pPr>
            <w:r>
              <w:t xml:space="preserve">$13.9–18.5M</w:t>
            </w:r>
          </w:p>
        </w:tc>
        <w:tc>
          <w:tcPr/>
          <w:p>
            <w:pPr>
              <w:pStyle w:val="Compact"/>
              <w:jc w:val="left"/>
            </w:pPr>
            <w:r>
              <w:t xml:space="preserve">≤$1.4M</w:t>
            </w:r>
          </w:p>
        </w:tc>
        <w:tc>
          <w:tcPr/>
          <w:p>
            <w:pPr>
              <w:pStyle w:val="Compact"/>
              <w:jc w:val="left"/>
            </w:pPr>
            <w:r>
              <w:t xml:space="preserve">$12.5–17.0M</w:t>
            </w:r>
          </w:p>
        </w:tc>
        <w:tc>
          <w:tcPr/>
          <w:p>
            <w:pPr>
              <w:pStyle w:val="Compact"/>
              <w:jc w:val="left"/>
            </w:pPr>
            <w:r>
              <w:rPr>
                <w:bCs/>
                <w:b/>
              </w:rPr>
              <w:t xml:space="preserve">2–3 months</w:t>
            </w:r>
          </w:p>
        </w:tc>
      </w:tr>
      <w:tr>
        <w:tc>
          <w:tcPr/>
          <w:p>
            <w:pPr>
              <w:pStyle w:val="Compact"/>
              <w:jc w:val="left"/>
            </w:pPr>
            <w:r>
              <w:t xml:space="preserve">Pesticide / persistent-organic-pollutant project waste</w:t>
            </w:r>
          </w:p>
        </w:tc>
        <w:tc>
          <w:tcPr/>
          <w:p>
            <w:pPr>
              <w:pStyle w:val="Compact"/>
              <w:jc w:val="left"/>
            </w:pPr>
            <w:r>
              <w:t xml:space="preserve">$3,500–5,000/ton [^D5-19^]</w:t>
            </w:r>
          </w:p>
        </w:tc>
        <w:tc>
          <w:tcPr/>
          <w:p>
            <w:pPr>
              <w:pStyle w:val="Compact"/>
              <w:jc w:val="left"/>
            </w:pPr>
            <w:r>
              <w:t xml:space="preserve">$12.8–18.3M</w:t>
            </w:r>
          </w:p>
        </w:tc>
        <w:tc>
          <w:tcPr/>
          <w:p>
            <w:pPr>
              <w:pStyle w:val="Compact"/>
              <w:jc w:val="left"/>
            </w:pPr>
            <w:r>
              <w:t xml:space="preserve">≤$1.4M</w:t>
            </w:r>
          </w:p>
        </w:tc>
        <w:tc>
          <w:tcPr/>
          <w:p>
            <w:pPr>
              <w:pStyle w:val="Compact"/>
              <w:jc w:val="left"/>
            </w:pPr>
            <w:r>
              <w:t xml:space="preserve">$11.4–16.9M</w:t>
            </w:r>
          </w:p>
        </w:tc>
        <w:tc>
          <w:tcPr/>
          <w:p>
            <w:pPr>
              <w:pStyle w:val="Compact"/>
              <w:jc w:val="left"/>
            </w:pPr>
            <w:r>
              <w:rPr>
                <w:bCs/>
                <w:b/>
              </w:rPr>
              <w:t xml:space="preserve">2–3 months</w:t>
            </w:r>
          </w:p>
        </w:tc>
      </w:tr>
      <w:tr>
        <w:tc>
          <w:tcPr/>
          <w:p>
            <w:pPr>
              <w:pStyle w:val="Compact"/>
              <w:jc w:val="left"/>
            </w:pPr>
            <w:r>
              <w:t xml:space="preserve">Chlorinated solvent (municipal-program tariff)</w:t>
            </w:r>
          </w:p>
        </w:tc>
        <w:tc>
          <w:tcPr/>
          <w:p>
            <w:pPr>
              <w:pStyle w:val="Compact"/>
              <w:jc w:val="left"/>
            </w:pPr>
            <w:r>
              <w:t xml:space="preserve">$9.50/gal [^D5-16^]</w:t>
            </w:r>
          </w:p>
        </w:tc>
        <w:tc>
          <w:tcPr/>
          <w:p>
            <w:pPr>
              <w:pStyle w:val="Compact"/>
              <w:jc w:val="left"/>
            </w:pPr>
            <w:r>
              <w:t xml:space="preserve">$8.8M</w:t>
            </w:r>
          </w:p>
        </w:tc>
        <w:tc>
          <w:tcPr/>
          <w:p>
            <w:pPr>
              <w:pStyle w:val="Compact"/>
              <w:jc w:val="left"/>
            </w:pPr>
            <w:r>
              <w:t xml:space="preserve">≤$1.4M</w:t>
            </w:r>
          </w:p>
        </w:tc>
        <w:tc>
          <w:tcPr/>
          <w:p>
            <w:pPr>
              <w:pStyle w:val="Compact"/>
              <w:jc w:val="left"/>
            </w:pPr>
            <w:r>
              <w:t xml:space="preserve">$7.4M</w:t>
            </w:r>
          </w:p>
        </w:tc>
        <w:tc>
          <w:tcPr/>
          <w:p>
            <w:pPr>
              <w:pStyle w:val="Compact"/>
              <w:jc w:val="left"/>
            </w:pPr>
            <w:r>
              <w:t xml:space="preserve">~5 months</w:t>
            </w:r>
          </w:p>
        </w:tc>
      </w:tr>
      <w:tr>
        <w:tc>
          <w:tcPr/>
          <w:p>
            <w:pPr>
              <w:pStyle w:val="Compact"/>
              <w:jc w:val="left"/>
            </w:pPr>
            <w:r>
              <w:t xml:space="preserve">Non-halogenated solvents</w:t>
            </w:r>
          </w:p>
        </w:tc>
        <w:tc>
          <w:tcPr/>
          <w:p>
            <w:pPr>
              <w:pStyle w:val="Compact"/>
              <w:jc w:val="left"/>
            </w:pPr>
            <w:r>
              <w:t xml:space="preserve">$5–10/gal [^D5-15^]</w:t>
            </w:r>
          </w:p>
        </w:tc>
        <w:tc>
          <w:tcPr/>
          <w:p>
            <w:pPr>
              <w:pStyle w:val="Compact"/>
              <w:jc w:val="left"/>
            </w:pPr>
            <w:r>
              <w:t xml:space="preserve">$4.6–9.3M</w:t>
            </w:r>
          </w:p>
        </w:tc>
        <w:tc>
          <w:tcPr/>
          <w:p>
            <w:pPr>
              <w:pStyle w:val="Compact"/>
              <w:jc w:val="left"/>
            </w:pPr>
            <w:r>
              <w:t xml:space="preserve">≤$1.4M</w:t>
            </w:r>
          </w:p>
        </w:tc>
        <w:tc>
          <w:tcPr/>
          <w:p>
            <w:pPr>
              <w:pStyle w:val="Compact"/>
              <w:jc w:val="left"/>
            </w:pPr>
            <w:r>
              <w:t xml:space="preserve">$3.2–7.9M</w:t>
            </w:r>
          </w:p>
        </w:tc>
        <w:tc>
          <w:tcPr/>
          <w:p>
            <w:pPr>
              <w:pStyle w:val="Compact"/>
              <w:jc w:val="left"/>
            </w:pPr>
            <w:r>
              <w:rPr>
                <w:bCs/>
                <w:b/>
              </w:rPr>
              <w:t xml:space="preserve">5–11 months</w:t>
            </w:r>
          </w:p>
        </w:tc>
      </w:tr>
      <w:tr>
        <w:tc>
          <w:tcPr/>
          <w:p>
            <w:pPr>
              <w:pStyle w:val="Compact"/>
              <w:jc w:val="left"/>
            </w:pPr>
            <w:r>
              <w:t xml:space="preserve">K-listed refinery sludge (API/DAF)</w:t>
            </w:r>
          </w:p>
        </w:tc>
        <w:tc>
          <w:tcPr/>
          <w:p>
            <w:pPr>
              <w:pStyle w:val="Compact"/>
              <w:jc w:val="left"/>
            </w:pPr>
            <w:r>
              <w:t xml:space="preserve">$500/ton mid ($200–800) [^D5-18^]</w:t>
            </w:r>
          </w:p>
        </w:tc>
        <w:tc>
          <w:tcPr/>
          <w:p>
            <w:pPr>
              <w:pStyle w:val="Compact"/>
              <w:jc w:val="left"/>
            </w:pPr>
            <w:r>
              <w:t xml:space="preserve">$1.8M</w:t>
            </w:r>
          </w:p>
        </w:tc>
        <w:tc>
          <w:tcPr/>
          <w:p>
            <w:pPr>
              <w:pStyle w:val="Compact"/>
              <w:jc w:val="left"/>
            </w:pPr>
            <w:r>
              <w:t xml:space="preserve">$0.5–0.9M</w:t>
            </w:r>
          </w:p>
        </w:tc>
        <w:tc>
          <w:tcPr/>
          <w:p>
            <w:pPr>
              <w:pStyle w:val="Compact"/>
              <w:jc w:val="left"/>
            </w:pPr>
            <w:r>
              <w:t xml:space="preserve">$0.9–1.3M</w:t>
            </w:r>
          </w:p>
        </w:tc>
        <w:tc>
          <w:tcPr/>
          <w:p>
            <w:pPr>
              <w:pStyle w:val="Compact"/>
              <w:jc w:val="left"/>
            </w:pPr>
            <w:r>
              <w:rPr>
                <w:bCs/>
                <w:b/>
              </w:rPr>
              <w:t xml:space="preserve">2.3–3.3 years</w:t>
            </w:r>
          </w:p>
        </w:tc>
      </w:tr>
      <w:tr>
        <w:tc>
          <w:tcPr/>
          <w:p>
            <w:pPr>
              <w:pStyle w:val="Compact"/>
              <w:jc w:val="left"/>
            </w:pPr>
            <w:r>
              <w:t xml:space="preserve">Generic bulk hazardous liquid</w:t>
            </w:r>
          </w:p>
        </w:tc>
        <w:tc>
          <w:tcPr/>
          <w:p>
            <w:pPr>
              <w:pStyle w:val="Compact"/>
              <w:jc w:val="left"/>
            </w:pPr>
            <w:r>
              <w:t xml:space="preserve">~$300/ton (~$1.15/gal) [^D5-14^]</w:t>
            </w:r>
          </w:p>
        </w:tc>
        <w:tc>
          <w:tcPr/>
          <w:p>
            <w:pPr>
              <w:pStyle w:val="Compact"/>
              <w:jc w:val="left"/>
            </w:pPr>
            <w:r>
              <w:t xml:space="preserve">$1.1M</w:t>
            </w:r>
          </w:p>
        </w:tc>
        <w:tc>
          <w:tcPr/>
          <w:p>
            <w:pPr>
              <w:pStyle w:val="Compact"/>
              <w:jc w:val="left"/>
            </w:pPr>
            <w:r>
              <w:t xml:space="preserve">$0.5–0.9M</w:t>
            </w:r>
          </w:p>
        </w:tc>
        <w:tc>
          <w:tcPr/>
          <w:p>
            <w:pPr>
              <w:pStyle w:val="Compact"/>
              <w:jc w:val="left"/>
            </w:pPr>
            <w:r>
              <w:t xml:space="preserve">$0.2–0.6M</w:t>
            </w:r>
          </w:p>
        </w:tc>
        <w:tc>
          <w:tcPr/>
          <w:p>
            <w:pPr>
              <w:pStyle w:val="Compact"/>
              <w:jc w:val="left"/>
            </w:pPr>
            <w:r>
              <w:t xml:space="preserve">5–15 years (not viable)</w:t>
            </w:r>
          </w:p>
        </w:tc>
      </w:tr>
    </w:tbl>
    <w:p>
      <w:pPr>
        <w:pStyle w:val="BodyText"/>
      </w:pPr>
      <w:r>
        <w:t xml:space="preserve">The table carries two messages. First, payback is a stream-selection variable, not a technology variable: the spread from 2 months to 15 years is driven entirely by which waste class the skid is plumbed to. Every stream above roughly $4–5 per gallon in baseline cost pays back in under a year; the generic bulk stream does not pay back at all within a commercially relevant horizon. Second, the feed-discipline requirement is non-negotiable. Autothermal operation — where the waste’s own oxidation heat sustains the reactor — requires approximately 120–150 g/L COD (≈2 MJ/kg calorific content); below that, supplemental fuel or electricity erodes the margin, and SCWO is uneconomic for dilute streams above ~50,000 gallons per day [^D5-38^]. The winning configuration is therefore a</w:t>
      </w:r>
      <w:r>
        <w:t xml:space="preserve"> </w:t>
      </w:r>
      <w:r>
        <w:t xml:space="preserve">“</w:t>
      </w:r>
      <w:r>
        <w:t xml:space="preserve">concentrate-and-destroy</w:t>
      </w:r>
      <w:r>
        <w:t xml:space="preserve">”</w:t>
      </w:r>
      <w:r>
        <w:t xml:space="preserve"> </w:t>
      </w:r>
      <w:r>
        <w:t xml:space="preserve">train: HCSP paired with upstream concentration (membranes, solvent segregation, foam fractionation) rather than sold as direct-feed treatment. US fuel blending alone manages ~1.5 million tons per year of organic hazardous waste — the direct displacement pool for high-BTU liquid streams [^D5-56^]. Aggregating the addressable market: global destruction TAM is $17–22 billion per year today (rising toward $35–45 billion by 2035), and the SCWO-addressable North American/European serviceable market — wet, pumpable organics in the 1–20% organic-content band where SCWO beats both incineration and carbon adsorption — is approximately $2–4 billion per year [^D5-1^][^D5-52^][^D5-55^].</w:t>
      </w:r>
    </w:p>
    <w:p>
      <w:pPr>
        <w:pStyle w:val="BodyText"/>
      </w:pPr>
      <w:r>
        <w:t xml:space="preserve">The counter-narrative must stay visible, because every sophisticated buyer will raise it. Commercial SCWO has a 40-year graveyard: MODAR, EcoWaste, Chematur/AquaCat, Innoveox, and SuperWater all exited or closed, and as of ~2021 only about six commercial SCWO plants operated worldwide, with a 2019 review finding all commercially constructed plants except two had closed — mainly on corrosion, plugging, and economics [^D5-36^][^D5-37^]. The Blue Grass chemical-weapons program demonstrated &gt;99.9999% destruction efficiency over 5,800 hot hours but ultimately rejected SCWO at full scale, citing maintenance burden — titanium/Hastelloy liner life of roughly 110 hours on agent hydrolysates [^D5-21^][^D5-24^]. The honest mitigation is metallurgical and operational, not rhetorical: Inconel 625 exposed to real pesticide wastewater at 600 °C/25 MPa corroded at approximately 0.6 mm per year with 99.42% COD removal — a manageable rate with correct temperature zoning and sacrificial liners, and 25–40× better than the Hastelloy G-30 failure case (16–26 mm/yr in acidic oxidizing media) [^D5-54^][^D5-40^]. Meanwhile General Atomics’ commercial iSCWO line has destroyed more than 6 million gallons across 200+ waste streams with EPA-verified performance [^D5-45^]. The lesson for deployment: mandate feed screening, cap chloride loading, and price liner replacement into the service contract. Done right, payback under one year survives even pessimistic maintenance assumptions — the margin of safety in Table 5-1 is that wide.</w:t>
      </w:r>
    </w:p>
    <w:bookmarkEnd w:id="78"/>
    <w:bookmarkEnd w:id="79"/>
    <w:bookmarkStart w:id="82" w:name="Xc3902945f900eba27c3ab047806c2e096fb7eb1"/>
    <w:p>
      <w:pPr>
        <w:pStyle w:val="Heading2"/>
      </w:pPr>
      <w:r>
        <w:t xml:space="preserve">5.2 Pharmaceutical and Biotech Manufacturing (7.0/10)</w:t>
      </w:r>
    </w:p>
    <w:bookmarkStart w:id="80" w:name="X3db52fb33320a8722c250f8e2b27705a92183b9"/>
    <w:p>
      <w:pPr>
        <w:pStyle w:val="Heading3"/>
      </w:pPr>
      <w:r>
        <w:t xml:space="preserve">5.2.1 Disposal baselines and the AMR regulatory tailwind</w:t>
      </w:r>
    </w:p>
    <w:p>
      <w:pPr>
        <w:pStyle w:val="FirstParagraph"/>
      </w:pPr>
      <w:r>
        <w:t xml:space="preserve">Pharma’s value proposition is the mirror image of hazardous waste: the same disposal economics, plus a regulatory forcing function that is tightening faster than any other industrial vertical. Disposal baselines start low — $1.50–2.00 per gallon for standard spent solvents, translating to $180,000–$1.2 million per site per year at typical generation rates of 10,000–50,000 gallons per month [^D2-8^] — but escalate to $5–15 per gallon for standard hazardous solvents and $15–50+ per gallon for halogenated, reactive, or special-incineration streams [^D2-9^]. HCSP’s target is the expensive end: mother liquors, solvent-recovery bottoms, clean-in-place first-rinse, and fermentation rejects — the high-strength segregated streams (COD commonly 2,000–80,000 mg/L) that pharma sites already isolate from weak effluent [^D2-1^][^D2-6^]. One discipline note applies here as in 5.1: only the top of that COD range approaches the ≥120 g/L autothermal threshold, so pharma targeting should prioritize solvent-recovery bottoms and mother liquors, with weaker segregated streams concentrated or co-fed rather than treated as standalone autothermal feeds.</w:t>
      </w:r>
    </w:p>
    <w:p>
      <w:pPr>
        <w:pStyle w:val="BodyText"/>
      </w:pPr>
      <w:r>
        <w:t xml:space="preserve">The tailwind is antimicrobial resistance (AMR) regulation. The World Health Organization published its first-ever guidance on antibiotic-manufacturing waste in September 2024, explicitly noting that manufacturing antibiotic pollution is</w:t>
      </w:r>
      <w:r>
        <w:t xml:space="preserve"> </w:t>
      </w:r>
      <w:r>
        <w:t xml:space="preserve">“</w:t>
      </w:r>
      <w:r>
        <w:t xml:space="preserve">largely unregulated</w:t>
      </w:r>
      <w:r>
        <w:t xml:space="preserve">”</w:t>
      </w:r>
      <w:r>
        <w:t xml:space="preserve"> </w:t>
      </w:r>
      <w:r>
        <w:t xml:space="preserve">today [^D2-19^]. The AMR Industry Alliance’s Antibiotic Manufacturing Standard — certifiable through the British Standards Institution (BSI) — was updated in May 2025 to align with the WHO guidance, adding stricter waste management and API discharge limits; BSI has certified 60+ antibiotic products across 15 geographies since 2023 [^D2-21^]. In the European Union, the revised Urban Waste Water Treatment Directive imposes Extended Producer Responsibility (EPR): pharmaceutical and cosmetic producers must fund at least 80% of quaternary (micropollutant) treatment costs at municipal plants, directly monetizing every API molecule discharged [^D2-24^]. The proposed EU pharmaceutical legislation extends environmental risk assessment across the full product lifecycle, including manufacturing waste streams [^D2-25^]. US rules lag — EPA’s 40 CFR Part 439 sets no API-specific limits [^D2-26^] — which means the US sales motion is cost-displacement-led while the EU and supply-chain-certification motion is compliance-led. Either way, the direction of travel converts disposal from a purchasing decision into a license-to-operate issue.</w:t>
      </w:r>
    </w:p>
    <w:p>
      <w:pPr>
        <w:pStyle w:val="BodyText"/>
      </w:pPr>
      <w:r>
        <w:t xml:space="preserve">Destruction efficacy is not the open question. SCWO destroyed pharmaceutical and biopharmaceutical wastes — chemical waste, fermentation broth, thermophilic cultures — to CO₂ and inorganics as early as 1988 (the MODAR process, published in Nature Biotechnology), and bench-scale treatment of real pharmaceutical wastewater has demonstrated 97.8% COD removal [^D2-39^][^D2-40^]. The real frictions are commercial: incumbent liability transfer via RCRA manifests, cheap deep-well injection where geology allows (~800 operational Class I wells in the US, pharmaceutical production among listed users) [^D2-34^], and good manufacturing practice (GMP) validation inertia — any new on-site process must survive IQ/OQ/PQ (installation/operational/performance qualification) documentation and audit cycles before adoption [^D2-4^]. Pharma sites will pay; they will not move fast.</w:t>
      </w:r>
    </w:p>
    <w:bookmarkEnd w:id="80"/>
    <w:bookmarkStart w:id="81" w:name="Xf4b73e2ca5f9b2edb48a18f7881ce508303df19"/>
    <w:p>
      <w:pPr>
        <w:pStyle w:val="Heading3"/>
      </w:pPr>
      <w:r>
        <w:t xml:space="preserve">5.2.2 Sizing: ~2,010 US establishments, $2.1–3.2B equipment SAM</w:t>
      </w:r>
    </w:p>
    <w:p>
      <w:pPr>
        <w:pStyle w:val="FirstParagraph"/>
      </w:pPr>
      <w:r>
        <w:t xml:space="preserve">The US denominator is approximately 2,010 pharmaceutical and biotechnology manufacturing establishments (Census-derived count across NAICS 325411–325414) [^D2-45^]. Sizing assumptions, stated explicitly: 35% of sites (~700) generate ≥10 m³/day of high-strength organic streams — consistent with the share of sites in synthesis, fermentation, and biological subcategories — and adopting sites average 1.5 skids. That yields demand of roughly 1,050 skids, a US equipment serviceable addressable market (SAM) of $2.1–3.2 billion at $2–3 million per skid [^D2-45^]. On a service model at $1.5–3.00 per gallon avoided-cost pricing, the same fleet represents approximately $1.5–3.0 billion per year of US service revenue potential. The near-term beachhead is narrower and more urgent: roughly 150–250 high-urgency sites globally — AMR-Alliance-certified antibiotic producers, large Indian API plants, and US/Puerto Rico fermentation and synthesis sites — worth approximately $450–750 million in equipment opportunity [^D2-21^][^D2-32^].</w:t>
      </w:r>
    </w:p>
    <w:p>
      <w:pPr>
        <w:pStyle w:val="BodyText"/>
      </w:pPr>
      <w:r>
        <w:t xml:space="preserve">Payback closes the case. At a 10 m³/day high-strength stream (~965,000 gal/yr at 365-day operation), avoided disposal of $1.50–3.00 per gallon is worth $1.45–2.9 million per year against roughly $0.21–0.23 million of annual operating cost (75–95 kW of electricity at $0.10/kWh plus operator and maintenance allowance, no chemicals); on $2.0–3.0 million assumed capex per skid, simple payback is 0.9–2.5 years — and under one year wherever the stream is manifested as hazardous at $5+ per gallon [^D2-47^]. Context confirms pharma sites will fund water capital when forced: Novo Nordisk’s Clayton, North Carolina API expansion is supported by a $40 million, 450,000-gal/day pretreatment facility [^D2-7^]. The strategic reading: pharma is the Tier 2 vertical where service-model contracts (waste-destruction-as-a-service) do the most work, because they bypass both the capital-committee friction and the GMP validation objection — the vendor owns and operates the validated process.</w:t>
      </w:r>
    </w:p>
    <w:bookmarkEnd w:id="81"/>
    <w:bookmarkEnd w:id="82"/>
    <w:bookmarkStart w:id="85" w:name="Xef00a56790170074fced27fd18a0ea5de9f066d"/>
    <w:p>
      <w:pPr>
        <w:pStyle w:val="Heading2"/>
      </w:pPr>
      <w:r>
        <w:t xml:space="preserve">5.3 Semiconductor and Electronics Side-Streams (6.5–7.0/10)</w:t>
      </w:r>
    </w:p>
    <w:bookmarkStart w:id="83" w:name="X2da83d307ea4207a6f6abd8f4a683090ce82eb3"/>
    <w:p>
      <w:pPr>
        <w:pStyle w:val="Heading3"/>
      </w:pPr>
      <w:r>
        <w:t xml:space="preserve">5.3.1 Fit: the nastiest 0.1–1% of fab liquid waste, not the bulk stream</w:t>
      </w:r>
    </w:p>
    <w:p>
      <w:pPr>
        <w:pStyle w:val="FirstParagraph"/>
      </w:pPr>
      <w:r>
        <w:t xml:space="preserve">The semiconductor thesis requires discipline about what HCSP is</w:t>
      </w:r>
      <w:r>
        <w:t xml:space="preserve"> </w:t>
      </w:r>
      <w:r>
        <w:rPr>
          <w:iCs/>
          <w:i/>
        </w:rPr>
        <w:t xml:space="preserve">not</w:t>
      </w:r>
      <w:r>
        <w:t xml:space="preserve"> </w:t>
      </w:r>
      <w:r>
        <w:t xml:space="preserve">for. A large front-end fab discharges 12,000–23,000 m³/day of dilute effluent, treated today with conventional physicochemical and membrane trains at roughly $0.5–2/m³ [^D3-7^][^D3-48^]. SCWO’s treatment cost — $200–1,300/m³ across published benchmarks ($0.75/gal at Deer Park scale to $1.83–4.88/gal for concentrate destruction) — is 100–400× that [^D3-40^][^D3-41^][^D3-42^]. Positioning against bulk fab effluent is disqualifying, and any HCSP pitch that leads with water recovery in this vertical will fail diligence: ultrapure-water production costs only ~$1–2/m³, and per-fab water operating expense is a modest $2–8 million per year [^D3-48^].</w:t>
      </w:r>
    </w:p>
    <w:p>
      <w:pPr>
        <w:pStyle w:val="BodyText"/>
      </w:pPr>
      <w:r>
        <w:t xml:space="preserve">The genuine fit is the concentrated side-stream layer — approximately 0.1–1% of fab liquid volume carrying effectively all of the hazardous liability. Four stream families qualify: spent solvents and strippers (IPA, PGMEA, NMP) at $1.80–4.00/gal disposal cost; chemical-mechanical planarization (CMP) slurry waste at $0.50–2.00 per liter; tetramethylammonium hydroxide (TMAH) developer concentrates and high-COD rinse/strip waste; and per- and polyfluoroalkyl substances (PFAS)-laden reverse-osmosis (RO) and ion-exchange (IX) concentrates with destruction benchmarks of $1.83–4.88/gal [^D3-45^][^D3-47^][^D3-42^]. The PFAS angle is the accelerant. Peer-reviewed work has identified 133 distinct PFAS species in fab wastewater, with 80–99% of organofluorine mass in photoresists uncharacterized (</w:t>
      </w:r>
      <w:r>
        <w:t xml:space="preserve">“</w:t>
      </w:r>
      <w:r>
        <w:t xml:space="preserve">dark PFAS</w:t>
      </w:r>
      <w:r>
        <w:t xml:space="preserve">”</w:t>
      </w:r>
      <w:r>
        <w:t xml:space="preserve">) [^D3-31^][^D3-32^]; the Semiconductor Industry Association’s own 2025 survey found fab effluent averaging 840 ng/L total PFAS — roughly 210× the 4 ng/L federal drinking-water maximum contaminant level (MCL) [^D3-21^]. Permit engineering analysis is blunt: removing ng/L-level PFAS from a 12,000–23,000 m³/day effluent is</w:t>
      </w:r>
      <w:r>
        <w:t xml:space="preserve"> </w:t>
      </w:r>
      <w:r>
        <w:t xml:space="preserve">“</w:t>
      </w:r>
      <w:r>
        <w:t xml:space="preserve">very expensive and, in some cases, infeasible</w:t>
      </w:r>
      <w:r>
        <w:t xml:space="preserve">”</w:t>
      </w:r>
      <w:r>
        <w:t xml:space="preserve">; interception must happen at low-flow, high-concentration sources [^D3-7^]. That is verbatim the HCSP insertion point. Taiwan has already written enforceable PFAS discharge limits into law after measuring PFOS at 6,930 ng/L in treated science-park effluent and up to 130,000 ng/L in raw fab wastewater; the EU’s universal PFAS restriction grants semiconductors time-limited derogations conditioned on strict emission limits [^D3-21^][^D3-37^]. Regulation is converging on source-segregated destruction because dilute-end destruction is physically implausible.</w:t>
      </w:r>
    </w:p>
    <w:bookmarkEnd w:id="83"/>
    <w:bookmarkStart w:id="84" w:name="Xd6f9c8a2cbeb59ccb316024738418fad4e421f5"/>
    <w:p>
      <w:pPr>
        <w:pStyle w:val="Heading3"/>
      </w:pPr>
      <w:r>
        <w:t xml:space="preserve">5.3.2 Sizing: ~450 front-end fabs × 5–18 m³/day → ~$0.9B/yr TAM</w:t>
      </w:r>
    </w:p>
    <w:p>
      <w:pPr>
        <w:pStyle w:val="FirstParagraph"/>
      </w:pPr>
      <w:r>
        <w:t xml:space="preserve">Bottom-up sizing, with assumptions stated: approximately 450 front-end wafer fabs globally (of ~1,390 semiconductor facilities in the iScience water-stress database) [^D3-23^]; per large fab, concentrated destructible side-streams total 5–18 m³/day (solvents 0.6–2.5, CMP slurry 3–10, developer/PFAS-concentrate/other 1–5 m³/day), or 0.5–2 HCSP units per fab; blended avoided-disposal value of $1.5–4.00/gal. At the midpoint — 450 fabs × 10 m³/day × 330 operating days × ~$600/m³ — global TAM is approximately</w:t>
      </w:r>
      <w:r>
        <w:t xml:space="preserve"> </w:t>
      </w:r>
      <w:r>
        <w:rPr>
          <w:bCs/>
          <w:b/>
        </w:rPr>
        <w:t xml:space="preserve">$0.9 billion per year</w:t>
      </w:r>
      <w:r>
        <w:t xml:space="preserve"> </w:t>
      </w:r>
      <w:r>
        <w:t xml:space="preserve">(range $0.5–1.9 billion), with an equipment-view installed-base opportunity of $2–4 billion at $3–6 million per unit [^D3-42^]. Realistic five-year serviceable market is $0.3–0.5 billion per year including East-Asian electronics adjacencies, concentrated in fabs that are new builds in water-stressed basins, under active PFAS permit pressure, or both. This TAM sits within a semiconductor wastewater treatment market of ~$2.7–3.1 billion (2023–25) growing to $5–7 billion by the early 2030s, with zero-liquid-discharge (ZLD) the fastest-growing segment (&gt;11% CAGR) [^D3-49^][^D3-51^].</w:t>
      </w:r>
    </w:p>
    <w:p>
      <w:pPr>
        <w:pStyle w:val="BodyText"/>
      </w:pPr>
      <w:r>
        <w:t xml:space="preserve">The buildout geography favors entry now. TSMC Arizona’s three-fab site is permitted for 17.2 MGD and is building an Industrial Reclamation Water Plant targeting near-ZLD (85% recycling at 2028 start-up, 90%+ planned) — every near-ZLD membrane train generates a concentrated residual whose only current outlet is off-site shipment [^D3-15^][^D3-16^]. Micron’s $100 billion Clay, New York complex — up to 48 MGD water demand, 30.8 MGD discharge — received a 2026 permit with zero enforceable PFAS limits, and the county’s planned $1.4–2.6 billion treatment plant is initially biological-only, with Phase-2 RO concentrate destined for out-of-state deep-well injection [^D3-20^][^D3-33^]. Each near-ZLD commitment and each permit fight creates a concentrate stream with no destruction step: HCSP’s slot.</w:t>
      </w:r>
    </w:p>
    <w:p>
      <w:pPr>
        <w:pStyle w:val="BodyText"/>
      </w:pPr>
      <w:r>
        <w:t xml:space="preserve">Two adoption risks must be priced in. First, qualification cycles: fabs are conservative and qualification-driven, and with no HCSP-specific fab reference yet, first-fab qualification should be modeled at 18–36 months. Second, gatekeeping: incumbent water vendors (Kurita, Veolia, Evoqua/Xylem) own fab water relationships and will insert themselves between HCSP and the buyer; competing destruction technologies (plasma, electrochemical oxidation, supercritical rivals 374Water, Battelle/Revive, Aquarden) are already courting the same niche [^D3-56^]. The recommended entry posture is therefore partnering, not displacement: sell through — or alongside — an incumbent fab-water vendor as the destruction module behind their RO/IX concentration trains, anchored at a CHIPS-funded new build where PFAS scrutiny is highest. Per-unit payback of 1.5–4 years on aggregated side-streams is acceptable to this buyer only when bundled with the compliance narrative; sold on disposal-cost savings alone, a single-solvent stream does not carry a $3–6 million unit, and the sales motion must aggregate solvents, CMP, and PFAS concentrate from day one.</w:t>
      </w:r>
    </w:p>
    <w:p>
      <w:pPr>
        <w:pStyle w:val="BodyText"/>
      </w:pPr>
      <w:r>
        <w:rPr>
          <w:bCs/>
          <w:b/>
        </w:rPr>
        <w:t xml:space="preserve">Table 5-2. Per-vertical sizing summary — Tier 2 industrial verticals (all sizing figures carry the stated assumptions; see companion references)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Chemical &amp; hazardous waste</w:t>
            </w:r>
          </w:p>
        </w:tc>
        <w:tc>
          <w:tcPr/>
          <w:p>
            <w:pPr>
              <w:pStyle w:val="Compact"/>
              <w:jc w:val="left"/>
            </w:pPr>
            <w:r>
              <w:t xml:space="preserve">Pharma &amp; biotech</w:t>
            </w:r>
          </w:p>
        </w:tc>
        <w:tc>
          <w:tcPr/>
          <w:p>
            <w:pPr>
              <w:pStyle w:val="Compact"/>
              <w:jc w:val="left"/>
            </w:pPr>
            <w:r>
              <w:t xml:space="preserve">Semiconductor side-streams</w:t>
            </w:r>
          </w:p>
        </w:tc>
      </w:tr>
      <w:tr>
        <w:tc>
          <w:tcPr/>
          <w:p>
            <w:pPr>
              <w:pStyle w:val="Compact"/>
              <w:jc w:val="left"/>
            </w:pPr>
            <w:r>
              <w:t xml:space="preserve">Attractiveness score</w:t>
            </w:r>
          </w:p>
        </w:tc>
        <w:tc>
          <w:tcPr/>
          <w:p>
            <w:pPr>
              <w:pStyle w:val="Compact"/>
              <w:jc w:val="left"/>
            </w:pPr>
            <w:r>
              <w:t xml:space="preserve">7.0/10</w:t>
            </w:r>
          </w:p>
        </w:tc>
        <w:tc>
          <w:tcPr/>
          <w:p>
            <w:pPr>
              <w:pStyle w:val="Compact"/>
              <w:jc w:val="left"/>
            </w:pPr>
            <w:r>
              <w:t xml:space="preserve">7.0/10</w:t>
            </w:r>
          </w:p>
        </w:tc>
        <w:tc>
          <w:tcPr/>
          <w:p>
            <w:pPr>
              <w:pStyle w:val="Compact"/>
              <w:jc w:val="left"/>
            </w:pPr>
            <w:r>
              <w:t xml:space="preserve">6.5–7.0/10</w:t>
            </w:r>
          </w:p>
        </w:tc>
      </w:tr>
      <w:tr>
        <w:tc>
          <w:tcPr/>
          <w:p>
            <w:pPr>
              <w:pStyle w:val="Compact"/>
              <w:jc w:val="left"/>
            </w:pPr>
            <w:r>
              <w:t xml:space="preserve">Addressable sites</w:t>
            </w:r>
          </w:p>
        </w:tc>
        <w:tc>
          <w:tcPr/>
          <w:p>
            <w:pPr>
              <w:pStyle w:val="Compact"/>
              <w:jc w:val="left"/>
            </w:pPr>
            <w:r>
              <w:t xml:space="preserve">~24 RCRA combustor-served generator base; 1.5M t/yr fuel-blending displacement pool [^D5-4^][^D5-56^]</w:t>
            </w:r>
          </w:p>
        </w:tc>
        <w:tc>
          <w:tcPr/>
          <w:p>
            <w:pPr>
              <w:pStyle w:val="Compact"/>
              <w:jc w:val="left"/>
            </w:pPr>
            <w:r>
              <w:t xml:space="preserve">~2,010 US establishments; ~700 high-strength [^D2-45^]</w:t>
            </w:r>
          </w:p>
        </w:tc>
        <w:tc>
          <w:tcPr/>
          <w:p>
            <w:pPr>
              <w:pStyle w:val="Compact"/>
              <w:jc w:val="left"/>
            </w:pPr>
            <w:r>
              <w:t xml:space="preserve">~450 front-end fabs [^D3-23^]</w:t>
            </w:r>
          </w:p>
        </w:tc>
      </w:tr>
      <w:tr>
        <w:tc>
          <w:tcPr/>
          <w:p>
            <w:pPr>
              <w:pStyle w:val="Compact"/>
              <w:jc w:val="left"/>
            </w:pPr>
            <w:r>
              <w:t xml:space="preserve">Target stream</w:t>
            </w:r>
          </w:p>
        </w:tc>
        <w:tc>
          <w:tcPr/>
          <w:p>
            <w:pPr>
              <w:pStyle w:val="Compact"/>
              <w:jc w:val="left"/>
            </w:pPr>
            <w:r>
              <w:t xml:space="preserve">Halogenated/mixed solvents, pesticides/POPs, K-listed sludges</w:t>
            </w:r>
          </w:p>
        </w:tc>
        <w:tc>
          <w:tcPr/>
          <w:p>
            <w:pPr>
              <w:pStyle w:val="Compact"/>
              <w:jc w:val="left"/>
            </w:pPr>
            <w:r>
              <w:t xml:space="preserve">Mother liquors, solvent bottoms, fermentation rejects</w:t>
            </w:r>
          </w:p>
        </w:tc>
        <w:tc>
          <w:tcPr/>
          <w:p>
            <w:pPr>
              <w:pStyle w:val="Compact"/>
              <w:jc w:val="left"/>
            </w:pPr>
            <w:r>
              <w:t xml:space="preserve">Solvents, CMP slurry, TMAH, PFAS IX/RO concentrate</w:t>
            </w:r>
          </w:p>
        </w:tc>
      </w:tr>
      <w:tr>
        <w:tc>
          <w:tcPr/>
          <w:p>
            <w:pPr>
              <w:pStyle w:val="Compact"/>
              <w:jc w:val="left"/>
            </w:pPr>
            <w:r>
              <w:t xml:space="preserve">Sizing assumption</w:t>
            </w:r>
          </w:p>
        </w:tc>
        <w:tc>
          <w:tcPr/>
          <w:p>
            <w:pPr>
              <w:pStyle w:val="Compact"/>
              <w:jc w:val="left"/>
            </w:pPr>
            <w:r>
              <w:t xml:space="preserve">10 m³/d skid; ≥120 g/L COD feed [^D5-38^]</w:t>
            </w:r>
          </w:p>
        </w:tc>
        <w:tc>
          <w:tcPr/>
          <w:p>
            <w:pPr>
              <w:pStyle w:val="Compact"/>
              <w:jc w:val="left"/>
            </w:pPr>
            <w:r>
              <w:t xml:space="preserve">35% of sites × 1.5 skids ≈ 1,050 skids</w:t>
            </w:r>
          </w:p>
        </w:tc>
        <w:tc>
          <w:tcPr/>
          <w:p>
            <w:pPr>
              <w:pStyle w:val="Compact"/>
              <w:jc w:val="left"/>
            </w:pPr>
            <w:r>
              <w:t xml:space="preserve">5–18 m³/d per fab; 0.5–2 units/fab</w:t>
            </w:r>
          </w:p>
        </w:tc>
      </w:tr>
      <w:tr>
        <w:tc>
          <w:tcPr/>
          <w:p>
            <w:pPr>
              <w:pStyle w:val="Compact"/>
              <w:jc w:val="left"/>
            </w:pPr>
            <w:r>
              <w:t xml:space="preserve">Market sizing</w:t>
            </w:r>
          </w:p>
        </w:tc>
        <w:tc>
          <w:tcPr/>
          <w:p>
            <w:pPr>
              <w:pStyle w:val="Compact"/>
              <w:jc w:val="left"/>
            </w:pPr>
            <w:r>
              <w:t xml:space="preserve">TAM $17–22B/yr global; SAM $2–4B/yr NA+EU [^D5-1^]</w:t>
            </w:r>
          </w:p>
        </w:tc>
        <w:tc>
          <w:tcPr/>
          <w:p>
            <w:pPr>
              <w:pStyle w:val="Compact"/>
              <w:jc w:val="left"/>
            </w:pPr>
            <w:r>
              <w:t xml:space="preserve">US equipment SAM $2.1–3.2B; service $1.5–3.0B/yr</w:t>
            </w:r>
          </w:p>
        </w:tc>
        <w:tc>
          <w:tcPr/>
          <w:p>
            <w:pPr>
              <w:pStyle w:val="Compact"/>
              <w:jc w:val="left"/>
            </w:pPr>
            <w:r>
              <w:t xml:space="preserve">TAM ~$0.9B/yr; 5-yr SAM $0.3–0.5B/yr</w:t>
            </w:r>
          </w:p>
        </w:tc>
      </w:tr>
      <w:tr>
        <w:tc>
          <w:tcPr/>
          <w:p>
            <w:pPr>
              <w:pStyle w:val="Compact"/>
              <w:jc w:val="left"/>
            </w:pPr>
            <w:r>
              <w:t xml:space="preserve">Baseline price</w:t>
            </w:r>
          </w:p>
        </w:tc>
        <w:tc>
          <w:tcPr/>
          <w:p>
            <w:pPr>
              <w:pStyle w:val="Compact"/>
              <w:jc w:val="left"/>
            </w:pPr>
            <w:r>
              <w:t xml:space="preserve">$2–20+/gal; $200–5,000/ton [^D5-15^][^D5-19^]</w:t>
            </w:r>
          </w:p>
        </w:tc>
        <w:tc>
          <w:tcPr/>
          <w:p>
            <w:pPr>
              <w:pStyle w:val="Compact"/>
              <w:jc w:val="left"/>
            </w:pPr>
            <w:r>
              <w:t xml:space="preserve">$1.5–15/gal; $15–50+/gal halogenated [^D2-8^][^D2-9^]</w:t>
            </w:r>
          </w:p>
        </w:tc>
        <w:tc>
          <w:tcPr/>
          <w:p>
            <w:pPr>
              <w:pStyle w:val="Compact"/>
              <w:jc w:val="left"/>
            </w:pPr>
            <w:r>
              <w:t xml:space="preserve">$1.5–4/gal blended; CMP $0.5–2/L [^D3-45^][^D3-47^]</w:t>
            </w:r>
          </w:p>
        </w:tc>
      </w:tr>
      <w:tr>
        <w:tc>
          <w:tcPr/>
          <w:p>
            <w:pPr>
              <w:pStyle w:val="Compact"/>
              <w:jc w:val="left"/>
            </w:pPr>
            <w:r>
              <w:t xml:space="preserve">Simple payback</w:t>
            </w:r>
          </w:p>
        </w:tc>
        <w:tc>
          <w:tcPr/>
          <w:p>
            <w:pPr>
              <w:pStyle w:val="Compact"/>
              <w:jc w:val="left"/>
            </w:pPr>
            <w:r>
              <w:t xml:space="preserve">2 months–3.3 yrs (stream-dependent)</w:t>
            </w:r>
          </w:p>
        </w:tc>
        <w:tc>
          <w:tcPr/>
          <w:p>
            <w:pPr>
              <w:pStyle w:val="Compact"/>
              <w:jc w:val="left"/>
            </w:pPr>
            <w:r>
              <w:t xml:space="preserve">0.9–2.5 yrs; &lt;1 yr at $5+/gal</w:t>
            </w:r>
          </w:p>
        </w:tc>
        <w:tc>
          <w:tcPr/>
          <w:p>
            <w:pPr>
              <w:pStyle w:val="Compact"/>
              <w:jc w:val="left"/>
            </w:pPr>
            <w:r>
              <w:t xml:space="preserve">1.5–4 yrs (aggregated streams)</w:t>
            </w:r>
          </w:p>
        </w:tc>
      </w:tr>
      <w:tr>
        <w:tc>
          <w:tcPr/>
          <w:p>
            <w:pPr>
              <w:pStyle w:val="Compact"/>
              <w:jc w:val="left"/>
            </w:pPr>
            <w:r>
              <w:t xml:space="preserve">Binding constraint</w:t>
            </w:r>
          </w:p>
        </w:tc>
        <w:tc>
          <w:tcPr/>
          <w:p>
            <w:pPr>
              <w:pStyle w:val="Compact"/>
              <w:jc w:val="left"/>
            </w:pPr>
            <w:r>
              <w:t xml:space="preserve">Feed concentration; chloride corrosion</w:t>
            </w:r>
          </w:p>
        </w:tc>
        <w:tc>
          <w:tcPr/>
          <w:p>
            <w:pPr>
              <w:pStyle w:val="Compact"/>
              <w:jc w:val="left"/>
            </w:pPr>
            <w:r>
              <w:t xml:space="preserve">GMP validation inertia; liability-transfer preference</w:t>
            </w:r>
          </w:p>
        </w:tc>
        <w:tc>
          <w:tcPr/>
          <w:p>
            <w:pPr>
              <w:pStyle w:val="Compact"/>
              <w:jc w:val="left"/>
            </w:pPr>
            <w:r>
              <w:t xml:space="preserve">18–36-month fab qualification; vendor gatekeeping</w:t>
            </w:r>
          </w:p>
        </w:tc>
      </w:tr>
      <w:tr>
        <w:tc>
          <w:tcPr/>
          <w:p>
            <w:pPr>
              <w:pStyle w:val="Compact"/>
              <w:jc w:val="left"/>
            </w:pPr>
            <w:r>
              <w:t xml:space="preserve">Primary regulatory driver</w:t>
            </w:r>
          </w:p>
        </w:tc>
        <w:tc>
          <w:tcPr/>
          <w:p>
            <w:pPr>
              <w:pStyle w:val="Compact"/>
              <w:jc w:val="left"/>
            </w:pPr>
            <w:r>
              <w:t xml:space="preserve">RCRA permitting moat; CERCLA/PFAS liability</w:t>
            </w:r>
          </w:p>
        </w:tc>
        <w:tc>
          <w:tcPr/>
          <w:p>
            <w:pPr>
              <w:pStyle w:val="Compact"/>
              <w:jc w:val="left"/>
            </w:pPr>
            <w:r>
              <w:t xml:space="preserve">WHO 2024; BSI standard; EU EPR ≥80% [^D2-19^][^D2-21^][^D2-24^]</w:t>
            </w:r>
          </w:p>
        </w:tc>
        <w:tc>
          <w:tcPr/>
          <w:p>
            <w:pPr>
              <w:pStyle w:val="Compact"/>
              <w:jc w:val="left"/>
            </w:pPr>
            <w:r>
              <w:t xml:space="preserve">EPA 4 ng/L MCL; Taiwan limits; EU RO3 derogations [^D3-21^][^D3-37^]</w:t>
            </w:r>
          </w:p>
        </w:tc>
      </w:tr>
    </w:tbl>
    <w:p>
      <w:pPr>
        <w:pStyle w:val="BodyText"/>
      </w:pPr>
      <w:r>
        <w:t xml:space="preserve">The cross-vertical comparison sharpens the sequencing recommendation. Chemical and hazardous waste offers the fastest paybacks and the largest serviceable market, but monetizes them only through disciplined feed screening — it rewards a service fleet that can be aimed at premium streams. Pharma converts more slowly per site yet carries the strongest structural tailwind: AMR certification and EU EPR progressively make disposal-cost displacement a secondary argument to compliance necessity, which supports premium service pricing and sticky multi-year contracts. Semiconductor is the smallest and slowest of the three — a $0.9 billion annual TAM against 18–36-month qualification cycles — but it is the only Tier 2 vertical whose demand is driven by permits on single projects worth tens of billions of dollars, making individual wins disproportionately referenceable. For investors, the portfolio logic is that these three verticals de-risk each other: hazardous waste generates near-term cash and operating hours, pharma builds the recurring service book, and semiconductor provides the strategic option on PFAS-era fab compliance. The common failure mode to police across all three is identical: any deployment pitched on dilute-stream water recovery rather than concentrated-stream destruction violates the physics of the cost curve and should be screened out at pipeline review.</w:t>
      </w:r>
    </w:p>
    <w:bookmarkEnd w:id="84"/>
    <w:bookmarkEnd w:id="85"/>
    <w:bookmarkEnd w:id="86"/>
    <w:bookmarkStart w:id="93" w:name="Xb8e4f0e173c4d7b78c45cc99027f74da3704086"/>
    <w:p>
      <w:pPr>
        <w:pStyle w:val="Heading1"/>
      </w:pPr>
      <w:r>
        <w:t xml:space="preserve">6. Tier 3: Conditional and Regional Opportunities</w:t>
      </w:r>
    </w:p>
    <w:p>
      <w:pPr>
        <w:pStyle w:val="FirstParagraph"/>
      </w:pPr>
      <w:r>
        <w:t xml:space="preserve">Stepping down from Tier 2’s cash-flow verticals, Tier 3 markets are real, sizable, and regulation-accelerating — but they reward HCSP only under specific geographic or stream-composition conditions. The common thread across municipal biosolids, textiles and dyeing, and food and beverage (F&amp;B) is that HCSP’s economics are bimodal: compelling where disposal costs are crisis-priced, regulations force destruction rather than relocation, or streams are pre-concentrated; and uncompetitive where cheap incumbent pathways (land application, anaerobic digestion, subsidized central effluent plants) remain legal and functional. For investors and technology leadership, the implication is that Tier 3 is a</w:t>
      </w:r>
      <w:r>
        <w:t xml:space="preserve"> </w:t>
      </w:r>
      <w:r>
        <w:rPr>
          <w:iCs/>
          <w:i/>
        </w:rPr>
        <w:t xml:space="preserve">portfolio of wedges</w:t>
      </w:r>
      <w:r>
        <w:t xml:space="preserve">, not a volume market: entry sequencing and regional selection matter more than aggregate market size. One structural note: under the v2 league table two of this chapter’s three markets now outscore the Tier 3 label — biosolids at 6.6/10 (Tier 2) and the India textile wedge at 7.4/10 (Tier 1) — but both are treated here because their entry logic is regional and crisis- or cluster-gated rather than stream-based.</w:t>
      </w:r>
    </w:p>
    <w:bookmarkStart w:id="88" w:name="X6a90710076cc924976431b1994bd3ec722b7264"/>
    <w:p>
      <w:pPr>
        <w:pStyle w:val="Heading2"/>
      </w:pPr>
      <w:r>
        <w:t xml:space="preserve">6.1 Municipal Biosolids — Crisis Regions Only (6.6/10)</w:t>
      </w:r>
    </w:p>
    <w:p>
      <w:pPr>
        <w:pStyle w:val="FirstParagraph"/>
      </w:pPr>
      <w:r>
        <w:t xml:space="preserve">Municipal biosolids is the largest conditional opportunity in this report, but its addressable market is bounded by geography, not by sludge volume. The United States generates roughly 4.0 million dry metric tons of sludge annually across reporting facilities (7.1–7.5 million in broader national estimates), representing a $4.8 billion per-year management bill, with the Northeast alone facing $13.6 billion in cumulative spend through 2035 as disposal capacity tightens.[^D6-31^][^D6-32^][^D6-35^] The structural driver is per- and polyfluoroalkyl substances (PFAS): the U.S. Environmental Protection Agency’s January 2025 draft sewage sludge risk assessment found that biosolids containing as little as 1 ppb PFOA or PFOS could exceed risk thresholds</w:t>
      </w:r>
      <w:r>
        <w:t xml:space="preserve"> </w:t>
      </w:r>
      <w:r>
        <w:t xml:space="preserve">“</w:t>
      </w:r>
      <w:r>
        <w:t xml:space="preserve">by several orders of magnitude</w:t>
      </w:r>
      <w:r>
        <w:t xml:space="preserve">”</w:t>
      </w:r>
      <w:r>
        <w:t xml:space="preserve"> </w:t>
      </w:r>
      <w:r>
        <w:t xml:space="preserve">in modeled land-application scenarios, drawing more than 25,000 public comments.[^D6-1^] Because roughly 60% of U.S. biosolids were still land-applied as of 2023, any federal or state constraint on that pathway converts the cheapest disposal route into the most exposed one.[^D6-8^]</w:t>
      </w:r>
    </w:p>
    <w:p>
      <w:pPr>
        <w:pStyle w:val="BodyText"/>
      </w:pPr>
      <w:r>
        <w:t xml:space="preserve">That conversion is already underway. Maine banned all land application of biosolids in 2022; Connecticut banned PFAS-containing biosolids as soil amendments effective October 2024; Michigan-style tiered frameworks (no land application above 50–100 ppb PFOA/PFOS) have been adopted or adapted in New York, Maryland, Virginia, Wisconsin, and proposed in Pennsylvania; and at least six states introduced full land-application bans in 2025 within a wave of more than 350 PFAS-related bills across roughly 40 states.[^D6-3^][^D6-4^][^D6-5^][^D6-6^] Meanwhile the fallback routes are closing or repricing: average landfill tipping fees jumped 10% in a single year to $62.28/ton in 2024,[^D6-12^] no meaningful new sewage-sludge incinerator capacity has been built since the 2011 Maximum Achievable Control Technology rule, and the 2025 draft risk assessment flagged incineration itself as a potential PFAS exposure pathway.[^D6-18^] Destruction technologies are the only options that eliminate PFAS liability rather than relocating it — the core reason SCWO belongs in this market at all.</w:t>
      </w:r>
    </w:p>
    <w:bookmarkStart w:id="87" w:name="X49fe4f3ff4581613c468f09e7e1df674fe97492"/>
    <w:p>
      <w:pPr>
        <w:pStyle w:val="Heading3"/>
      </w:pPr>
      <w:r>
        <w:t xml:space="preserve">6.1.1 Bimodal economics: unbeatable land application vs. crisis-zone disposal</w:t>
      </w:r>
    </w:p>
    <w:p>
      <w:pPr>
        <w:pStyle w:val="FirstParagraph"/>
      </w:pPr>
      <w:r>
        <w:t xml:space="preserve">The decisive fact for go-to-market planning is that biosolids disposal economics split cleanly in two. Where land application remains legal, it costs $50–120 per dry ton for application alone (≈$10–25/wet ton at 20% cake solids; $25–65/wet ton once hauling is included, the basis used in the table below) — a price no thermal destruction technology can approach.[^D6-16^][^D6-17^] Where regulation or capacity failure has closed that pathway, costs are an order of magnitude higher and rising: Massachusetts’ 2023 actual cake haul-and-disposal averaged $153/wet ton and is projected to reach $190–250/wet ton by 2028 at a historic 7.1%/year escalation; New York landfill tip fees rose 118%; Bay Area hauling and tipping costs rose more than 50% between 2020 and 2023; and Portland Water District’s biosolids management costs have doubled since Maine’s 2022 ban.[^D6-14^][^D6-15^][^D6-13^][^D6-10^] Restricted or emergency disposal already commands $350–500+/wet ton.[^D6-16^] HCSP is therefore not one market — it is two, and only one of them is worth entering.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Disposal-cost region</w:t>
            </w:r>
          </w:p>
        </w:tc>
        <w:tc>
          <w:tcPr/>
          <w:p>
            <w:pPr>
              <w:pStyle w:val="Compact"/>
              <w:jc w:val="left"/>
            </w:pPr>
            <w:r>
              <w:t xml:space="preserve">Disposal baseline ($/wet ton)</w:t>
            </w:r>
          </w:p>
        </w:tc>
        <w:tc>
          <w:tcPr/>
          <w:p>
            <w:pPr>
              <w:pStyle w:val="Compact"/>
              <w:jc w:val="left"/>
            </w:pPr>
            <w:r>
              <w:t xml:space="preserve">Annual benefit at HCSP scale (9 wet tpd ≈ 3,285 wet t/yr)</w:t>
            </w:r>
          </w:p>
        </w:tc>
        <w:tc>
          <w:tcPr/>
          <w:p>
            <w:pPr>
              <w:pStyle w:val="Compact"/>
              <w:jc w:val="left"/>
            </w:pPr>
            <w:r>
              <w:t xml:space="preserve">Simple payback on ~$3.5–5.0M installed capex</w:t>
            </w:r>
          </w:p>
        </w:tc>
        <w:tc>
          <w:tcPr/>
          <w:p>
            <w:pPr>
              <w:pStyle w:val="Compact"/>
              <w:jc w:val="left"/>
            </w:pPr>
            <w:r>
              <w:t xml:space="preserve">HCSP verdict</w:t>
            </w:r>
          </w:p>
        </w:tc>
      </w:tr>
      <w:tr>
        <w:tc>
          <w:tcPr/>
          <w:p>
            <w:pPr>
              <w:pStyle w:val="Compact"/>
              <w:jc w:val="left"/>
            </w:pPr>
            <w:r>
              <w:t xml:space="preserve">Cheap land application (agricultural Midwest)</w:t>
            </w:r>
          </w:p>
        </w:tc>
        <w:tc>
          <w:tcPr/>
          <w:p>
            <w:pPr>
              <w:pStyle w:val="Compact"/>
              <w:jc w:val="left"/>
            </w:pPr>
            <w:r>
              <w:t xml:space="preserve">$25–65 (haul + apply) [^D6-16^][^D6-17^]</w:t>
            </w:r>
          </w:p>
        </w:tc>
        <w:tc>
          <w:tcPr/>
          <w:p>
            <w:pPr>
              <w:pStyle w:val="Compact"/>
              <w:jc w:val="left"/>
            </w:pPr>
            <w:r>
              <w:t xml:space="preserve">$0.08–0.21M</w:t>
            </w:r>
          </w:p>
        </w:tc>
        <w:tc>
          <w:tcPr/>
          <w:p>
            <w:pPr>
              <w:pStyle w:val="Compact"/>
              <w:jc w:val="left"/>
            </w:pPr>
            <w:r>
              <w:t xml:space="preserve">&gt;20 years</w:t>
            </w:r>
          </w:p>
        </w:tc>
        <w:tc>
          <w:tcPr/>
          <w:p>
            <w:pPr>
              <w:pStyle w:val="Compact"/>
              <w:jc w:val="left"/>
            </w:pPr>
            <w:r>
              <w:t xml:space="preserve">Not viable — do not bid</w:t>
            </w:r>
          </w:p>
        </w:tc>
      </w:tr>
      <w:tr>
        <w:tc>
          <w:tcPr/>
          <w:p>
            <w:pPr>
              <w:pStyle w:val="Compact"/>
              <w:jc w:val="left"/>
            </w:pPr>
            <w:r>
              <w:t xml:space="preserve">Average landfill, national</w:t>
            </w:r>
          </w:p>
        </w:tc>
        <w:tc>
          <w:tcPr/>
          <w:p>
            <w:pPr>
              <w:pStyle w:val="Compact"/>
              <w:jc w:val="left"/>
            </w:pPr>
            <w:r>
              <w:t xml:space="preserve">$60–100 [^D6-12^][^D6-16^]</w:t>
            </w:r>
          </w:p>
        </w:tc>
        <w:tc>
          <w:tcPr/>
          <w:p>
            <w:pPr>
              <w:pStyle w:val="Compact"/>
              <w:jc w:val="left"/>
            </w:pPr>
            <w:r>
              <w:t xml:space="preserve">$0.20–0.33M</w:t>
            </w:r>
          </w:p>
        </w:tc>
        <w:tc>
          <w:tcPr/>
          <w:p>
            <w:pPr>
              <w:pStyle w:val="Compact"/>
              <w:jc w:val="left"/>
            </w:pPr>
            <w:r>
              <w:t xml:space="preserve">12–25 years</w:t>
            </w:r>
          </w:p>
        </w:tc>
        <w:tc>
          <w:tcPr/>
          <w:p>
            <w:pPr>
              <w:pStyle w:val="Compact"/>
              <w:jc w:val="left"/>
            </w:pPr>
            <w:r>
              <w:t xml:space="preserve">Weak — service models only</w:t>
            </w:r>
          </w:p>
        </w:tc>
      </w:tr>
      <w:tr>
        <w:tc>
          <w:tcPr/>
          <w:p>
            <w:pPr>
              <w:pStyle w:val="Compact"/>
              <w:jc w:val="left"/>
            </w:pPr>
            <w:r>
              <w:t xml:space="preserve">Constrained Northeast/CA/FL corridor</w:t>
            </w:r>
          </w:p>
        </w:tc>
        <w:tc>
          <w:tcPr/>
          <w:p>
            <w:pPr>
              <w:pStyle w:val="Compact"/>
              <w:jc w:val="left"/>
            </w:pPr>
            <w:r>
              <w:t xml:space="preserve">$150–250 (MassDEP 2023–28 range; NY +118%) [^D6-14^][^D6-15^]</w:t>
            </w:r>
          </w:p>
        </w:tc>
        <w:tc>
          <w:tcPr/>
          <w:p>
            <w:pPr>
              <w:pStyle w:val="Compact"/>
              <w:jc w:val="left"/>
            </w:pPr>
            <w:r>
              <w:t xml:space="preserve">$0.49–0.82M</w:t>
            </w:r>
          </w:p>
        </w:tc>
        <w:tc>
          <w:tcPr/>
          <w:p>
            <w:pPr>
              <w:pStyle w:val="Compact"/>
              <w:jc w:val="left"/>
            </w:pPr>
            <w:r>
              <w:t xml:space="preserve">~5–9 years</w:t>
            </w:r>
          </w:p>
        </w:tc>
        <w:tc>
          <w:tcPr/>
          <w:p>
            <w:pPr>
              <w:pStyle w:val="Compact"/>
              <w:jc w:val="left"/>
            </w:pPr>
            <w:r>
              <w:t xml:space="preserve">Viable with PFAS-compliance value stacked</w:t>
            </w:r>
          </w:p>
        </w:tc>
      </w:tr>
      <w:tr>
        <w:tc>
          <w:tcPr/>
          <w:p>
            <w:pPr>
              <w:pStyle w:val="Compact"/>
              <w:jc w:val="left"/>
            </w:pPr>
            <w:r>
              <w:t xml:space="preserve">Crisis/emergency or PFAS-liability-priced</w:t>
            </w:r>
          </w:p>
        </w:tc>
        <w:tc>
          <w:tcPr/>
          <w:p>
            <w:pPr>
              <w:pStyle w:val="Compact"/>
              <w:jc w:val="left"/>
            </w:pPr>
            <w:r>
              <w:t xml:space="preserve">$350–500+ [^D6-16^]</w:t>
            </w:r>
          </w:p>
        </w:tc>
        <w:tc>
          <w:tcPr/>
          <w:p>
            <w:pPr>
              <w:pStyle w:val="Compact"/>
              <w:jc w:val="left"/>
            </w:pPr>
            <w:r>
              <w:t xml:space="preserve">$1.15–1.64M</w:t>
            </w:r>
          </w:p>
        </w:tc>
        <w:tc>
          <w:tcPr/>
          <w:p>
            <w:pPr>
              <w:pStyle w:val="Compact"/>
              <w:jc w:val="left"/>
            </w:pPr>
            <w:r>
              <w:t xml:space="preserve">~2.5–4 years</w:t>
            </w:r>
          </w:p>
        </w:tc>
        <w:tc>
          <w:tcPr/>
          <w:p>
            <w:pPr>
              <w:pStyle w:val="Compact"/>
              <w:jc w:val="left"/>
            </w:pPr>
            <w:r>
              <w:t xml:space="preserve">Priority beachhead</w:t>
            </w:r>
          </w:p>
        </w:tc>
      </w:tr>
    </w:tbl>
    <w:p>
      <w:pPr>
        <w:pStyle w:val="BodyText"/>
      </w:pPr>
      <w:r>
        <w:rPr>
          <w:iCs/>
          <w:i/>
        </w:rPr>
        <w:t xml:space="preserve">Sources: Dim 06 payback modeling benchmarked to 374Water installed-site costs (AS6 $4.5–6.0M; AS30 $7.5–10M); disposal baselines from EREF, MassDEP, BACWA, and industry compilations.[^D6-25^][^D6-12^][^D6-14^][^D6-13^][^D6-16^]</w:t>
      </w:r>
    </w:p>
    <w:p>
      <w:pPr>
        <w:pStyle w:val="BodyText"/>
      </w:pPr>
      <w:r>
        <w:t xml:space="preserve">The table’s central implication is that HCSP’s biosolids market is a map, not a demographic. A utility paying $60/wet ton to landfill cake will never buy a 220-bar oxidation system on economics alone; a utility facing Maine-style pathway collapse, a 2028 disposal projection of $250/wet ton, or PFAS litigation exposure reaches payback in 2.5–4 years before counting any grant funding. Three adders shorten payback further in the crisis cells: PFAS-destruction compliance value (Minnesota’s state-commissioned study implies destruction alone can be worth well over $100/wet ton in regulated states[^D6-41^]), elimination of 25–200-mile one-way hauling at $30–60/wet ton,[^D6-13^] and federal State Revolving Fund / Bipartisan Infrastructure Law grants of the kind Orlando secured for its AirSCWO demonstration.[^D6-24^] The sizing consequence: the near-term serviceable market is the destruction-addressable slice of crisis corridors — roughly $1.5–5.0 billion cumulative ($150–500M/yr) for modular SCWO-class solutions in 2026–2035, within a $12–15 billion long-run U.S. equipment total addressable market — and HCSP’s 10 m³/day (≈8–10 wet ton/day) scale fits squarely in the long tail of roughly 2,800 mid-size treatment plants producing 2–15 wet tons/day each.[^D6-35^][^D6-34^]</w:t>
      </w:r>
    </w:p>
    <w:p>
      <w:pPr>
        <w:pStyle w:val="BodyText"/>
      </w:pPr>
      <w:r>
        <w:t xml:space="preserve">Two cautions temper the opportunity. First, municipal procurement runs 3–7 years pilot-to-scale, and the only public pure-play competitor demonstrates the pain: 374Water’s flagship Orange County Sanitation District contract ($5.21M for a 6 wet ton/day AirSCWO-6 within a $7.94M project) slipped more than 2.5 years to an October 2026 deployment, and the company booked FY2025 revenue of just $215,037 against a $21.1M operating loss — simultaneously validating the market gap and warning of its capital intensity.[^D6-23^][^D6-21^] Second, 374Water’s claimed 1.5–2.5-year unit paybacks imply $900–1,800/wet-ton value capture, achievable only at hazardous-waste service pricing; at real municipal disposal prices, payback is 3–9 years, and vendors’ own footnotes concede no AS6/AS30 unit has yet sold at list price.[^D6-25^][^D6-26^] Investors should underwrite the crisis-corridor column of the table, not the vendor deck. Recommended positioning: target Northeast/Florida/California utilities above $150/wet ton, PFAS-regulated states (ME, CT, MI, NY, MD, VA), and waste-destruction-as-a-service or grant-funded demonstration models that bypass municipal capital cycles — and never compete on price against $50–120/dry-ton land application.</w:t>
      </w:r>
    </w:p>
    <w:bookmarkEnd w:id="87"/>
    <w:bookmarkEnd w:id="88"/>
    <w:bookmarkStart w:id="90" w:name="X11fa4b42c2d395ab07e826b064c33f653b19bbb"/>
    <w:p>
      <w:pPr>
        <w:pStyle w:val="Heading2"/>
      </w:pPr>
      <w:r>
        <w:t xml:space="preserve">6.2 Textiles and Dyeing — India Wedge, Global Niche (India 7.4/10)</w:t>
      </w:r>
    </w:p>
    <w:p>
      <w:pPr>
        <w:pStyle w:val="FirstParagraph"/>
      </w:pPr>
      <w:r>
        <w:t xml:space="preserve">Textiles and dyeing is a premium-niche market, not a volume market — and treating it as a volume market is the single most common sizing error for modular SCWO. Dyehouse effluent runs 1,000–10,000 mg/L chemical oxygen demand (COD), roughly two orders of magnitude below SCWO’s autothermal threshold of ~120–150 g/L, and is produced at 8,000–155,000 m³/day per cluster — up to four orders of magnitude above HCSP’s 10 m³/day capacity.[^D10-10^][^D10-17^][^D10-60^] A single 8,000 m³/day Tirupur common effluent treatment plant would require ~800 HCSP units.[^D10-19^] The honest market is the concentrated 1–5% slipstream: spent dye baths, zero-liquid-discharge (ZLD) reverse-osmosis concentrate, and above all dyeing sludge, on which SCWO has demonstrated 99.3–99.8% COD removal with heavy metals stabilized.[^D10-56^][^D10-57^]</w:t>
      </w:r>
    </w:p>
    <w:bookmarkStart w:id="89" w:name="Xb00df8b2341f4450f1149a72a626124bcf15e70"/>
    <w:p>
      <w:pPr>
        <w:pStyle w:val="Heading3"/>
      </w:pPr>
      <w:r>
        <w:t xml:space="preserve">6.2.1 Tirupur ZLD cluster, China’s sludge crisis, and the regional ranking</w:t>
      </w:r>
    </w:p>
    <w:p>
      <w:pPr>
        <w:pStyle w:val="FirstParagraph"/>
      </w:pPr>
      <w:r>
        <w:t xml:space="preserve">India is the entry wedge because it combines mandatory ZLD, paid treatment benchmarks, and an unsolved residual problem. Tamil Nadu’s Tirupur cluster — 450–800 dyeing units behind 18 ZLD common effluent plants built for roughly $120M, nine of which account for ~53,000 m³/day of ZLD capacity — already pays $1.8–2.6/m³ in ZLD operating cost, proving willingness-to-pay, while the resulting brine concentrates (60–90 g/L total dissolved solids) and sludge have no compliant destruction outlet.[^D10-18^][^D10-19^][^D10-27^][^D10-15^] China is the scale story but a contested one: its textile printing and dyeing sector discharged 1.84 billion tonnes of wastewater in 2020 (~20% of national industrial wastewater) and generates ~2.3 Mt/yr of dyeing sludge classified as hazardous waste, while the revised GB 4287—2026 standard shifts control from COD to zebrafish-egg acute toxicity limits — structurally favoring destruction over dilution, but in a market with the world’s deepest domestic SCWO research base, favoring partnership or licensing over direct sales.[^D10-7^][^D10-22^]</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Region</w:t>
            </w:r>
          </w:p>
        </w:tc>
        <w:tc>
          <w:tcPr/>
          <w:p>
            <w:pPr>
              <w:pStyle w:val="Compact"/>
              <w:jc w:val="left"/>
            </w:pPr>
            <w:r>
              <w:t xml:space="preserve">Regulatory forcing</w:t>
            </w:r>
          </w:p>
        </w:tc>
        <w:tc>
          <w:tcPr/>
          <w:p>
            <w:pPr>
              <w:pStyle w:val="Compact"/>
              <w:jc w:val="left"/>
            </w:pPr>
            <w:r>
              <w:t xml:space="preserve">Willingness to pay</w:t>
            </w:r>
          </w:p>
        </w:tc>
        <w:tc>
          <w:tcPr/>
          <w:p>
            <w:pPr>
              <w:pStyle w:val="Compact"/>
              <w:jc w:val="left"/>
            </w:pPr>
            <w:r>
              <w:t xml:space="preserve">Stream fit</w:t>
            </w:r>
          </w:p>
        </w:tc>
        <w:tc>
          <w:tcPr/>
          <w:p>
            <w:pPr>
              <w:pStyle w:val="Compact"/>
              <w:jc w:val="left"/>
            </w:pPr>
            <w:r>
              <w:t xml:space="preserve">Competitive gap</w:t>
            </w:r>
          </w:p>
        </w:tc>
        <w:tc>
          <w:tcPr/>
          <w:p>
            <w:pPr>
              <w:pStyle w:val="Compact"/>
              <w:jc w:val="left"/>
            </w:pPr>
            <w:r>
              <w:t xml:space="preserve">Weighted score (/10)</w:t>
            </w:r>
          </w:p>
        </w:tc>
        <w:tc>
          <w:tcPr/>
          <w:p>
            <w:pPr>
              <w:pStyle w:val="Compact"/>
              <w:jc w:val="left"/>
            </w:pPr>
            <w:r>
              <w:t xml:space="preserve">Verdict</w:t>
            </w:r>
          </w:p>
        </w:tc>
      </w:tr>
      <w:tr>
        <w:tc>
          <w:tcPr/>
          <w:p>
            <w:pPr>
              <w:pStyle w:val="Compact"/>
              <w:jc w:val="left"/>
            </w:pPr>
            <w:r>
              <w:t xml:space="preserve">India (TN/GJ/RJ ZLD clusters)</w:t>
            </w:r>
          </w:p>
        </w:tc>
        <w:tc>
          <w:tcPr/>
          <w:p>
            <w:pPr>
              <w:pStyle w:val="Compact"/>
              <w:jc w:val="left"/>
            </w:pPr>
            <w:r>
              <w:t xml:space="preserve">9 — ZLD mandatory, court-enforced [^D10-15^][^D10-18^]</w:t>
            </w:r>
          </w:p>
        </w:tc>
        <w:tc>
          <w:tcPr/>
          <w:p>
            <w:pPr>
              <w:pStyle w:val="Compact"/>
              <w:jc w:val="left"/>
            </w:pPr>
            <w:r>
              <w:t xml:space="preserve">6 — $1.8–2.6/m³ ZLD O&amp;M already paid [^D10-27^]</w:t>
            </w:r>
          </w:p>
        </w:tc>
        <w:tc>
          <w:tcPr/>
          <w:p>
            <w:pPr>
              <w:pStyle w:val="Compact"/>
              <w:jc w:val="left"/>
            </w:pPr>
            <w:r>
              <w:t xml:space="preserve">8 — sludge + brine concentrate [^D10-56^]</w:t>
            </w:r>
          </w:p>
        </w:tc>
        <w:tc>
          <w:tcPr/>
          <w:p>
            <w:pPr>
              <w:pStyle w:val="Compact"/>
              <w:jc w:val="left"/>
            </w:pPr>
            <w:r>
              <w:t xml:space="preserve">6 — entrenched ZLD EPCs, no destruction tech</w:t>
            </w:r>
          </w:p>
        </w:tc>
        <w:tc>
          <w:tcPr/>
          <w:p>
            <w:pPr>
              <w:pStyle w:val="Compact"/>
              <w:jc w:val="left"/>
            </w:pPr>
            <w:r>
              <w:rPr>
                <w:bCs/>
                <w:b/>
              </w:rPr>
              <w:t xml:space="preserve">7.4</w:t>
            </w:r>
          </w:p>
        </w:tc>
        <w:tc>
          <w:tcPr/>
          <w:p>
            <w:pPr>
              <w:pStyle w:val="Compact"/>
              <w:jc w:val="left"/>
            </w:pPr>
            <w:r>
              <w:t xml:space="preserve">#1 target: pilot Tirupur CETP sludge/brine</w:t>
            </w:r>
          </w:p>
        </w:tc>
      </w:tr>
      <w:tr>
        <w:tc>
          <w:tcPr/>
          <w:p>
            <w:pPr>
              <w:pStyle w:val="Compact"/>
              <w:jc w:val="left"/>
            </w:pPr>
            <w:r>
              <w:t xml:space="preserve">China</w:t>
            </w:r>
          </w:p>
        </w:tc>
        <w:tc>
          <w:tcPr/>
          <w:p>
            <w:pPr>
              <w:pStyle w:val="Compact"/>
              <w:jc w:val="left"/>
            </w:pPr>
            <w:r>
              <w:t xml:space="preserve">8 — toxicity-based GB 4287—2026 [^D10-22^]</w:t>
            </w:r>
          </w:p>
        </w:tc>
        <w:tc>
          <w:tcPr/>
          <w:p>
            <w:pPr>
              <w:pStyle w:val="Compact"/>
              <w:jc w:val="left"/>
            </w:pPr>
            <w:r>
              <w:t xml:space="preserve">6</w:t>
            </w:r>
          </w:p>
        </w:tc>
        <w:tc>
          <w:tcPr/>
          <w:p>
            <w:pPr>
              <w:pStyle w:val="Compact"/>
              <w:jc w:val="left"/>
            </w:pPr>
            <w:r>
              <w:t xml:space="preserve">8 — 2.3 Mt/yr hazardous dyeing sludge [^D10-7^]</w:t>
            </w:r>
          </w:p>
        </w:tc>
        <w:tc>
          <w:tcPr/>
          <w:p>
            <w:pPr>
              <w:pStyle w:val="Compact"/>
              <w:jc w:val="left"/>
            </w:pPr>
            <w:r>
              <w:t xml:space="preserve">3 — strong domestic SCWO base</w:t>
            </w:r>
          </w:p>
        </w:tc>
        <w:tc>
          <w:tcPr/>
          <w:p>
            <w:pPr>
              <w:pStyle w:val="Compact"/>
              <w:jc w:val="left"/>
            </w:pPr>
            <w:r>
              <w:rPr>
                <w:bCs/>
                <w:b/>
              </w:rPr>
              <w:t xml:space="preserve">6.3</w:t>
            </w:r>
          </w:p>
        </w:tc>
        <w:tc>
          <w:tcPr/>
          <w:p>
            <w:pPr>
              <w:pStyle w:val="Compact"/>
              <w:jc w:val="left"/>
            </w:pPr>
            <w:r>
              <w:t xml:space="preserve">Partner/license with park operators</w:t>
            </w:r>
          </w:p>
        </w:tc>
      </w:tr>
      <w:tr>
        <w:tc>
          <w:tcPr/>
          <w:p>
            <w:pPr>
              <w:pStyle w:val="Compact"/>
              <w:jc w:val="left"/>
            </w:pPr>
            <w:r>
              <w:t xml:space="preserve">Turkey</w:t>
            </w:r>
          </w:p>
        </w:tc>
        <w:tc>
          <w:tcPr/>
          <w:p>
            <w:pPr>
              <w:pStyle w:val="Compact"/>
              <w:jc w:val="left"/>
            </w:pPr>
            <w:r>
              <w:t xml:space="preserve">6 — EU-aligned, ZDHC adoption</w:t>
            </w:r>
          </w:p>
        </w:tc>
        <w:tc>
          <w:tcPr/>
          <w:p>
            <w:pPr>
              <w:pStyle w:val="Compact"/>
              <w:jc w:val="left"/>
            </w:pPr>
            <w:r>
              <w:t xml:space="preserve">7 — EU market-access premium</w:t>
            </w:r>
          </w:p>
        </w:tc>
        <w:tc>
          <w:tcPr/>
          <w:p>
            <w:pPr>
              <w:pStyle w:val="Compact"/>
              <w:jc w:val="left"/>
            </w:pPr>
            <w:r>
              <w:t xml:space="preserve">6 — denim laundry concentrates</w:t>
            </w:r>
          </w:p>
        </w:tc>
        <w:tc>
          <w:tcPr/>
          <w:p>
            <w:pPr>
              <w:pStyle w:val="Compact"/>
              <w:jc w:val="left"/>
            </w:pPr>
            <w:r>
              <w:t xml:space="preserve">6</w:t>
            </w:r>
          </w:p>
        </w:tc>
        <w:tc>
          <w:tcPr/>
          <w:p>
            <w:pPr>
              <w:pStyle w:val="Compact"/>
              <w:jc w:val="left"/>
            </w:pPr>
            <w:r>
              <w:rPr>
                <w:bCs/>
                <w:b/>
              </w:rPr>
              <w:t xml:space="preserve">6.2</w:t>
            </w:r>
          </w:p>
        </w:tc>
        <w:tc>
          <w:tcPr/>
          <w:p>
            <w:pPr>
              <w:pStyle w:val="Compact"/>
              <w:jc w:val="left"/>
            </w:pPr>
            <w:r>
              <w:t xml:space="preserve">Best ESG-priced niche</w:t>
            </w:r>
          </w:p>
        </w:tc>
      </w:tr>
      <w:tr>
        <w:tc>
          <w:tcPr/>
          <w:p>
            <w:pPr>
              <w:pStyle w:val="Compact"/>
              <w:jc w:val="left"/>
            </w:pPr>
            <w:r>
              <w:t xml:space="preserve">Vietnam</w:t>
            </w:r>
          </w:p>
        </w:tc>
        <w:tc>
          <w:tcPr/>
          <w:p>
            <w:pPr>
              <w:pStyle w:val="Compact"/>
              <w:jc w:val="left"/>
            </w:pPr>
            <w:r>
              <w:t xml:space="preserve">4 — discharge standards only [^D10-26^]</w:t>
            </w:r>
          </w:p>
        </w:tc>
        <w:tc>
          <w:tcPr/>
          <w:p>
            <w:pPr>
              <w:pStyle w:val="Compact"/>
              <w:jc w:val="left"/>
            </w:pPr>
            <w:r>
              <w:t xml:space="preserve">4</w:t>
            </w:r>
          </w:p>
        </w:tc>
        <w:tc>
          <w:tcPr/>
          <w:p>
            <w:pPr>
              <w:pStyle w:val="Compact"/>
              <w:jc w:val="left"/>
            </w:pPr>
            <w:r>
              <w:t xml:space="preserve">6</w:t>
            </w:r>
          </w:p>
        </w:tc>
        <w:tc>
          <w:tcPr/>
          <w:p>
            <w:pPr>
              <w:pStyle w:val="Compact"/>
              <w:jc w:val="left"/>
            </w:pPr>
            <w:r>
              <w:t xml:space="preserve">6</w:t>
            </w:r>
          </w:p>
        </w:tc>
        <w:tc>
          <w:tcPr/>
          <w:p>
            <w:pPr>
              <w:pStyle w:val="Compact"/>
              <w:jc w:val="left"/>
            </w:pPr>
            <w:r>
              <w:rPr>
                <w:bCs/>
                <w:b/>
              </w:rPr>
              <w:t xml:space="preserve">5.0</w:t>
            </w:r>
          </w:p>
        </w:tc>
        <w:tc>
          <w:tcPr/>
          <w:p>
            <w:pPr>
              <w:pStyle w:val="Compact"/>
              <w:jc w:val="left"/>
            </w:pPr>
            <w:r>
              <w:t xml:space="preserve">Watchlist; industrial-park upgrades only</w:t>
            </w:r>
          </w:p>
        </w:tc>
      </w:tr>
      <w:tr>
        <w:tc>
          <w:tcPr/>
          <w:p>
            <w:pPr>
              <w:pStyle w:val="Compact"/>
              <w:jc w:val="left"/>
            </w:pPr>
            <w:r>
              <w:t xml:space="preserve">Bangladesh</w:t>
            </w:r>
          </w:p>
        </w:tc>
        <w:tc>
          <w:tcPr/>
          <w:p>
            <w:pPr>
              <w:pStyle w:val="Compact"/>
              <w:jc w:val="left"/>
            </w:pPr>
            <w:r>
              <w:t xml:space="preserve">4 — ZLD pledge resisted [^D10-24^]</w:t>
            </w:r>
          </w:p>
        </w:tc>
        <w:tc>
          <w:tcPr/>
          <w:p>
            <w:pPr>
              <w:pStyle w:val="Compact"/>
              <w:jc w:val="left"/>
            </w:pPr>
            <w:r>
              <w:t xml:space="preserve">2 — CETP tariff $0.23/m³ [^D10-28^]</w:t>
            </w:r>
          </w:p>
        </w:tc>
        <w:tc>
          <w:tcPr/>
          <w:p>
            <w:pPr>
              <w:pStyle w:val="Compact"/>
              <w:jc w:val="left"/>
            </w:pPr>
            <w:r>
              <w:t xml:space="preserve">7 — tannery chrome, dye sludge</w:t>
            </w:r>
          </w:p>
        </w:tc>
        <w:tc>
          <w:tcPr/>
          <w:p>
            <w:pPr>
              <w:pStyle w:val="Compact"/>
              <w:jc w:val="left"/>
            </w:pPr>
            <w:r>
              <w:t xml:space="preserve">7 — Savar CETP failure = vacuum</w:t>
            </w:r>
          </w:p>
        </w:tc>
        <w:tc>
          <w:tcPr/>
          <w:p>
            <w:pPr>
              <w:pStyle w:val="Compact"/>
              <w:jc w:val="left"/>
            </w:pPr>
            <w:r>
              <w:rPr>
                <w:bCs/>
                <w:b/>
              </w:rPr>
              <w:t xml:space="preserve">4.8</w:t>
            </w:r>
          </w:p>
        </w:tc>
        <w:tc>
          <w:tcPr/>
          <w:p>
            <w:pPr>
              <w:pStyle w:val="Compact"/>
              <w:jc w:val="left"/>
            </w:pPr>
            <w:r>
              <w:t xml:space="preserve">Donor/brand-funded pilots only</w:t>
            </w:r>
          </w:p>
        </w:tc>
      </w:tr>
    </w:tbl>
    <w:p>
      <w:pPr>
        <w:pStyle w:val="BodyText"/>
      </w:pPr>
      <w:r>
        <w:rPr>
          <w:iCs/>
          <w:i/>
        </w:rPr>
        <w:t xml:space="preserve">Scores from Dim 10 weighted assessment (regulatory forcing 30%, willingness/ability to pay 25%, stream fit 25%, competitive vacuum 20%).</w:t>
      </w:r>
    </w:p>
    <w:p>
      <w:pPr>
        <w:pStyle w:val="BodyText"/>
      </w:pPr>
      <w:r>
        <w:t xml:space="preserve">The ranking teaches two lessons beyond its ordering. First, willingness-to-pay is created by regulation and market access, not by pollution severity: Bangladesh hosts some of the world’s most damaging dyeing and tannery pollution, yet its Comilla export-processing-zone tariff of $0.23/m³ — roughly one-tenth of India’s ZLD benchmark — shows a donor-priced market where dye houses keep installed treatment plants switched off to save cost and the industry association actively lobbies against mandatory ZLD.[^D10-28^][^D10-47^][^D10-24^] Turkey earns its #3 slot not on waste volume but because premium denim exporters will pay for differentiated compliance to protect EU market access. Second, the aggregate prize is modest: a credibly serviceable market of roughly 500–1,500 units globally over ten years (APAC ~400–1,100), equivalent to $0.6–3.3 billion cumulative equipment value, with realistic entrant capture of $15–150M (low-medium confidence; top-down estimate).[^D10-30^] The action implication is disciplined sequencing — pilot in Tirupur sludge/brine, build the China story through park-operator partnerships, treat Turkish denim as a priced niche — and an explicit refusal to bid against $0.23–2.6/m³ incumbents for bulk effluent. Salt-rich feeds remain SCWO’s leading failure mode (chloride corrosion and salt precipitation), so brine-concentrate deployments must be gated on materials validation.[^D10-16^][^D10-17^]</w:t>
      </w:r>
    </w:p>
    <w:bookmarkEnd w:id="89"/>
    <w:bookmarkEnd w:id="90"/>
    <w:bookmarkStart w:id="92" w:name="Xa94ed8c3d9594a80934c30b7baf3b098e201ba9"/>
    <w:p>
      <w:pPr>
        <w:pStyle w:val="Heading2"/>
      </w:pPr>
      <w:r>
        <w:t xml:space="preserve">6.3 Food and Beverage — Side-Streams Only (5.5–6.5/10)</w:t>
      </w:r>
    </w:p>
    <w:p>
      <w:pPr>
        <w:pStyle w:val="FirstParagraph"/>
      </w:pPr>
      <w:r>
        <w:t xml:space="preserve">F&amp;B is a selective fit whose boundary is set by physics and by an entrenched biological incumbent. The global F&amp;B wastewater treatment market is large ($20–46B/yr depending on definition, growing 6.8–7.9% annually), but HCSP’s addressable slice is narrow: concentrated side-streams and small compliance-stressed plants, not whole-effluent treatment.[^D7-6^]</w:t>
      </w:r>
    </w:p>
    <w:bookmarkStart w:id="91" w:name="Xa1fc63638a89f53f80c1895f88c9e242d933b0a"/>
    <w:p>
      <w:pPr>
        <w:pStyle w:val="Heading3"/>
      </w:pPr>
      <w:r>
        <w:t xml:space="preserve">6.3.1 Whole-effluent non-starter; DAF float, CIP waste, and whey niches at 3–6-year payback</w:t>
      </w:r>
    </w:p>
    <w:p>
      <w:pPr>
        <w:pStyle w:val="FirstParagraph"/>
      </w:pPr>
      <w:r>
        <w:t xml:space="preserve">The arithmetic is decisive. Typical F&amp;B whole effluent runs COD 1,000–20,000 mg/L — 3–100× below SCWO’s autothermal threshold of ~60,000–150,000 mg/L — so a 10 m³/day unit on dilute flow draws 75–95 kW continuously, roughly $71–90k/yr in electricity at $0.12/kWh, against a municipal surcharge baseline of only ~$10–40k/yr for the same stream.[^D7-1^][^D7-2^] Whole-effluent SCWO in F&amp;B is a non-starter, and anaerobic digestion (AD) must be respected as the incumbent where it works: AD is net-energy-positive (~0.35 m³ methane per kg COD removed), proven in 300+ F&amp;B installations, and supported by incentives covering up to 55% of capex, with 2–8-year paybacks that HCSP cannot beat on large, warm, soluble streams.[^D7-4^] Municipalities even pay for F&amp;B organics — Richmond, Virginia credits breweries ~$140k per 100,000 barrels because soluble BOD displaces purchased methanol — underscoring that destruction is the wrong frame for clean, biodegradable COD.[^D7-8^]</w:t>
      </w:r>
    </w:p>
    <w:p>
      <w:pPr>
        <w:pStyle w:val="BodyText"/>
      </w:pPr>
      <w:r>
        <w:t xml:space="preserve">The viable cells are precisely where AD fails. Concentrated side-streams — dissolved-air-flotation (DAF) float and sludge, clean-in-place (CIP) caustic/acid chemical waste, whey concentrate, spent yeast — approach autothermal feed strengths (COD ≥30–60 g/L) and displace hauling priced at $45–120 per 1,000 gallons, worth ~$39–105k/yr at HCSP scale and yielding indicative 3–6-year paybacks at $1.0–1.5M installed capex.[^D7-1^] Small and compliance-stressed plants are the second cell: documented cases include a dairy facing $50k/month in penalties and a brewery facing &gt;$200k/yr in projected surcharges, while craft breweries (a ~9,900-site U.S. base) face 14–19-year AD paybacks and typically lack compliance staff — exactly the segment where HCSP’s</w:t>
      </w:r>
      <w:r>
        <w:t xml:space="preserve"> </w:t>
      </w:r>
      <w:r>
        <w:t xml:space="preserve">“</w:t>
      </w:r>
      <w:r>
        <w:t xml:space="preserve">no chemicals, inert sludge, no air permit</w:t>
      </w:r>
      <w:r>
        <w:t xml:space="preserve">”</w:t>
      </w:r>
      <w:r>
        <w:t xml:space="preserve"> </w:t>
      </w:r>
      <w:r>
        <w:t xml:space="preserve">operating simplicity outweighs AD’s energy value.[^D7-5^] Thin sector margins (~11% EBITDA) cap acceptable payback at 3–5 years, which only these niche cells clear.[^D7-9^] Sizing is correspondingly modest: perhaps 2,000–4,000 candidate U.S. sites, a realistic early capture worth ~$50–150M/yr within a ~$2.1B/yr North American equipment market (low-medium confidence).[^D7-6^] California’s Sustainable Groundwater Management Act pumping cuts and fees add a water-recovery credit — at 85–95% distillate recovery, a plant-side unit returns ~2.7 acre-feet/yr — meaningful only when stacked on surcharge and hauling savings at small water-stressed plants.[^D7-7^] The recommended posture: sell HCSP as a side-stream destructor behind DAF/RO separation and a compliance guarantee for small plants; never bid it against AD on primary effluent.</w:t>
      </w:r>
    </w:p>
    <w:bookmarkEnd w:id="91"/>
    <w:bookmarkEnd w:id="92"/>
    <w:bookmarkEnd w:id="93"/>
    <w:bookmarkStart w:id="102" w:name="Xe532dee3893679a4e0ae546d2dbfce5ec225411"/>
    <w:p>
      <w:pPr>
        <w:pStyle w:val="Heading1"/>
      </w:pPr>
      <w:r>
        <w:t xml:space="preserve">7. Tier 4: Weak-Fit and Niche Markets — With the Honest Produced-Water Case</w:t>
      </w:r>
    </w:p>
    <w:p>
      <w:pPr>
        <w:pStyle w:val="FirstParagraph"/>
      </w:pPr>
      <w:r>
        <w:t xml:space="preserve">Two of the fifteen industries screened — indoor agriculture and oil &amp; gas — fail the feed-concentration and customer-economics tests that decide HCSP’s commercial fit at their volume-weighted core. This finding deserves emphasis because both markets anchor the company’s own outward narrative: the HCSP technical briefing was built around indoor agriculture, and the company’s investor webpage is built around produced water.[^S1^][^S3^] The v2 position is more precise than v1’s outright demotion. Indoor agriculture remains a regulatory showcase, now with a modest trigeneration uplift that lifts its score from 4.0 to 4.2/10. Produced water is no longer a flat rejection: independent verification of the investor-page economics shows the published numbers are unsupportable, yet the same verification carves out a narrow, honest niche — hub-scale treatment where disposal genuinely and durably costs at least $2.5–3 per barrel — with defensible, sometimes attractive returns.[^V2D5-5^][^V2D5-18^] The strategic response is discipline, not abandonment: hold controlled environment agriculture (CEA) as a low-cost beachhead, pursue produced water only as a priced niche with a salt-first architecture, keep the refinery-residuals validation program, and concentrate commercial resources on the Tier 1–2 destruction markets.</w:t>
      </w:r>
    </w:p>
    <w:bookmarkStart w:id="96" w:name="indoor-agriculture-and-cea-4.210"/>
    <w:p>
      <w:pPr>
        <w:pStyle w:val="Heading2"/>
      </w:pPr>
      <w:r>
        <w:t xml:space="preserve">7.1 Indoor Agriculture and CEA (4.2/10)</w:t>
      </w:r>
    </w:p>
    <w:bookmarkStart w:id="94" w:name="X3541ee7dfd2f2044f8ef1e336b1ba65f8aaf984"/>
    <w:p>
      <w:pPr>
        <w:pStyle w:val="Heading3"/>
      </w:pPr>
      <w:r>
        <w:t xml:space="preserve">7.1.1 The stream is 99.8% water, the customers are distressed, and the incumbents are cheap</w:t>
      </w:r>
    </w:p>
    <w:p>
      <w:pPr>
        <w:pStyle w:val="FirstParagraph"/>
      </w:pPr>
      <w:r>
        <w:t xml:space="preserve">CEA — indoor farms, greenhouses, and cannabis cultivation — is a real and growing industry: the 2024 Census of Horticultural Specialties counted 3,731 US operations growing food crops under protection with $1.01 billion in sales, up 44% versus 2019, and state cannabis programs held 17,243 active cultivation licenses at end-2024.[^D1-5^][^D1-8^] The wastewater pain is also real: nutrient runoff is high in dissolved salts, publicly owned treatment works (POTWs) increasingly refuse it, and hauling where sewers refuse is punishingly expensive.[^D1-25^] None of that, however, overcomes three structural mismatches.</w:t>
      </w:r>
    </w:p>
    <w:p>
      <w:pPr>
        <w:pStyle w:val="BodyText"/>
      </w:pPr>
      <w:r>
        <w:t xml:space="preserve">First, the physics. Hydroponic and cannabis wastewater is more than 99.8% water at 1,000–1,500 mg/L total dissolved solids (TDS), with organic content — the chemical oxygen demand (COD) that supplies SCWO’s reaction heat — likely below 1–2 g/L.[^D1-15^] Autothermal SCWO operation requires roughly 120–150 g/L COD; dilute streams demand continuous supplemental fuel and</w:t>
      </w:r>
      <w:r>
        <w:t xml:space="preserve"> </w:t>
      </w:r>
      <w:r>
        <w:t xml:space="preserve">“</w:t>
      </w:r>
      <w:r>
        <w:t xml:space="preserve">can rapidly become cost prohibitive.</w:t>
      </w:r>
      <w:r>
        <w:t xml:space="preserve">”</w:t>
      </w:r>
      <w:r>
        <w:t xml:space="preserve">[^D1-37^] HCSP therefore runs 10–100× below the concentration at which the waste’s own oxidation energy begins to add exportable power, and on a 99.8%-water stream there is no reaction exotherm to supplement the self-fueling hydrogen loop’s base operation.[^S1^] Worse, the constituents that cause regulatory pain (nitrate, phosphate, potassium salts) are inorganic; SCWO does not destroy them, and cheap recirculation reuses their fertilizer value rather than destroying it.[^D1-15^]</w:t>
      </w:r>
    </w:p>
    <w:p>
      <w:pPr>
        <w:pStyle w:val="BodyText"/>
      </w:pPr>
      <w:r>
        <w:t xml:space="preserve">Second, the customer cannot pay. Only 27.3% of US cannabis operators were profitable in 2024, and 2025 brought the industry’s first-ever projected annual revenue decline.[^D1-9^][^D1-10^] Vertical farming fared worse: 14 CEA bankruptcies in 2025 alone — including Plenty, Bowery, and AeroFarms — with indoor-farming venture funding down 91% year over year.[^D1-40^][^D1-43^] Vertical farms also recirculate 90–98% of irrigation water by design, leaving only small purge volumes — a structurally poor fit for a 10 m³/day unit.[^D1-21^] A $1M-class capital asset drawing 75–95 kW is an exceptionally hard sell to customers in survival mode.[^S1^]</w:t>
      </w:r>
    </w:p>
    <w:p>
      <w:pPr>
        <w:pStyle w:val="BodyText"/>
      </w:pPr>
      <w:r>
        <w:t xml:space="preserve">Third, the incumbents are cheap and entrenched. Table 7-1 compares the disposal options a CEA operator actually faces against HCSP’s electricity cost alone, on a normalized 1,000 gallon-per-day (gpd) basis.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Unit cost</w:t>
            </w:r>
          </w:p>
        </w:tc>
        <w:tc>
          <w:tcPr/>
          <w:p>
            <w:pPr>
              <w:pStyle w:val="Compact"/>
              <w:jc w:val="left"/>
            </w:pPr>
            <w:r>
              <w:t xml:space="preserve">Annual cost per 1,000 gpd</w:t>
            </w:r>
          </w:p>
        </w:tc>
        <w:tc>
          <w:tcPr/>
          <w:p>
            <w:pPr>
              <w:pStyle w:val="Compact"/>
              <w:jc w:val="left"/>
            </w:pPr>
            <w:r>
              <w:t xml:space="preserve">Notes</w:t>
            </w:r>
          </w:p>
        </w:tc>
      </w:tr>
      <w:tr>
        <w:tc>
          <w:tcPr/>
          <w:p>
            <w:pPr>
              <w:pStyle w:val="Compact"/>
              <w:jc w:val="left"/>
            </w:pPr>
            <w:r>
              <w:t xml:space="preserve">Sewer (POTW) discharge</w:t>
            </w:r>
          </w:p>
        </w:tc>
        <w:tc>
          <w:tcPr/>
          <w:p>
            <w:pPr>
              <w:pStyle w:val="Compact"/>
              <w:jc w:val="left"/>
            </w:pPr>
            <w:r>
              <w:t xml:space="preserve">≈1/200–1/300 of hauling (~$0.001–0.013/gal) [^D1-15^]</w:t>
            </w:r>
          </w:p>
        </w:tc>
        <w:tc>
          <w:tcPr/>
          <w:p>
            <w:pPr>
              <w:pStyle w:val="Compact"/>
              <w:jc w:val="left"/>
            </w:pPr>
            <w:r>
              <w:t xml:space="preserve">&lt;$5,000</w:t>
            </w:r>
          </w:p>
        </w:tc>
        <w:tc>
          <w:tcPr/>
          <w:p>
            <w:pPr>
              <w:pStyle w:val="Compact"/>
              <w:jc w:val="left"/>
            </w:pPr>
            <w:r>
              <w:t xml:space="preserve">Cheapest path wherever accepted; California conditionally exempts sewer-discharging indoor cannabis sites [^D1-29^]</w:t>
            </w:r>
          </w:p>
        </w:tc>
      </w:tr>
      <w:tr>
        <w:tc>
          <w:tcPr/>
          <w:p>
            <w:pPr>
              <w:pStyle w:val="Compact"/>
              <w:jc w:val="left"/>
            </w:pPr>
            <w:r>
              <w:t xml:space="preserve">Reverse osmosis (RO) recycling</w:t>
            </w:r>
          </w:p>
        </w:tc>
        <w:tc>
          <w:tcPr/>
          <w:p>
            <w:pPr>
              <w:pStyle w:val="Compact"/>
              <w:jc w:val="left"/>
            </w:pPr>
            <w:r>
              <w:t xml:space="preserve">~$13/day OPEX [^D1-15^]</w:t>
            </w:r>
          </w:p>
        </w:tc>
        <w:tc>
          <w:tcPr/>
          <w:p>
            <w:pPr>
              <w:pStyle w:val="Compact"/>
              <w:jc w:val="left"/>
            </w:pPr>
            <w:r>
              <w:t xml:space="preserve">~$4,700</w:t>
            </w:r>
          </w:p>
        </w:tc>
        <w:tc>
          <w:tcPr/>
          <w:p>
            <w:pPr>
              <w:pStyle w:val="Compact"/>
              <w:jc w:val="left"/>
            </w:pPr>
            <w:r>
              <w:t xml:space="preserve">CapEx $15k–40k per facility; recovers fertilizer value [^D1-34^]</w:t>
            </w:r>
          </w:p>
        </w:tc>
      </w:tr>
      <w:tr>
        <w:tc>
          <w:tcPr/>
          <w:p>
            <w:pPr>
              <w:pStyle w:val="Compact"/>
              <w:jc w:val="left"/>
            </w:pPr>
            <w:r>
              <w:t xml:space="preserve">Thermal evaporation</w:t>
            </w:r>
          </w:p>
        </w:tc>
        <w:tc>
          <w:tcPr/>
          <w:p>
            <w:pPr>
              <w:pStyle w:val="Compact"/>
              <w:jc w:val="left"/>
            </w:pPr>
            <w:r>
              <w:t xml:space="preserve">~$0.06/gal OPEX [^D1-15^]</w:t>
            </w:r>
          </w:p>
        </w:tc>
        <w:tc>
          <w:tcPr/>
          <w:p>
            <w:pPr>
              <w:pStyle w:val="Compact"/>
              <w:jc w:val="left"/>
            </w:pPr>
            <w:r>
              <w:t xml:space="preserve">~$21,900</w:t>
            </w:r>
          </w:p>
        </w:tc>
        <w:tc>
          <w:tcPr/>
          <w:p>
            <w:pPr>
              <w:pStyle w:val="Compact"/>
              <w:jc w:val="left"/>
            </w:pPr>
            <w:r>
              <w:t xml:space="preserve">167–250× volume reduction; established vendor category [^D1-15^]</w:t>
            </w:r>
          </w:p>
        </w:tc>
      </w:tr>
      <w:tr>
        <w:tc>
          <w:tcPr/>
          <w:p>
            <w:pPr>
              <w:pStyle w:val="Compact"/>
              <w:jc w:val="left"/>
            </w:pPr>
            <w:r>
              <w:t xml:space="preserve">HCSP electricity only</w:t>
            </w:r>
          </w:p>
        </w:tc>
        <w:tc>
          <w:tcPr/>
          <w:p>
            <w:pPr>
              <w:pStyle w:val="Compact"/>
              <w:jc w:val="left"/>
            </w:pPr>
            <w:r>
              <w:t xml:space="preserve">180–228 kWh/m³ at ~$0.086–0.09/kWh ≈ $0.06–0.08/gal [^S1^][^S2^]</w:t>
            </w:r>
          </w:p>
        </w:tc>
        <w:tc>
          <w:tcPr/>
          <w:p>
            <w:pPr>
              <w:pStyle w:val="Compact"/>
              <w:jc w:val="left"/>
            </w:pPr>
            <w:r>
              <w:t xml:space="preserve">~$21,000–29,000</w:t>
            </w:r>
          </w:p>
        </w:tc>
        <w:tc>
          <w:tcPr/>
          <w:p>
            <w:pPr>
              <w:pStyle w:val="Compact"/>
              <w:jc w:val="left"/>
            </w:pPr>
            <w:r>
              <w:t xml:space="preserve">Energy only — before H₂-loop losses, labor, maintenance; no autothermal credit on dilute feed [^D1-37^]</w:t>
            </w:r>
          </w:p>
        </w:tc>
      </w:tr>
      <w:tr>
        <w:tc>
          <w:tcPr/>
          <w:p>
            <w:pPr>
              <w:pStyle w:val="Compact"/>
              <w:jc w:val="left"/>
            </w:pPr>
            <w:r>
              <w:t xml:space="preserve">Off-site hauling</w:t>
            </w:r>
          </w:p>
        </w:tc>
        <w:tc>
          <w:tcPr/>
          <w:p>
            <w:pPr>
              <w:pStyle w:val="Compact"/>
              <w:jc w:val="left"/>
            </w:pPr>
            <w:r>
              <w:t xml:space="preserve">$0.40–2.50/gal [^D1-15^]</w:t>
            </w:r>
          </w:p>
        </w:tc>
        <w:tc>
          <w:tcPr/>
          <w:p>
            <w:pPr>
              <w:pStyle w:val="Compact"/>
              <w:jc w:val="left"/>
            </w:pPr>
            <w:r>
              <w:t xml:space="preserve">$146,000–912,500</w:t>
            </w:r>
          </w:p>
        </w:tc>
        <w:tc>
          <w:tcPr/>
          <w:p>
            <w:pPr>
              <w:pStyle w:val="Compact"/>
              <w:jc w:val="left"/>
            </w:pPr>
            <w:r>
              <w:t xml:space="preserve">The only incumbent HCSP clearly beats; applies to a minority of sewer-refused sites</w:t>
            </w:r>
          </w:p>
        </w:tc>
      </w:tr>
    </w:tbl>
    <w:p>
      <w:pPr>
        <w:pStyle w:val="BodyText"/>
      </w:pPr>
      <w:r>
        <w:rPr>
          <w:iCs/>
          <w:i/>
        </w:rPr>
        <w:t xml:space="preserve">Table 7-1. CEA wastewater disposal economics per 1,000 gpd (~3.8 m³/day), annualized at 365 operating days. HCSP row reflects electricity alone at the 2025–26 US industrial average price; fully loaded cost is materially higher. Sources: Resource Recovery Systems;[^D1-15^] Terrapin;[^D1-34^] HCSP technical briefing;[^S1^] EIA.[^S2^]</w:t>
      </w:r>
    </w:p>
    <w:p>
      <w:pPr>
        <w:pStyle w:val="BodyText"/>
      </w:pPr>
      <w:r>
        <w:t xml:space="preserve">The table explains most of the 4.2/10 score in one view. HCSP’s electrical specification alone — the briefing’s 75–95 kW startup/auxiliary figure conservatively applied as a continuous draw, with zero allowance for capital recovery or maintenance — already matches or exceeds thermal evaporation, the premium incumbent, and runs roughly 5–6× the cost of RO recycling, which additionally returns the fertilizer value SCWO would destroy. Only against hauling does HCSP win decisively, and hauling is the residual option of the minority of facilities whose POTWs refuse their discharge. Even there, documented growers report total water costs as low as $700 per year where sewer access exists, meaning the addressable pain is concentrated in a narrow, sewer-restricted corridor rather than the industry at large.[^D1-48^] The implication: HCSP cannot compete for the median CEA facility on economics; every sale must be justified by a destruction or compliance requirement that RO and evaporation structurally cannot meet.</w:t>
      </w:r>
    </w:p>
    <w:bookmarkEnd w:id="94"/>
    <w:bookmarkStart w:id="95" w:name="X379dd199edf880b35e5b276baec9ad05a86e7cb"/>
    <w:p>
      <w:pPr>
        <w:pStyle w:val="Heading3"/>
      </w:pPr>
      <w:r>
        <w:t xml:space="preserve">7.1.2 Salvage value: a regulatory beachhead plus a trigeneration assist, not a revenue engine</w:t>
      </w:r>
    </w:p>
    <w:p>
      <w:pPr>
        <w:pStyle w:val="FirstParagraph"/>
      </w:pPr>
      <w:r>
        <w:t xml:space="preserve">Three v1 assets justify keeping CEA on the roadmap at low priority. First, California’s State Water Board has stated it knows of no indoor cannabis operation that can demonstrate fully closed-loop, zero-waste wastewater treatment and has explicitly committed to updating its Cannabis Cultivation Policy if cultivators demonstrate such technology — a direct regulatory invitation that the HCSP briefing’s Sacramento filing was positioned to answer.[^D1-29^][^S1^] A permitted reference installation here buys credibility with regulators across every target vertical. Second, HCSP’s sterile, distilled output breaks the pathogen-propagation failure mode that helped kill Bowery Farming, where Phytophthora spread through integrated recirculating water systems across facilities — the one wedge where destruction beats recirculation on its own terms.[^D1-41^] Third, the beachhead is only viable as a service: with customers capital-constrained, an equipment sale is a non-starter, but a treatment-as-a-service offer priced against the $146,000–912,500 per year that hauling-captive sites already pay can clear the bar on the ~200–600 US facilities where sewer refusal, zero-discharge pressure, or pesticide-laden side-streams make destruction decisive.[^D1-15^] Netherlands-style near-zero nitrogen discharge rules (mandatory by 2027 in the world’s most advanced greenhouse sector) signal where US regulation may travel — a reason to hold the position, not to lead with it.[^D1-19^]</w:t>
      </w:r>
    </w:p>
    <w:p>
      <w:pPr>
        <w:pStyle w:val="BodyText"/>
      </w:pPr>
      <w:r>
        <w:t xml:space="preserve">A fourth, v2 addition moves the score from 4.0 to 4.2: where an HCSP unit does run on concentrated side-streams (clean-in-place waste, pesticide-laden purge), it can operate as a trigeneration asset for the host greenhouse — exporting surplus reaction heat as absorption cooling (commercial ammonia-water and lithium-bromide machines span 17 kW to 12 MW), plus distilled irrigation water and CO₂-free process heat.[^V2D2-2^][^V2D2-5^] This secondary value stack improves site economics where an anchor cooling or heating load exists; it does not change the dilute-stream fundamentals that cap the score.</w:t>
      </w:r>
    </w:p>
    <w:bookmarkEnd w:id="95"/>
    <w:bookmarkEnd w:id="96"/>
    <w:bookmarkStart w:id="100" w:name="Xda0609d73545d268e7c70f8b27aa797b5aa2a65"/>
    <w:p>
      <w:pPr>
        <w:pStyle w:val="Heading2"/>
      </w:pPr>
      <w:r>
        <w:t xml:space="preserve">7.2 Oil &amp; Gas Produced Water (2.0/5 national; 2.5/5 conditional hub niche) and Refinery Residuals (3.5/5)</w:t>
      </w:r>
    </w:p>
    <w:bookmarkStart w:id="97" w:name="X8b21107a3aa71269ec8e02fd92fd79a93a414f0"/>
    <w:p>
      <w:pPr>
        <w:pStyle w:val="Heading3"/>
      </w:pPr>
      <w:r>
        <w:t xml:space="preserve">7.2.1 Bulk produced water still fails on physics, cost, and scale</w:t>
      </w:r>
    </w:p>
    <w:p>
      <w:pPr>
        <w:pStyle w:val="FirstParagraph"/>
      </w:pPr>
      <w:r>
        <w:t xml:space="preserve">The v1 verdict stands at the national level. Produced water is the largest wastewater stream in North America — 25.9 billion barrels in 2021 — and 95.8% of it is managed by injection at an all-in conveyance-plus-disposal cost of $0.55–1.81 per barrel; Permian recycling runs $0.15–0.20 per barrel against disposal of $0.25–1.00, and even remote trucked disposal peaks near $2.50 per barrel.[^D8-1^][^D8-2^][^V2D5-3^][^D8-26^] Against that baseline, HCSP loses on every axis simultaneously. Chemically, produced water’s tens-to-hundreds of g/L of chloride-rich salts precipitate at supercritical conditions, and salt deposition, plugging, and corrosion are the documented failure modes that have blocked conventional direct-feed SCWO for three decades.[^D8-13^] Economically, HCSP’s spec-sheet power draw translates to 28.6–36.2 kWh per barrel — $1.15–4.35 per barrel for electricity alone, before oxidant, electrolysis losses, maintenance, or solids handling, already inside or above the Permian injection band.[^V2D5-23^] On scale, one unit treats 62.9 barrels per day; capturing just 1% of the 2021 national flow would require ~11,263 units.[^D8-1^] And regulation removes the willingness to pay: exploration-and-production wastes are excluded from federal RCRA Subtitle C hazardous-waste rules, so operators rarely face hazardous-destruction pricing.[^D8-25^] The technology-watch item remains the 2025 Los Alamos/DOE demonstration of supercritical water desalination-and-oxidation (SCWDO), which separated salts before oxidation on real produced water and modeled $6.8–9.9/m³ standalone costs at a 5,000 m³/day conceptual plant, 500× HCSP’s capacity.[^D8-14^]</w:t>
      </w:r>
    </w:p>
    <w:bookmarkEnd w:id="97"/>
    <w:bookmarkStart w:id="98" w:name="X9c156ab357a2c098ae2162c2a762e6a01ce7f55"/>
    <w:p>
      <w:pPr>
        <w:pStyle w:val="Heading3"/>
      </w:pPr>
      <w:r>
        <w:t xml:space="preserve">7.2.2 The honest niche: hub-scale plants where disposal is scarce and expensive</w:t>
      </w:r>
    </w:p>
    <w:p>
      <w:pPr>
        <w:pStyle w:val="FirstParagraph"/>
      </w:pPr>
      <w:r>
        <w:t xml:space="preserve">What v2 changes is the granularity of the rejection. The corrected investor-case model identifies three pockets where sustained avoided cost reaches the ≥$2.5–3/bbl threshold at which a defensible HCSP case exists. First, the Marcellus/Utica: Pennsylvania lacks disposal-well capacity, water is trucked to Ohio at $3–7 per barrel, all-in disposal runs $10–12 per barrel with $10–25 quoted historically — but basin volumes are only ~0.1–0.3 million barrels per day and most flow is already recycled in-field, so the high-cost basin is also the smallest.[^V2D5-5^][^V2D5-4^][^V2D5-13^][^V2D5-14^] Second, seismicity-constrained Permian pockets: the Texas Railroad Commission has suspended deep-disposal permits — 23 in the Northern Culberson-Reeves seismic response area alone, effective January 2024 — and imposed volume curtailments that push water onto trucks toward the $2.50/bbl ceiling.[^D8-10^][^D8-26^] Third, Texas beneficial-reuse pilots: the RRC’s 2024 recycling-pilot framework and TCEQ’s 2026 proposed rules extending discharge authority to treated produced water create permitting pathways where distilled-quality output has standalone value.[^D8-7^][^D8-8^]</w:t>
      </w:r>
    </w:p>
    <w:p>
      <w:pPr>
        <w:pStyle w:val="BodyText"/>
      </w:pPr>
      <w:r>
        <w:t xml:space="preserve">At these pockets, the corrected hub model — not the investor page’s — is worth showing investors. A 50,000-barrel-per-day SCWDO-class hub (salt separation before oxidation; roughly 795 HCSP-equivalent 10 m³/day trains), at 90% utilization, carries a midpoint CapEx near $70 million, benchmarked to Los Alamos’ modeled $785–2,046 per barrel-day of capacity — itself an unbuilt, optimistic design, and consistent with the study’s $51–113 million total capital at 5,000 m³/day.[^V2D5-18^][^V2D1-3^] Against all-in operating costs of $1.6–4.5 per barrel, outcomes span payback of 1.2–8.5 years and ten-year IRR of +3% to +82% — attractive only where the ≥$2.5–3/bbl price holds (Marcellus niche, constrained-disposal Delaware sub-basin), roughly breakeven at Permian trucked pricing, and deeply negative at the Permian’s actual pipeline benchmark of $0.55–1.81/bbl.[^V2D5-18^][^D8-2^] Every scenario is gated on demonstrating salt-first SCWDO reliability that no vendor has yet commercialized — the two largest SCWO plants ever built, Hanwha’s 2,000 and 5,500 kg/h units, both failed on exactly this.[^V2D5-17^] Hence the dual score: 2.0/5 for the national volume-weighted market, 2.5/5 for a conditional, demonstration-gated hub niche worth one pilot, not a sales organization.</w:t>
      </w:r>
    </w:p>
    <w:bookmarkEnd w:id="98"/>
    <w:bookmarkStart w:id="99" w:name="Xf31c5886f780176b284466601ebf97b9f075cb1"/>
    <w:p>
      <w:pPr>
        <w:pStyle w:val="Heading3"/>
      </w:pPr>
      <w:r>
        <w:t xml:space="preserve">7.2.3 The one standing niche: refinery tank bottoms and oily sludges</w:t>
      </w:r>
    </w:p>
    <w:p>
      <w:pPr>
        <w:pStyle w:val="FirstParagraph"/>
      </w:pPr>
      <w:r>
        <w:t xml:space="preserve">Refinery residuals remain the mirror image of produced water: small-volume, concentrated, high-COD, and frequently listed hazardous wastes. Batch SCWO studies report ~92% COD removal from oily sludge in ten minutes, and a 10 m³/day unit is correctly sized for these streams.[^D8-17^] A dated but uniquely granular DOE/API accounting puts five relevant residuals — DAF float, API-separator sludge, primary sludges, slop-oil emulsion solids, and tank bottoms — at ~638,000 wet t/yr (1995 data; treat current volumes as indicative).[^D8-16^] Excluding streams already recycled, the serviceable market is ~135,000–136,000 wet t/yr, or roughly 41 HCSP unit-equivalents at 3,300 wet t/yr per unit; against the $700–1,000/t commercial oily-sludge disposal benchmark, that is $95–136M/yr of service-equivalent value, with a realistic first-wave capture of 4–10 units across the ~130 operating US refineries.[^D8-16^][^D8-21^][^D8-20^] One caveat disciplines expectations: on-site thermal treatment of listed hazardous waste generally requires a RCRA permit, so HCSP’s</w:t>
      </w:r>
      <w:r>
        <w:t xml:space="preserve"> </w:t>
      </w:r>
      <w:r>
        <w:t xml:space="preserve">“</w:t>
      </w:r>
      <w:r>
        <w:t xml:space="preserve">no air permit</w:t>
      </w:r>
      <w:r>
        <w:t xml:space="preserve">”</w:t>
      </w:r>
      <w:r>
        <w:t xml:space="preserve"> </w:t>
      </w:r>
      <w:r>
        <w:t xml:space="preserve">advantage narrows here even as the hazardous-liability value proposition strengthens.[^D8-19^] The verdict for oil &amp; gas overall therefore stays a disciplined 2.0/5 (the Chapter 3 league table’s 4.75/10 composite for the combined sector is weighted toward this produced-water verdict, which dominates the sector’s volume): decline bulk produced water, pursue the priced hub niche only behind a successful SCWDO demonstration, run refinery residuals as a validation program behind the Tier 1–2 verticals, and hold SCWDO as the option that could re-open the sector’s giant volumes later.</w:t>
      </w:r>
    </w:p>
    <w:bookmarkEnd w:id="99"/>
    <w:bookmarkEnd w:id="100"/>
    <w:bookmarkStart w:id="101" w:name="Xba5cef82491f9701d530fadd7edefbd0416d7a1"/>
    <w:p>
      <w:pPr>
        <w:pStyle w:val="Heading2"/>
      </w:pPr>
      <w:r>
        <w:t xml:space="preserve">7.3 Correcting the Investor Math: Why Credibility Beats Hype</w:t>
      </w:r>
    </w:p>
    <w:p>
      <w:pPr>
        <w:pStyle w:val="FirstParagraph"/>
      </w:pPr>
      <w:r>
        <w:t xml:space="preserve">The company’s investor webpage presents produced-water economics that cannot survive due diligence: a</w:t>
      </w:r>
      <w:r>
        <w:t xml:space="preserve"> </w:t>
      </w:r>
      <w:r>
        <w:t xml:space="preserve">“</w:t>
      </w:r>
      <w:r>
        <w:t xml:space="preserve">$5/bbl benchmark,</w:t>
      </w:r>
      <w:r>
        <w:t xml:space="preserve">”</w:t>
      </w:r>
      <w:r>
        <w:t xml:space="preserve"> </w:t>
      </w:r>
      <w:r>
        <w:t xml:space="preserve">97–99% water recovery, a single 1,000,000-barrel-per-day</w:t>
      </w:r>
      <w:r>
        <w:t xml:space="preserve"> </w:t>
      </w:r>
      <w:r>
        <w:t xml:space="preserve">“</w:t>
      </w:r>
      <w:r>
        <w:t xml:space="preserve">unit</w:t>
      </w:r>
      <w:r>
        <w:t xml:space="preserve">”</w:t>
      </w:r>
      <w:r>
        <w:t xml:space="preserve"> </w:t>
      </w:r>
      <w:r>
        <w:t xml:space="preserve">at ~$12.5 million CapEx, $1.50/bbl variable operating cost, $0.10–0.50/bbl of salt and metals revenue, and resulting IRR above 500% at five years (passing 1,000% at ten) with payback under twelve months and ~$1.31 billion in annual net savings.[^S3^] The page’s internal arithmetic is self-consistent; every load-bearing input is wrong by one to four orders of magnitude. Table 7-2 summarizes the claim-by-claim validation.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Claim</w:t>
            </w:r>
          </w:p>
        </w:tc>
        <w:tc>
          <w:tcPr/>
          <w:p>
            <w:pPr>
              <w:pStyle w:val="Compact"/>
              <w:jc w:val="left"/>
            </w:pPr>
            <w:r>
              <w:t xml:space="preserve">Page value</w:t>
            </w:r>
          </w:p>
        </w:tc>
        <w:tc>
          <w:tcPr/>
          <w:p>
            <w:pPr>
              <w:pStyle w:val="Compact"/>
              <w:jc w:val="left"/>
            </w:pPr>
            <w:r>
              <w:t xml:space="preserve">Verified value</w:t>
            </w:r>
          </w:p>
        </w:tc>
        <w:tc>
          <w:tcPr/>
          <w:p>
            <w:pPr>
              <w:pStyle w:val="Compact"/>
              <w:jc w:val="left"/>
            </w:pPr>
            <w:r>
              <w:t xml:space="preserve">Verdict</w:t>
            </w:r>
          </w:p>
        </w:tc>
      </w:tr>
      <w:tr>
        <w:tc>
          <w:tcPr/>
          <w:p>
            <w:pPr>
              <w:pStyle w:val="Compact"/>
              <w:jc w:val="left"/>
            </w:pPr>
            <w:r>
              <w:t xml:space="preserve">Disposal benchmark</w:t>
            </w:r>
          </w:p>
        </w:tc>
        <w:tc>
          <w:tcPr/>
          <w:p>
            <w:pPr>
              <w:pStyle w:val="Compact"/>
              <w:jc w:val="left"/>
            </w:pPr>
            <w:r>
              <w:t xml:space="preserve">$5/bbl national</w:t>
            </w:r>
            <w:r>
              <w:t xml:space="preserve"> </w:t>
            </w:r>
            <w:r>
              <w:t xml:space="preserve">“</w:t>
            </w:r>
            <w:r>
              <w:t xml:space="preserve">benchmark</w:t>
            </w:r>
            <w:r>
              <w:t xml:space="preserve">”</w:t>
            </w:r>
          </w:p>
        </w:tc>
        <w:tc>
          <w:tcPr/>
          <w:p>
            <w:pPr>
              <w:pStyle w:val="Compact"/>
              <w:jc w:val="left"/>
            </w:pPr>
            <w:r>
              <w:t xml:space="preserve">Permian all-in $0.55–1.81/bbl; recycling $0.15–0.20/bbl; trucking ceiling ~$2.50/bbl; Marcellus $3–7/bbl trucking, $10–12/bbl all-in [^D8-2^][^V2D5-3^][^V2D5-5^][^D8-26^]</w:t>
            </w:r>
          </w:p>
        </w:tc>
        <w:tc>
          <w:tcPr/>
          <w:p>
            <w:pPr>
              <w:pStyle w:val="Compact"/>
              <w:jc w:val="left"/>
            </w:pPr>
            <w:r>
              <w:t xml:space="preserve">Contradicted nationally; supported only as a Marcellus/remote-trucking niche figure</w:t>
            </w:r>
          </w:p>
        </w:tc>
      </w:tr>
      <w:tr>
        <w:tc>
          <w:tcPr/>
          <w:p>
            <w:pPr>
              <w:pStyle w:val="Compact"/>
              <w:jc w:val="left"/>
            </w:pPr>
            <w:r>
              <w:t xml:space="preserve">Water recovery</w:t>
            </w:r>
          </w:p>
        </w:tc>
        <w:tc>
          <w:tcPr/>
          <w:p>
            <w:pPr>
              <w:pStyle w:val="Compact"/>
              <w:jc w:val="left"/>
            </w:pPr>
            <w:r>
              <w:t xml:space="preserve">97–99%</w:t>
            </w:r>
          </w:p>
        </w:tc>
        <w:tc>
          <w:tcPr/>
          <w:p>
            <w:pPr>
              <w:pStyle w:val="Compact"/>
              <w:jc w:val="left"/>
            </w:pPr>
            <w:r>
              <w:t xml:space="preserve">Manufacturer’s own spec 85–95%; peer-reviewed SCWO-desalination 87.1% distillate; 98.9% reached only with a ZLD crystallizer add-on [^V2D5-15^][^V2D5-16^]</w:t>
            </w:r>
          </w:p>
        </w:tc>
        <w:tc>
          <w:tcPr/>
          <w:p>
            <w:pPr>
              <w:pStyle w:val="Compact"/>
              <w:jc w:val="left"/>
            </w:pPr>
            <w:r>
              <w:t xml:space="preserve">Contradicted vs the company’s own specification</w:t>
            </w:r>
          </w:p>
        </w:tc>
      </w:tr>
      <w:tr>
        <w:tc>
          <w:tcPr/>
          <w:p>
            <w:pPr>
              <w:pStyle w:val="Compact"/>
              <w:jc w:val="left"/>
            </w:pPr>
            <w:r>
              <w:t xml:space="preserve">Unit scale</w:t>
            </w:r>
          </w:p>
        </w:tc>
        <w:tc>
          <w:tcPr/>
          <w:p>
            <w:pPr>
              <w:pStyle w:val="Compact"/>
              <w:jc w:val="left"/>
            </w:pPr>
            <w:r>
              <w:t xml:space="preserve">One 1,000,000-bbl/day unit</w:t>
            </w:r>
          </w:p>
        </w:tc>
        <w:tc>
          <w:tcPr/>
          <w:p>
            <w:pPr>
              <w:pStyle w:val="Compact"/>
              <w:jc w:val="left"/>
            </w:pPr>
            <w:r>
              <w:t xml:space="preserve">≈15,900 HCSP 10-m³/day modules; ~1,204× the largest SCWO plant ever built (Hanwha 5,500 kg/h; both Hanwha plants defunct) [^V2D5-17^]</w:t>
            </w:r>
          </w:p>
        </w:tc>
        <w:tc>
          <w:tcPr/>
          <w:p>
            <w:pPr>
              <w:pStyle w:val="Compact"/>
              <w:jc w:val="left"/>
            </w:pPr>
            <w:r>
              <w:t xml:space="preserve">Contradicted — at best a ~16,000-train plant no vendor has approached</w:t>
            </w:r>
          </w:p>
        </w:tc>
      </w:tr>
      <w:tr>
        <w:tc>
          <w:tcPr/>
          <w:p>
            <w:pPr>
              <w:pStyle w:val="Compact"/>
              <w:jc w:val="left"/>
            </w:pPr>
            <w:r>
              <w:t xml:space="preserve">CapEx</w:t>
            </w:r>
          </w:p>
        </w:tc>
        <w:tc>
          <w:tcPr/>
          <w:p>
            <w:pPr>
              <w:pStyle w:val="Compact"/>
              <w:jc w:val="left"/>
            </w:pPr>
            <w:r>
              <w:t xml:space="preserve">~$12.5M</w:t>
            </w:r>
          </w:p>
        </w:tc>
        <w:tc>
          <w:tcPr/>
          <w:p>
            <w:pPr>
              <w:pStyle w:val="Compact"/>
              <w:jc w:val="left"/>
            </w:pPr>
            <w:r>
              <w:t xml:space="preserve">LANL modeled floor $785–2,046/bbl-day ⇒ $0.79–2.05B at 1M bbl/day (60–160× the page figure); contracted AirSCWO-6 pricing implies orders of magnitude more [^V2D5-18^][^V2D5-22^]</w:t>
            </w:r>
          </w:p>
        </w:tc>
        <w:tc>
          <w:tcPr/>
          <w:p>
            <w:pPr>
              <w:pStyle w:val="Compact"/>
              <w:jc w:val="left"/>
            </w:pPr>
            <w:r>
              <w:t xml:space="preserve">Contradicted</w:t>
            </w:r>
          </w:p>
        </w:tc>
      </w:tr>
      <w:tr>
        <w:tc>
          <w:tcPr/>
          <w:p>
            <w:pPr>
              <w:pStyle w:val="Compact"/>
              <w:jc w:val="left"/>
            </w:pPr>
            <w:r>
              <w:t xml:space="preserve">Variable OPEX</w:t>
            </w:r>
          </w:p>
        </w:tc>
        <w:tc>
          <w:tcPr/>
          <w:p>
            <w:pPr>
              <w:pStyle w:val="Compact"/>
              <w:jc w:val="left"/>
            </w:pPr>
            <w:r>
              <w:t xml:space="preserve">$1.50/bbl</w:t>
            </w:r>
          </w:p>
        </w:tc>
        <w:tc>
          <w:tcPr/>
          <w:p>
            <w:pPr>
              <w:pStyle w:val="Compact"/>
              <w:jc w:val="left"/>
            </w:pPr>
            <w:r>
              <w:t xml:space="preserve">Electricity alone $1.15–4.35/bbl (conservative continuous-draw bound; the manufacturer states negligible net energy cost in operation via the self-fueling hydrogen loop [^S1^]) — before oxidant, maintenance, labor, solids handling [^V2D5-23^]</w:t>
            </w:r>
          </w:p>
        </w:tc>
        <w:tc>
          <w:tcPr/>
          <w:p>
            <w:pPr>
              <w:pStyle w:val="Compact"/>
              <w:jc w:val="left"/>
            </w:pPr>
            <w:r>
              <w:t xml:space="preserve">Unsupported as stated</w:t>
            </w:r>
          </w:p>
        </w:tc>
      </w:tr>
      <w:tr>
        <w:tc>
          <w:tcPr/>
          <w:p>
            <w:pPr>
              <w:pStyle w:val="Compact"/>
              <w:jc w:val="left"/>
            </w:pPr>
            <w:r>
              <w:t xml:space="preserve">Salt/metals revenue</w:t>
            </w:r>
          </w:p>
        </w:tc>
        <w:tc>
          <w:tcPr/>
          <w:p>
            <w:pPr>
              <w:pStyle w:val="Compact"/>
              <w:jc w:val="left"/>
            </w:pPr>
            <w:r>
              <w:t xml:space="preserve">$0.10–0.50/bbl</w:t>
            </w:r>
          </w:p>
        </w:tc>
        <w:tc>
          <w:tcPr/>
          <w:p>
            <w:pPr>
              <w:pStyle w:val="Compact"/>
              <w:jc w:val="left"/>
            </w:pPr>
            <w:r>
              <w:t xml:space="preserve">Mixed SCWO/ZLD salts have</w:t>
            </w:r>
            <w:r>
              <w:t xml:space="preserve"> </w:t>
            </w:r>
            <w:r>
              <w:t xml:space="preserve">“</w:t>
            </w:r>
            <w:r>
              <w:t xml:space="preserve">limited or no commercial value</w:t>
            </w:r>
            <w:r>
              <w:t xml:space="preserve">”</w:t>
            </w:r>
            <w:r>
              <w:t xml:space="preserve"> </w:t>
            </w:r>
            <w:r>
              <w:t xml:space="preserve">and are typically landfilled at cost; lithium recovery requires a separate direct-lithium-extraction plant (Smackover DFS: $1.45B CapEx) [^V2D5-24^][^V2D5-25^]</w:t>
            </w:r>
          </w:p>
        </w:tc>
        <w:tc>
          <w:tcPr/>
          <w:p>
            <w:pPr>
              <w:pStyle w:val="Compact"/>
              <w:jc w:val="left"/>
            </w:pPr>
            <w:r>
              <w:t xml:space="preserve">Unsupported as HCSP revenue</w:t>
            </w:r>
          </w:p>
        </w:tc>
      </w:tr>
      <w:tr>
        <w:tc>
          <w:tcPr/>
          <w:p>
            <w:pPr>
              <w:pStyle w:val="Compact"/>
              <w:jc w:val="left"/>
            </w:pPr>
            <w:r>
              <w:t xml:space="preserve">Returns</w:t>
            </w:r>
          </w:p>
        </w:tc>
        <w:tc>
          <w:tcPr/>
          <w:p>
            <w:pPr>
              <w:pStyle w:val="Compact"/>
              <w:jc w:val="left"/>
            </w:pPr>
            <w:r>
              <w:t xml:space="preserve">IRR &gt;500% (5-yr); payback &lt;12 months</w:t>
            </w:r>
          </w:p>
        </w:tc>
        <w:tc>
          <w:tcPr/>
          <w:p>
            <w:pPr>
              <w:pStyle w:val="Compact"/>
              <w:jc w:val="left"/>
            </w:pPr>
            <w:r>
              <w:t xml:space="preserve">Corrected 50,000-bbl/day hub: IRR −99% to +82%; payback 1.2 years to never; viable only at sustained ≥$2.5–3/bbl [^V2D5-18^]</w:t>
            </w:r>
          </w:p>
        </w:tc>
        <w:tc>
          <w:tcPr/>
          <w:p>
            <w:pPr>
              <w:pStyle w:val="Compact"/>
              <w:jc w:val="left"/>
            </w:pPr>
            <w:r>
              <w:t xml:space="preserve">Contradicted at any defensible input set</w:t>
            </w:r>
          </w:p>
        </w:tc>
      </w:tr>
      <w:tr>
        <w:tc>
          <w:tcPr/>
          <w:p>
            <w:pPr>
              <w:pStyle w:val="Compact"/>
              <w:jc w:val="left"/>
            </w:pPr>
            <w:r>
              <w:t xml:space="preserve">Cited sources</w:t>
            </w:r>
          </w:p>
        </w:tc>
        <w:tc>
          <w:tcPr/>
          <w:p>
            <w:pPr>
              <w:pStyle w:val="Compact"/>
              <w:jc w:val="left"/>
            </w:pPr>
            <w:r>
              <w:t xml:space="preserve">NETL, EPA UIC, EIA, Saltworks, Hart Energy, Reuters</w:t>
            </w:r>
          </w:p>
        </w:tc>
        <w:tc>
          <w:tcPr/>
          <w:p>
            <w:pPr>
              <w:pStyle w:val="Compact"/>
              <w:jc w:val="left"/>
            </w:pPr>
            <w:r>
              <w:t xml:space="preserve">All six are bare homepage links; Saltworks publicly states disposal below $1.50/bbl</w:t>
            </w:r>
            <w:r>
              <w:t xml:space="preserve"> </w:t>
            </w:r>
            <w:r>
              <w:t xml:space="preserve">“</w:t>
            </w:r>
            <w:r>
              <w:t xml:space="preserve">is the most economic option</w:t>
            </w:r>
            <w:r>
              <w:t xml:space="preserve">”</w:t>
            </w:r>
            <w:r>
              <w:t xml:space="preserve"> </w:t>
            </w:r>
            <w:r>
              <w:t xml:space="preserve">— the opposite of the page’s premise [^V2D5-28^]</w:t>
            </w:r>
          </w:p>
        </w:tc>
        <w:tc>
          <w:tcPr/>
          <w:p>
            <w:pPr>
              <w:pStyle w:val="Compact"/>
              <w:jc w:val="left"/>
            </w:pPr>
            <w:r>
              <w:t xml:space="preserve">Unsupported — decorative citations; one actively contradicts the page</w:t>
            </w:r>
          </w:p>
        </w:tc>
      </w:tr>
    </w:tbl>
    <w:p>
      <w:pPr>
        <w:pStyle w:val="BodyText"/>
      </w:pPr>
      <w:r>
        <w:rPr>
          <w:iCs/>
          <w:i/>
        </w:rPr>
        <w:t xml:space="preserve">Table 7-2. Claim-by-claim validation of the HCSP investor webpage (microdos2.github.io/HCSP/potential) against independent benchmarks.[^S3^] Full evidence register: research dimension hcsp_v2_dim05.</w:t>
      </w:r>
    </w:p>
    <w:p>
      <w:pPr>
        <w:pStyle w:val="BodyText"/>
      </w:pPr>
      <w:r>
        <w:t xml:space="preserve">The pattern in Table 7-2 is more damaging than any single error. Each overstated input compounds the next: a fictitious price benchmark, multiplied by a physically impossible unit scale, divided by a CapEx figure 60–160× below the most optimistic modeled benchmark, mechanically yields the &gt;500% IRR — the page’s own inputs imply a 3.5-day payback, more extreme than its headline. Worse, the errors are detectable by any competent diligence team in hours: the recovery claim contradicts the manufacturer’s own technical briefing, and one of the page’s six cited sources publicly argues against its premise.[^V2D5-15^][^V2D5-28^] For a company asking investors to fund a first-of-kind technology, a failed diligence screen on the flagship market page poisons credibility for the verticals — PFAS destruction, refinery sludges — where the underlying economics are genuinely sound.</w:t>
      </w:r>
    </w:p>
    <w:p>
      <w:pPr>
        <w:pStyle w:val="BodyText"/>
      </w:pPr>
      <w:r>
        <w:t xml:space="preserve">The correction is commercially costless, which is why it should be made immediately. The honest numbers still clear venture hurdles in the niche: IRR of 45–82% and payback of 1.2–2.1 years at Marcellus hub economics, with the Texas pilot frameworks as a second pathway.[^V2D5-5^][^D8-7^] The recommended rewrite follows directly from Table 7-2: re-anchor the price benchmark geographically (Marcellus/Utica and seismicity-constrained Permian pockets, not a fictitious national $5/bbl); restate scale as a multi-train plant roadmap benchmarked to the Los Alamos 5,000 m³/day SCWDO concept; rebase CapEx to $785–2,046 per barrel-day and OPEX to $1.6–4.5/bbl all-in; use the manufacturer-consistent 85–95% recovery; and treat salt and metals as a $0.00/bbl base case with, at most, a clearly labeled direct-lithium-extraction bolt-on of $0.05–0.20/bbl that carries its own nine-figure plant and price risk.[^V2D5-18^][^V2D5-23^][^V2D5-25^] Corrected, the produced-water story becomes what it should have been: a small, conditional, credible niche — and a signal that the company’s numbers elsewhere can be trusted.</w:t>
      </w:r>
    </w:p>
    <w:bookmarkEnd w:id="101"/>
    <w:bookmarkEnd w:id="102"/>
    <w:bookmarkStart w:id="119" w:name="market-sizing-unit-economics-and-payback"/>
    <w:p>
      <w:pPr>
        <w:pStyle w:val="Heading1"/>
      </w:pPr>
      <w:r>
        <w:t xml:space="preserve">8. Market Sizing, Unit Economics, and Payback</w:t>
      </w:r>
    </w:p>
    <w:p>
      <w:pPr>
        <w:pStyle w:val="FirstParagraph"/>
      </w:pPr>
      <w:r>
        <w:rPr>
          <w:bCs/>
          <w:b/>
        </w:rPr>
        <w:t xml:space="preserve">The investment case for HCSP rests on one sentence: it is a waste-destruction business whose economics are set by disposal prices, not water prices.</w:t>
      </w:r>
      <w:r>
        <w:t xml:space="preserve"> </w:t>
      </w:r>
      <w:r>
        <w:t xml:space="preserve">Across the viable verticals analyzed in Chapters 4–7 and the five new verticals screened for the v2 revision, the consolidated serviceable opportunity for modular supercritical water oxidation (SCWO) systems is approximately</w:t>
      </w:r>
      <w:r>
        <w:t xml:space="preserve"> </w:t>
      </w:r>
      <w:r>
        <w:rPr>
          <w:bCs/>
          <w:b/>
        </w:rPr>
        <w:t xml:space="preserve">$9–20 billion per year</w:t>
      </w:r>
      <w:r>
        <w:t xml:space="preserve"> </w:t>
      </w:r>
      <w:r>
        <w:t xml:space="preserve">of addressable spend, dominated by streams whose incumbent disposal cost ($1.5–50/gal for hazardous liquids; $150–500/wet ton for constrained biosolids) sits one to three orders of magnitude above a conservatively bounded HCSP energy allowance of roughly $15–20/m³ (~$0.06–0.08/gal) at US industrial power prices — per the manufacturer, the on-demand hydrogen fuel loop makes the system self-fueling once started with negligible net energy cost, and the bound derives from the briefing’s 75–95 kW startup/auxiliary specification [^S1^][^D12-64^][^D5-15^][^D6-35^]. The recovered distilled water — worth only ~$3.5/m³ against average US commercial water and sewer tariffs [^D12-1^] — is a byproduct credit, not the product. This chapter quantifies that thesis: the market sizing (8.1), the per-module cost stack (8.2), payback by vertical (8.3), the regional overlay that prices the startup/auxiliary draw and values exported energy (8.4), the scale economics that govern what happens above the 10 m³/day beachhead module (8.5), and the trigeneration value stack that concentrated feeds unlock at that larger scale (8.6).</w:t>
      </w:r>
    </w:p>
    <w:bookmarkStart w:id="104" w:name="tamsam-summary"/>
    <w:p>
      <w:pPr>
        <w:pStyle w:val="Heading2"/>
      </w:pPr>
      <w:r>
        <w:t xml:space="preserve">8.1 TAM/SAM Summary</w:t>
      </w:r>
    </w:p>
    <w:bookmarkStart w:id="103" w:name="Xc9e5ec0d1723599f7c241cda507432fe3234e6a"/>
    <w:p>
      <w:pPr>
        <w:pStyle w:val="Heading3"/>
      </w:pPr>
      <w:r>
        <w:t xml:space="preserve">8.1.1 Consolidated addressable market by industry</w:t>
      </w:r>
    </w:p>
    <w:p>
      <w:pPr>
        <w:pStyle w:val="FirstParagraph"/>
      </w:pPr>
      <w:r>
        <w:t xml:space="preserve">The sizing below consolidates the bottom-up models from each industry dimension. Every figure carries its stated assumptions; where dimensions diverge, ranges are shown rather than point estimates. Three definitions apply throughout:</w:t>
      </w:r>
      <w:r>
        <w:t xml:space="preserve"> </w:t>
      </w:r>
      <w:r>
        <w:rPr>
          <w:bCs/>
          <w:b/>
        </w:rPr>
        <w:t xml:space="preserve">TAM</w:t>
      </w:r>
      <w:r>
        <w:t xml:space="preserve"> </w:t>
      </w:r>
      <w:r>
        <w:t xml:space="preserve">(total addressable market) is annual sector spend on the relevant treatment/disposal category;</w:t>
      </w:r>
      <w:r>
        <w:t xml:space="preserve"> </w:t>
      </w:r>
      <w:r>
        <w:rPr>
          <w:bCs/>
          <w:b/>
        </w:rPr>
        <w:t xml:space="preserve">SAM</w:t>
      </w:r>
      <w:r>
        <w:t xml:space="preserve"> </w:t>
      </w:r>
      <w:r>
        <w:t xml:space="preserve">(serviceable addressable market) is the portion technically and economically reachable by a 10 m³/day SCWO module — concentrated streams only;</w:t>
      </w:r>
      <w:r>
        <w:t xml:space="preserve"> </w:t>
      </w:r>
      <w:r>
        <w:rPr>
          <w:bCs/>
          <w:b/>
        </w:rPr>
        <w:t xml:space="preserve">SOM</w:t>
      </w:r>
      <w:r>
        <w:t xml:space="preserve"> </w:t>
      </w:r>
      <w:r>
        <w:t xml:space="preserve">(serviceable obtainable market) is a realistic five-year capture for a single entrant vendor.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TAM (annual)</w:t>
            </w:r>
          </w:p>
        </w:tc>
        <w:tc>
          <w:tcPr/>
          <w:p>
            <w:pPr>
              <w:pStyle w:val="Compact"/>
              <w:jc w:val="left"/>
            </w:pPr>
            <w:r>
              <w:t xml:space="preserve">SAM (HCSP-addressable)</w:t>
            </w:r>
          </w:p>
        </w:tc>
        <w:tc>
          <w:tcPr/>
          <w:p>
            <w:pPr>
              <w:pStyle w:val="Compact"/>
              <w:jc w:val="left"/>
            </w:pPr>
            <w:r>
              <w:t xml:space="preserve">5-yr SOM (entrant)</w:t>
            </w:r>
          </w:p>
        </w:tc>
        <w:tc>
          <w:tcPr/>
          <w:p>
            <w:pPr>
              <w:pStyle w:val="Compact"/>
              <w:jc w:val="left"/>
            </w:pPr>
            <w:r>
              <w:t xml:space="preserve">Core assumptions</w:t>
            </w:r>
          </w:p>
        </w:tc>
      </w:tr>
      <w:tr>
        <w:tc>
          <w:tcPr/>
          <w:p>
            <w:pPr>
              <w:pStyle w:val="Compact"/>
              <w:jc w:val="left"/>
            </w:pPr>
            <w:r>
              <w:t xml:space="preserve">Hazardous organic liquids &amp; solvents (chemical)</w:t>
            </w:r>
          </w:p>
        </w:tc>
        <w:tc>
          <w:tcPr/>
          <w:p>
            <w:pPr>
              <w:pStyle w:val="Compact"/>
              <w:jc w:val="left"/>
            </w:pPr>
            <w:r>
              <w:t xml:space="preserve">$17–22B/yr global, →$35–45B by 2035 [^D5-1^][^D5-2^][^D5-52^]</w:t>
            </w:r>
          </w:p>
        </w:tc>
        <w:tc>
          <w:tcPr/>
          <w:p>
            <w:pPr>
              <w:pStyle w:val="Compact"/>
              <w:jc w:val="left"/>
            </w:pPr>
            <w:r>
              <w:t xml:space="preserve">$2–4B/yr (NA+EU; 25–40% of incineration + premium treatment, 1–20% organics window) [^D5-55^][^D5-56^]</w:t>
            </w:r>
          </w:p>
        </w:tc>
        <w:tc>
          <w:tcPr/>
          <w:p>
            <w:pPr>
              <w:pStyle w:val="Compact"/>
              <w:jc w:val="left"/>
            </w:pPr>
            <w:r>
              <w:t xml:space="preserve">40–150 modules ≈ $110–550M/yr service revenue (ramped over a 7–10 yr horizon) [^D5-45^][^D5-48^]</w:t>
            </w:r>
          </w:p>
        </w:tc>
        <w:tc>
          <w:tcPr/>
          <w:p>
            <w:pPr>
              <w:pStyle w:val="Compact"/>
              <w:jc w:val="left"/>
            </w:pPr>
            <w:r>
              <w:t xml:space="preserve">$3–8/gal service value; 0.925M gal/yr per module</w:t>
            </w:r>
          </w:p>
        </w:tc>
      </w:tr>
      <w:tr>
        <w:tc>
          <w:tcPr/>
          <w:p>
            <w:pPr>
              <w:pStyle w:val="Compact"/>
              <w:jc w:val="left"/>
            </w:pPr>
            <w:r>
              <w:t xml:space="preserve">PFAS concentrates (leachate fractionate, RO/IX residuals, AFFF)</w:t>
            </w:r>
          </w:p>
        </w:tc>
        <w:tc>
          <w:tcPr/>
          <w:p>
            <w:pPr>
              <w:pStyle w:val="Compact"/>
              <w:jc w:val="left"/>
            </w:pPr>
            <w:r>
              <w:t xml:space="preserve">$1.5–4B/yr US destruction-addressable by 2030 [^D4-9^][^D4-13^][^D4-24^]</w:t>
            </w:r>
          </w:p>
        </w:tc>
        <w:tc>
          <w:tcPr/>
          <w:p>
            <w:pPr>
              <w:pStyle w:val="Compact"/>
              <w:jc w:val="left"/>
            </w:pPr>
            <w:r>
              <w:t xml:space="preserve">$300M–1.6B/yr (20–40% of 2030 destruction market; 200–500 skid-equivalents) [^D4-47^][^D4-48^]</w:t>
            </w:r>
          </w:p>
        </w:tc>
        <w:tc>
          <w:tcPr/>
          <w:p>
            <w:pPr>
              <w:pStyle w:val="Compact"/>
              <w:jc w:val="left"/>
            </w:pPr>
            <w:r>
              <w:t xml:space="preserve">$15–240M/yr (5–15% vendor share) [^D4-48^]</w:t>
            </w:r>
          </w:p>
        </w:tc>
        <w:tc>
          <w:tcPr/>
          <w:p>
            <w:pPr>
              <w:pStyle w:val="Compact"/>
              <w:jc w:val="left"/>
            </w:pPr>
            <w:r>
              <w:t xml:space="preserve">$2–5/gal viable pricing vs. $5–10/gal incineration</w:t>
            </w:r>
          </w:p>
        </w:tc>
      </w:tr>
      <w:tr>
        <w:tc>
          <w:tcPr/>
          <w:p>
            <w:pPr>
              <w:pStyle w:val="Compact"/>
              <w:jc w:val="left"/>
            </w:pPr>
            <w:r>
              <w:t xml:space="preserve">Pharma &amp; biotech</w:t>
            </w:r>
          </w:p>
        </w:tc>
        <w:tc>
          <w:tcPr/>
          <w:p>
            <w:pPr>
              <w:pStyle w:val="Compact"/>
              <w:jc w:val="left"/>
            </w:pPr>
            <w:r>
              <w:t xml:space="preserve">~$0.9–1.0B/yr global destruction-class slice of ~$3.8B/yr pharma wastewater spend (2030) [^D2-16^]</w:t>
            </w:r>
          </w:p>
        </w:tc>
        <w:tc>
          <w:tcPr/>
          <w:p>
            <w:pPr>
              <w:pStyle w:val="Compact"/>
              <w:jc w:val="left"/>
            </w:pPr>
            <w:r>
              <w:t xml:space="preserve">$2.1–3.2B US one-time equipment (~1,050 skids; 35% of 2,010 establishments × 1.5 skids) [^D2-45^]; $1.5–3.0B/yr US service equivalent</w:t>
            </w:r>
          </w:p>
        </w:tc>
        <w:tc>
          <w:tcPr/>
          <w:p>
            <w:pPr>
              <w:pStyle w:val="Compact"/>
              <w:jc w:val="left"/>
            </w:pPr>
            <w:r>
              <w:t xml:space="preserve">$450–750M equipment beachhead (150–250 high-urgency AMR/EPR-exposed sites) [^D2-21^][^D2-32^]</w:t>
            </w:r>
          </w:p>
        </w:tc>
        <w:tc>
          <w:tcPr/>
          <w:p>
            <w:pPr>
              <w:pStyle w:val="Compact"/>
              <w:jc w:val="left"/>
            </w:pPr>
            <w:r>
              <w:t xml:space="preserve">$2–3M per skid; $1.5–3/gal avoided-cost service pricing</w:t>
            </w:r>
          </w:p>
        </w:tc>
      </w:tr>
      <w:tr>
        <w:tc>
          <w:tcPr/>
          <w:p>
            <w:pPr>
              <w:pStyle w:val="Compact"/>
              <w:jc w:val="left"/>
            </w:pPr>
            <w:r>
              <w:t xml:space="preserve">Semiconductor side-streams (solvents, CMP, PFAS concentrate)</w:t>
            </w:r>
          </w:p>
        </w:tc>
        <w:tc>
          <w:tcPr/>
          <w:p>
            <w:pPr>
              <w:pStyle w:val="Compact"/>
              <w:jc w:val="left"/>
            </w:pPr>
            <w:r>
              <w:t xml:space="preserve">$2.9–3.1B (2025) → $4.8–7.3B (2030–34) fab wastewater treatment [^D3-49^][^D3-50^][^D3-51^]; PFAS treatment $2.1B → $3.0B [^D3-53^]</w:t>
            </w:r>
          </w:p>
        </w:tc>
        <w:tc>
          <w:tcPr/>
          <w:p>
            <w:pPr>
              <w:pStyle w:val="Compact"/>
              <w:jc w:val="left"/>
            </w:pPr>
            <w:r>
              <w:t xml:space="preserve">$0.3–0.5B/yr (70–110 adopting fabs × $1–3M/yr)</w:t>
            </w:r>
          </w:p>
        </w:tc>
        <w:tc>
          <w:tcPr/>
          <w:p>
            <w:pPr>
              <w:pStyle w:val="Compact"/>
              <w:jc w:val="left"/>
            </w:pPr>
            <w:r>
              <w:t xml:space="preserve">$30–90M cumulative equipment + $5–25M/yr service (10–30 fabs)</w:t>
            </w:r>
          </w:p>
        </w:tc>
        <w:tc>
          <w:tcPr/>
          <w:p>
            <w:pPr>
              <w:pStyle w:val="Compact"/>
              <w:jc w:val="left"/>
            </w:pPr>
            <w:r>
              <w:t xml:space="preserve">Multi-stream aggregation required to reach $1–3M/yr per site</w:t>
            </w:r>
          </w:p>
        </w:tc>
      </w:tr>
      <w:tr>
        <w:tc>
          <w:tcPr/>
          <w:p>
            <w:pPr>
              <w:pStyle w:val="Compact"/>
              <w:jc w:val="left"/>
            </w:pPr>
            <w:r>
              <w:t xml:space="preserve">Municipal biosolids (constrained regions)</w:t>
            </w:r>
          </w:p>
        </w:tc>
        <w:tc>
          <w:tcPr/>
          <w:p>
            <w:pPr>
              <w:pStyle w:val="Compact"/>
              <w:jc w:val="left"/>
            </w:pPr>
            <w:r>
              <w:t xml:space="preserve">$4.8B/yr US management spend [^D6-35^]; destruction-addressable slice $2.0–3.0B/yr</w:t>
            </w:r>
          </w:p>
        </w:tc>
        <w:tc>
          <w:tcPr/>
          <w:p>
            <w:pPr>
              <w:pStyle w:val="Compact"/>
              <w:jc w:val="left"/>
            </w:pPr>
            <w:r>
              <w:t xml:space="preserve">$150–500M/yr (5–15% of ~$30–36B cumulative 2026–35 crisis-corridor spend)</w:t>
            </w:r>
          </w:p>
        </w:tc>
        <w:tc>
          <w:tcPr/>
          <w:p>
            <w:pPr>
              <w:pStyle w:val="Compact"/>
              <w:jc w:val="left"/>
            </w:pPr>
            <w:r>
              <w:t xml:space="preserve">Crisis-priced utilities (&gt;$150/wet ton) and grant-funded demonstrations [^D6-41^]</w:t>
            </w:r>
          </w:p>
        </w:tc>
        <w:tc>
          <w:tcPr/>
          <w:p>
            <w:pPr>
              <w:pStyle w:val="Compact"/>
              <w:jc w:val="left"/>
            </w:pPr>
            <w:r>
              <w:t xml:space="preserve">10 m³/day ≈ 8–10 wet tpd; ~2,800 mid-size POTWs fit module scale</w:t>
            </w:r>
          </w:p>
        </w:tc>
      </w:tr>
      <w:tr>
        <w:tc>
          <w:tcPr/>
          <w:p>
            <w:pPr>
              <w:pStyle w:val="Compact"/>
              <w:jc w:val="left"/>
            </w:pPr>
            <w:r>
              <w:t xml:space="preserve">Textile/dyeing clusters (India ZLD wedge, China parks)</w:t>
            </w:r>
          </w:p>
        </w:tc>
        <w:tc>
          <w:tcPr/>
          <w:p>
            <w:pPr>
              <w:pStyle w:val="Compact"/>
              <w:jc w:val="left"/>
            </w:pPr>
            <w:r>
              <w:t xml:space="preserve">$2–2.5B/yr sector treatment spend (textiles + tannery + small pulp) [^D10-30^][^D10-31^]</w:t>
            </w:r>
          </w:p>
        </w:tc>
        <w:tc>
          <w:tcPr/>
          <w:p>
            <w:pPr>
              <w:pStyle w:val="Compact"/>
              <w:jc w:val="left"/>
            </w:pPr>
            <w:r>
              <w:t xml:space="preserve">$0.6–3.3B cumulative equipment over 10 yr (500–1,500 modules; APAC 400–1,100)</w:t>
            </w:r>
          </w:p>
        </w:tc>
        <w:tc>
          <w:tcPr/>
          <w:p>
            <w:pPr>
              <w:pStyle w:val="Compact"/>
              <w:jc w:val="left"/>
            </w:pPr>
            <w:r>
              <w:t xml:space="preserve">$15–150M cumulative (2–5% entrant capture over 10 yr)</w:t>
            </w:r>
          </w:p>
        </w:tc>
        <w:tc>
          <w:tcPr/>
          <w:p>
            <w:pPr>
              <w:pStyle w:val="Compact"/>
              <w:jc w:val="left"/>
            </w:pPr>
            <w:r>
              <w:t xml:space="preserve">Only 1–3% of effluent volume is concentrate/sludge; low-medium confidence (top-down)</w:t>
            </w:r>
          </w:p>
        </w:tc>
      </w:tr>
      <w:tr>
        <w:tc>
          <w:tcPr/>
          <w:p>
            <w:pPr>
              <w:pStyle w:val="Compact"/>
              <w:jc w:val="left"/>
            </w:pPr>
            <w:r>
              <w:t xml:space="preserve">Food &amp; beverage (concentrated side-streams only)</w:t>
            </w:r>
          </w:p>
        </w:tc>
        <w:tc>
          <w:tcPr/>
          <w:p>
            <w:pPr>
              <w:pStyle w:val="Compact"/>
              <w:jc w:val="left"/>
            </w:pPr>
            <w:r>
              <w:t xml:space="preserve">$20.2B (2024) → $44.3B (2035) F&amp;B wastewater/recovery market [^D7-E1^]</w:t>
            </w:r>
          </w:p>
        </w:tc>
        <w:tc>
          <w:tcPr/>
          <w:p>
            <w:pPr>
              <w:pStyle w:val="Compact"/>
              <w:jc w:val="left"/>
            </w:pPr>
            <w:r>
              <w:t xml:space="preserve">$200–600M/yr US annualized equipment; global $500M–1.5B/yr</w:t>
            </w:r>
          </w:p>
        </w:tc>
        <w:tc>
          <w:tcPr/>
          <w:p>
            <w:pPr>
              <w:pStyle w:val="Compact"/>
              <w:jc w:val="left"/>
            </w:pPr>
            <w:r>
              <w:t xml:space="preserve">$50–150M/yr side-stream/compliance sub-segment [^D7-805^]</w:t>
            </w:r>
          </w:p>
        </w:tc>
        <w:tc>
          <w:tcPr/>
          <w:p>
            <w:pPr>
              <w:pStyle w:val="Compact"/>
              <w:jc w:val="left"/>
            </w:pPr>
            <w:r>
              <w:t xml:space="preserve">2,000–4,000 candidate US plants (too small/remote for anaerobic digestion)</w:t>
            </w:r>
          </w:p>
        </w:tc>
      </w:tr>
      <w:tr>
        <w:tc>
          <w:tcPr/>
          <w:p>
            <w:pPr>
              <w:pStyle w:val="Compact"/>
              <w:jc w:val="left"/>
            </w:pPr>
            <w:r>
              <w:t xml:space="preserve">Refinery residuals (API/DAF sludge, tank bottoms)</w:t>
            </w:r>
          </w:p>
        </w:tc>
        <w:tc>
          <w:tcPr/>
          <w:p>
            <w:pPr>
              <w:pStyle w:val="Compact"/>
              <w:jc w:val="left"/>
            </w:pPr>
            <w:r>
              <w:t xml:space="preserve">$447–638M/yr technical TAM (638,000 wet t/yr, 1995 DOE/API basis — dated but granular) [^D8-16^]</w:t>
            </w:r>
          </w:p>
        </w:tc>
        <w:tc>
          <w:tcPr/>
          <w:p>
            <w:pPr>
              <w:pStyle w:val="Compact"/>
              <w:jc w:val="left"/>
            </w:pPr>
            <w:r>
              <w:t xml:space="preserve">$95–136M/yr (~41 module-equivalents; treatment + direct-disposal streams only) [^D8-21^]</w:t>
            </w:r>
          </w:p>
        </w:tc>
        <w:tc>
          <w:tcPr/>
          <w:p>
            <w:pPr>
              <w:pStyle w:val="Compact"/>
              <w:jc w:val="left"/>
            </w:pPr>
            <w:r>
              <w:t xml:space="preserve">$9.5–34M/yr first wave (10–25% of SAM)</w:t>
            </w:r>
          </w:p>
        </w:tc>
        <w:tc>
          <w:tcPr/>
          <w:p>
            <w:pPr>
              <w:pStyle w:val="Compact"/>
              <w:jc w:val="left"/>
            </w:pPr>
            <w:r>
              <w:t xml:space="preserve">$700–1,000/t oily-sludge service benchmark</w:t>
            </w:r>
          </w:p>
        </w:tc>
      </w:tr>
      <w:tr>
        <w:tc>
          <w:tcPr/>
          <w:p>
            <w:pPr>
              <w:pStyle w:val="Compact"/>
              <w:jc w:val="left"/>
            </w:pPr>
            <w:r>
              <w:t xml:space="preserve">Distillery / ethanol stillage (India molasses ZLD; Brazil vinasse)</w:t>
            </w:r>
          </w:p>
        </w:tc>
        <w:tc>
          <w:tcPr/>
          <w:p>
            <w:pPr>
              <w:pStyle w:val="Compact"/>
              <w:jc w:val="left"/>
            </w:pPr>
            <w:r>
              <w:t xml:space="preserve">India: 270 molasses + 140 grain distilleries, 18.2 BL ethanol capacity (June 2025) [^V2D3-29^]; Brazil ~30 BL/yr cane ethanol [^V2D3-E1^]</w:t>
            </w:r>
          </w:p>
        </w:tc>
        <w:tc>
          <w:tcPr/>
          <w:p>
            <w:pPr>
              <w:pStyle w:val="Compact"/>
              <w:jc w:val="left"/>
            </w:pPr>
            <w:r>
              <w:rPr>
                <w:bCs/>
                <w:b/>
              </w:rPr>
              <w:t xml:space="preserve">$2–5B</w:t>
            </w:r>
            <w:r>
              <w:t xml:space="preserve"> </w:t>
            </w:r>
            <w:r>
              <w:t xml:space="preserve">cumulative (ZLD thermal-train retrofits at $6–15M per 60–120 KLPD site; Brazil at 10–20% penetration) [^V2D3-E1^]</w:t>
            </w:r>
          </w:p>
        </w:tc>
        <w:tc>
          <w:tcPr/>
          <w:p>
            <w:pPr>
              <w:pStyle w:val="Compact"/>
              <w:jc w:val="left"/>
            </w:pPr>
            <w:r>
              <w:t xml:space="preserve">First-wave India retrofit cohorts under CPCB closure enforcement</w:t>
            </w:r>
          </w:p>
        </w:tc>
        <w:tc>
          <w:tcPr/>
          <w:p>
            <w:pPr>
              <w:pStyle w:val="Compact"/>
              <w:jc w:val="left"/>
            </w:pPr>
            <w:r>
              <w:t xml:space="preserve">Spent wash COD 100–160 g/L — squarely autothermal [^V2D3-22^]; incumbent MEE + incineration already thermal [^V2D3-28^]; reference 60 KLPD plant $3–3.6M, &lt;3-yr payback [^V2D3-30^]</w:t>
            </w:r>
          </w:p>
        </w:tc>
      </w:tr>
      <w:tr>
        <w:tc>
          <w:tcPr/>
          <w:p>
            <w:pPr>
              <w:pStyle w:val="Compact"/>
              <w:jc w:val="left"/>
            </w:pPr>
            <w:r>
              <w:t xml:space="preserve">Islands / resorts / coastal municipalities (diesel grids)</w:t>
            </w:r>
          </w:p>
        </w:tc>
        <w:tc>
          <w:tcPr/>
          <w:p>
            <w:pPr>
              <w:pStyle w:val="Compact"/>
              <w:jc w:val="left"/>
            </w:pPr>
            <w:r>
              <w:t xml:space="preserve">~150–250 resort clusters + small coastal municipalities on diesel + desalination [^V2D3-E4^]</w:t>
            </w:r>
          </w:p>
        </w:tc>
        <w:tc>
          <w:tcPr/>
          <w:p>
            <w:pPr>
              <w:pStyle w:val="Compact"/>
              <w:jc w:val="left"/>
            </w:pPr>
            <w:r>
              <w:rPr>
                <w:bCs/>
                <w:b/>
              </w:rPr>
              <w:t xml:space="preserve">$0.5–1.5B</w:t>
            </w:r>
            <w:r>
              <w:t xml:space="preserve"> </w:t>
            </w:r>
            <w:r>
              <w:t xml:space="preserve">cumulative (10–20% adoption × $10–30M integrated units) [^V2D3-E4^]</w:t>
            </w:r>
          </w:p>
        </w:tc>
        <w:tc>
          <w:tcPr/>
          <w:p>
            <w:pPr>
              <w:pStyle w:val="Compact"/>
              <w:jc w:val="left"/>
            </w:pPr>
            <w:r>
              <w:t xml:space="preserve">Caribbean / USVI / Hawaii resort clusters</w:t>
            </w:r>
          </w:p>
        </w:tc>
        <w:tc>
          <w:tcPr/>
          <w:p>
            <w:pPr>
              <w:pStyle w:val="Compact"/>
              <w:jc w:val="left"/>
            </w:pPr>
            <w:r>
              <w:t xml:space="preserve">All three outputs at global-maximum prices: power $0.30–0.52/kWh [^V2D3-36^][^V2D3-37^], water $2–5/m³ desal parity [^V2D3-38^]; dilute feed needs FOG/food-waste blending</w:t>
            </w:r>
          </w:p>
        </w:tc>
      </w:tr>
      <w:tr>
        <w:tc>
          <w:tcPr/>
          <w:p>
            <w:pPr>
              <w:pStyle w:val="Compact"/>
              <w:jc w:val="left"/>
            </w:pPr>
            <w:r>
              <w:t xml:space="preserve">CAFO manure (land-constrained, water-stressed dairies)</w:t>
            </w:r>
          </w:p>
        </w:tc>
        <w:tc>
          <w:tcPr/>
          <w:p>
            <w:pPr>
              <w:pStyle w:val="Compact"/>
              <w:jc w:val="left"/>
            </w:pPr>
            <w:r>
              <w:t xml:space="preserve">~1.4B t/yr US manure; &gt;21,000 large CAFOs [^V2D3-12^]; ~0.8 ha/cow land-base requirement forces export [^V2D3-16^]</w:t>
            </w:r>
          </w:p>
        </w:tc>
        <w:tc>
          <w:tcPr/>
          <w:p>
            <w:pPr>
              <w:pStyle w:val="Compact"/>
              <w:jc w:val="left"/>
            </w:pPr>
            <w:r>
              <w:rPr>
                <w:bCs/>
                <w:b/>
              </w:rPr>
              <w:t xml:space="preserve">$1–3B</w:t>
            </w:r>
            <w:r>
              <w:t xml:space="preserve"> </w:t>
            </w:r>
            <w:r>
              <w:t xml:space="preserve">cumulative (~3,000 addressable sites × 5–15% capture × $4–8M installed) [^V2D3-E2^]</w:t>
            </w:r>
          </w:p>
        </w:tc>
        <w:tc>
          <w:tcPr/>
          <w:p>
            <w:pPr>
              <w:pStyle w:val="Compact"/>
              <w:jc w:val="left"/>
            </w:pPr>
            <w:r>
              <w:t xml:space="preserve">Lagoon-closure consent decrees; TX Panhandle / Central Valley dairies</w:t>
            </w:r>
          </w:p>
        </w:tc>
        <w:tc>
          <w:tcPr/>
          <w:p>
            <w:pPr>
              <w:pStyle w:val="Compact"/>
              <w:jc w:val="left"/>
            </w:pPr>
            <w:r>
              <w:t xml:space="preserve">Compliance/water sale vs. entrenched anaerobic digestion + LCFS credit stack; raw manure 85–92% water requires dewatering [^V2D3-E2^]</w:t>
            </w:r>
          </w:p>
        </w:tc>
      </w:tr>
      <w:tr>
        <w:tc>
          <w:tcPr/>
          <w:p>
            <w:pPr>
              <w:pStyle w:val="Compact"/>
              <w:jc w:val="left"/>
            </w:pPr>
            <w:r>
              <w:t xml:space="preserve">Mining / remote camps (camp sewage + oily wastes)</w:t>
            </w:r>
          </w:p>
        </w:tc>
        <w:tc>
          <w:tcPr/>
          <w:p>
            <w:pPr>
              <w:pStyle w:val="Compact"/>
              <w:jc w:val="left"/>
            </w:pPr>
            <w:r>
              <w:t xml:space="preserve">~300–500 large diesel-powered remote camps/mines globally [^V2D3-E3^]</w:t>
            </w:r>
          </w:p>
        </w:tc>
        <w:tc>
          <w:tcPr/>
          <w:p>
            <w:pPr>
              <w:pStyle w:val="Compact"/>
              <w:jc w:val="left"/>
            </w:pPr>
            <w:r>
              <w:rPr>
                <w:bCs/>
                <w:b/>
              </w:rPr>
              <w:t xml:space="preserve">$0.3–0.8B</w:t>
            </w:r>
            <w:r>
              <w:t xml:space="preserve"> </w:t>
            </w:r>
            <w:r>
              <w:t xml:space="preserve">cumulative (10–20% of camps × $8–20M units) [^V2D3-E3^]</w:t>
            </w:r>
          </w:p>
        </w:tc>
        <w:tc>
          <w:tcPr/>
          <w:p>
            <w:pPr>
              <w:pStyle w:val="Compact"/>
              <w:jc w:val="left"/>
            </w:pPr>
            <w:r>
              <w:t xml:space="preserve">Chile copper belt, Australian iron ore, Canadian Arctic</w:t>
            </w:r>
          </w:p>
        </w:tc>
        <w:tc>
          <w:tcPr/>
          <w:p>
            <w:pPr>
              <w:pStyle w:val="Compact"/>
              <w:jc w:val="left"/>
            </w:pPr>
            <w:r>
              <w:t xml:space="preserve">Diesel offset $0.30–1.10/kWh [^V2D3-32^]; acid mine drainage explicitly excluded (inorganic, not SCWO-addressable)</w:t>
            </w:r>
          </w:p>
        </w:tc>
      </w:tr>
      <w:tr>
        <w:tc>
          <w:tcPr/>
          <w:p>
            <w:pPr>
              <w:pStyle w:val="Compact"/>
              <w:jc w:val="left"/>
            </w:pPr>
            <w:r>
              <w:t xml:space="preserve">Produced water (honest niche only)</w:t>
            </w:r>
          </w:p>
        </w:tc>
        <w:tc>
          <w:tcPr/>
          <w:p>
            <w:pPr>
              <w:pStyle w:val="Compact"/>
              <w:jc w:val="left"/>
            </w:pPr>
            <w:r>
              <w:t xml:space="preserve">Marcellus/Utica ~0.1–0.3M bbl/d + constrained-disposal Permian pockets [^V2D5-E1^]</w:t>
            </w:r>
          </w:p>
        </w:tc>
        <w:tc>
          <w:tcPr/>
          <w:p>
            <w:pPr>
              <w:pStyle w:val="Compact"/>
              <w:jc w:val="left"/>
            </w:pPr>
            <w:r>
              <w:rPr>
                <w:bCs/>
                <w:b/>
              </w:rPr>
              <w:t xml:space="preserve">~$0.05–0.2B/yr</w:t>
            </w:r>
            <w:r>
              <w:t xml:space="preserve"> </w:t>
            </w:r>
            <w:r>
              <w:t xml:space="preserve">(hub-scale service where avoided cost ≥$2.5–3/bbl sustained) [^V2D5-E1^]</w:t>
            </w:r>
          </w:p>
        </w:tc>
        <w:tc>
          <w:tcPr/>
          <w:p>
            <w:pPr>
              <w:pStyle w:val="Compact"/>
              <w:jc w:val="left"/>
            </w:pPr>
            <w:r>
              <w:t xml:space="preserve">Marcellus trucking-to-Ohio corridors; Delaware Basin seismicity curtailment zones</w:t>
            </w:r>
          </w:p>
        </w:tc>
        <w:tc>
          <w:tcPr/>
          <w:p>
            <w:pPr>
              <w:pStyle w:val="Compact"/>
              <w:jc w:val="left"/>
            </w:pPr>
            <w:r>
              <w:t xml:space="preserve">Permian pipeline+injection benchmark $0.55–1.81/bbl forecloses the volume play [^V2D5-1^][^V2D5-2^]; viable only where trucking runs $3–7/bbl [^V2D5-5^]</w:t>
            </w:r>
          </w:p>
        </w:tc>
      </w:tr>
      <w:tr>
        <w:tc>
          <w:tcPr/>
          <w:p>
            <w:pPr>
              <w:pStyle w:val="Compact"/>
              <w:jc w:val="left"/>
            </w:pPr>
            <w:r>
              <w:t xml:space="preserve">Data centers / AI campuses (direct waste treatment)</w:t>
            </w:r>
          </w:p>
        </w:tc>
        <w:tc>
          <w:tcPr/>
          <w:p>
            <w:pPr>
              <w:pStyle w:val="Compact"/>
              <w:jc w:val="left"/>
            </w:pPr>
            <w:r>
              <w:t xml:space="preserve">200+ hyperscale/AI campuses by 2030 with sewage surcharge or ZLD commitments [^V2D3-E5^]</w:t>
            </w:r>
          </w:p>
        </w:tc>
        <w:tc>
          <w:tcPr/>
          <w:p>
            <w:pPr>
              <w:pStyle w:val="Compact"/>
              <w:jc w:val="left"/>
            </w:pPr>
            <w:r>
              <w:rPr>
                <w:bCs/>
                <w:b/>
              </w:rPr>
              <w:t xml:space="preserve">$0.05–0.15B</w:t>
            </w:r>
            <w:r>
              <w:t xml:space="preserve"> </w:t>
            </w:r>
            <w:r>
              <w:t xml:space="preserve">(direct, small units only) [^V2D3-E5^]</w:t>
            </w:r>
          </w:p>
        </w:tc>
        <w:tc>
          <w:tcPr/>
          <w:p>
            <w:pPr>
              <w:pStyle w:val="Compact"/>
              <w:jc w:val="left"/>
            </w:pPr>
            <w:r>
              <w:t xml:space="preserve">n/a — primary value is as trigeneration</w:t>
            </w:r>
            <w:r>
              <w:t xml:space="preserve"> </w:t>
            </w:r>
            <w:r>
              <w:rPr>
                <w:iCs/>
                <w:i/>
              </w:rPr>
              <w:t xml:space="preserve">offtaker</w:t>
            </w:r>
            <w:r>
              <w:t xml:space="preserve"> </w:t>
            </w:r>
            <w:r>
              <w:t xml:space="preserve">(8.6)</w:t>
            </w:r>
          </w:p>
        </w:tc>
        <w:tc>
          <w:tcPr/>
          <w:p>
            <w:pPr>
              <w:pStyle w:val="Compact"/>
              <w:jc w:val="left"/>
            </w:pPr>
            <w:r>
              <w:t xml:space="preserve">Site streams are inorganic blowdown, not organic waste [^V2D3-7^]; real role is demand anchor for co-located units</w:t>
            </w:r>
          </w:p>
        </w:tc>
      </w:tr>
      <w:tr>
        <w:tc>
          <w:tcPr/>
          <w:p>
            <w:pPr>
              <w:pStyle w:val="Compact"/>
              <w:jc w:val="left"/>
            </w:pPr>
            <w:r>
              <w:t xml:space="preserve">CEA / indoor agriculture</w:t>
            </w:r>
          </w:p>
        </w:tc>
        <w:tc>
          <w:tcPr/>
          <w:p>
            <w:pPr>
              <w:pStyle w:val="Compact"/>
              <w:jc w:val="left"/>
            </w:pPr>
            <w:r>
              <w:t xml:space="preserve">US serviceable base ~200–600 facilities</w:t>
            </w:r>
          </w:p>
        </w:tc>
        <w:tc>
          <w:tcPr/>
          <w:p>
            <w:pPr>
              <w:pStyle w:val="Compact"/>
              <w:jc w:val="left"/>
            </w:pPr>
            <w:r>
              <w:t xml:space="preserve">~$60–180M/yr as treatment-as-a-service only [^D1-15^]</w:t>
            </w:r>
          </w:p>
        </w:tc>
        <w:tc>
          <w:tcPr/>
          <w:p>
            <w:pPr>
              <w:pStyle w:val="Compact"/>
              <w:jc w:val="left"/>
            </w:pPr>
            <w:r>
              <w:t xml:space="preserve">Service contracts in sewer-restricted jurisdictions</w:t>
            </w:r>
          </w:p>
        </w:tc>
        <w:tc>
          <w:tcPr/>
          <w:p>
            <w:pPr>
              <w:pStyle w:val="Compact"/>
              <w:jc w:val="left"/>
            </w:pPr>
            <w:r>
              <w:t xml:space="preserve">Equipment sales unattractive: only 27% of cannabis operators profitable; sales declining [^D1-9^][^D1-10^]</w:t>
            </w:r>
          </w:p>
        </w:tc>
      </w:tr>
    </w:tbl>
    <w:p>
      <w:pPr>
        <w:pStyle w:val="BodyText"/>
      </w:pPr>
      <w:r>
        <w:rPr>
          <w:bCs/>
          <w:b/>
        </w:rPr>
        <w:t xml:space="preserve">Interpretation.</w:t>
      </w:r>
      <w:r>
        <w:t xml:space="preserve"> </w:t>
      </w:r>
      <w:r>
        <w:t xml:space="preserve">Summing the SAM column across the v1 verticals (~$4.6–10.4B/yr) plus the six v2 additions (distillery $2–5B; CAFO $1–3B; islands $0.5–1.5B; mining $0.3–0.8B; produced water ~$0.05–0.2B/yr; data centers $0.05–0.15B) yields roughly</w:t>
      </w:r>
      <w:r>
        <w:t xml:space="preserve"> </w:t>
      </w:r>
      <w:r>
        <w:rPr>
          <w:bCs/>
          <w:b/>
        </w:rPr>
        <w:t xml:space="preserve">$8.5–21B/yr — we round to a ~$9–20B/yr consolidated SAM</w:t>
      </w:r>
      <w:r>
        <w:t xml:space="preserve">. Four caveats discipline that figure. First, overlap: PFAS concentrates generated inside pharma, semiconductor, and landfill operations are counted both in the dedicated PFAS row and implicitly in the vertical rows, and the new distillery and island pools partially overlap the F&amp;B and biosolids rows (vinasse and island sludge are, physically, F&amp;B organics and biosolids), so the true non-overlapping pool sits toward the lower half of the range. Second, units: the v2 rows are predominantly</w:t>
      </w:r>
      <w:r>
        <w:t xml:space="preserve"> </w:t>
      </w:r>
      <w:r>
        <w:rPr>
          <w:iCs/>
          <w:i/>
        </w:rPr>
        <w:t xml:space="preserve">cumulative equipment</w:t>
      </w:r>
      <w:r>
        <w:t xml:space="preserve"> </w:t>
      </w:r>
      <w:r>
        <w:t xml:space="preserve">pools (multi-year retrofit cycles), while the largest v1 rows are</w:t>
      </w:r>
      <w:r>
        <w:t xml:space="preserve"> </w:t>
      </w:r>
      <w:r>
        <w:rPr>
          <w:iCs/>
          <w:i/>
        </w:rPr>
        <w:t xml:space="preserve">annual service</w:t>
      </w:r>
      <w:r>
        <w:t xml:space="preserve"> </w:t>
      </w:r>
      <w:r>
        <w:t xml:space="preserve">pools; adding them is defensible only as a decade-horizon annualized envelope, which is how the $9–20B figure should be read. Third, confidence asymmetry: the two largest pools (hazardous liquids, $2–4B/yr; PFAS, $0.3–1.6B/yr) are also the two with the deepest price umbrella and the fastest paybacks (Section 8.3) — the market is concentrated where HCSP’s economics are strongest — while the distillery pool, though large, rests on a mandate-plus-unit-price build-up rather than a counted pipeline, and CAFO/island/mining SAMs are low-to-medium-confidence top-down estimates. Fourth, deliberate exclusion: the produced-water row is sized as an honest niche, not the volume story its raw TAM (~20M bbl/d in the Permian alone) might suggest — at the Permian’s actual $0.55–1.81/bbl pipeline-plus-injection benchmark the economics are negative at any demonstrated SCWO cost, and only the Marcellus/Utica trucking corridor and seismicity-constrained Delaware pockets clear the ≥$2.5–3/bbl avoided-cost threshold [^V2D5-1^][^V2D5-5^][^V2D5-E1^]. The decision implication is sequencing: capital and sales capacity should be allocated to hazardous-solvent and PFAS-concentrate service first, with pharma and semiconductor as the second wave;</w:t>
      </w:r>
      <w:r>
        <w:t xml:space="preserve"> </w:t>
      </w:r>
      <w:r>
        <w:rPr>
          <w:bCs/>
          <w:b/>
        </w:rPr>
        <w:t xml:space="preserve">distillery ZLD retrofits join the second wave on the strength of feed strength and regulatory compulsion, and are the natural first customer for the scale-up and trigeneration economics of Sections 8.5–8.6</w:t>
      </w:r>
      <w:r>
        <w:t xml:space="preserve">; biosolids, textiles, F&amp;B, refinery residuals, islands, CAFO, and mining are opportunistic, region-gated plays; CEA and data centers are service-model or offtaker adjacencies, not equipment markets.</w:t>
      </w:r>
    </w:p>
    <w:bookmarkEnd w:id="103"/>
    <w:bookmarkEnd w:id="104"/>
    <w:bookmarkStart w:id="106" w:name="unit-economics-of-a-10-m³day-module"/>
    <w:p>
      <w:pPr>
        <w:pStyle w:val="Heading2"/>
      </w:pPr>
      <w:r>
        <w:t xml:space="preserve">8.2 Unit Economics of a 10 m³/day Module</w:t>
      </w:r>
    </w:p>
    <w:bookmarkStart w:id="105" w:name="X3b3b6629a458b33af46fe220b20d398e12e6966"/>
    <w:p>
      <w:pPr>
        <w:pStyle w:val="Heading3"/>
      </w:pPr>
      <w:r>
        <w:t xml:space="preserve">8.2.1 CapEx and the per-gallon service-cost stack</w:t>
      </w:r>
    </w:p>
    <w:p>
      <w:pPr>
        <w:pStyle w:val="FirstParagraph"/>
      </w:pPr>
      <w:r>
        <w:rPr>
          <w:bCs/>
          <w:b/>
        </w:rPr>
        <w:t xml:space="preserve">Stated assumptions.</w:t>
      </w:r>
      <w:r>
        <w:t xml:space="preserve"> </w:t>
      </w:r>
      <w:r>
        <w:t xml:space="preserve">Module rated 10 m³/day (~2,640 gal/day); 350 operating days/yr (~96% availability → 3,500 m³/yr ≈ 0.925M gal/yr); electrical load 75–95 kW, conservatively treated as continuous — per the manufacturer this figure covers startup and auxiliary loads, with the on-demand hydrogen fuel loop sustaining the reactor once started [^S1^]; US industrial electricity $0.066–0.086/kWh (Texas to national average, EIA 2025) [^D12-64^][^D12-65^];</w:t>
      </w:r>
      <w:r>
        <w:t xml:space="preserve"> </w:t>
      </w:r>
      <w:r>
        <w:rPr>
          <w:bCs/>
          <w:b/>
        </w:rPr>
        <w:t xml:space="preserve">module CapEx $2.5–4.0M</w:t>
      </w:r>
      <w:r>
        <w:t xml:space="preserve">, anchored to the only verifiable commercial SCWO transaction of this class — the AirSCWO 6’s $5.2M equipment-plus-operation contract inside a $7.9M total project at Orange County Sanitation District [^D11-14^] — with vendor-deck list prices of $5–6M for the same 6 wet-ton/day unit and an explicit vendor caveat that no unit has yet closed at those prices [^D6-25^]. Our $2.5–4.0M band assumes a smaller, simpler skid without bundled operation; a fully installed site with pre/post-treatment realistically lands at $4.5–6.0M, matching the incumbent’s waste-destruction-service (WDS) site-capital benchmark [^D4-48^]. Amortization uses 10-year straight line, no financing cost.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Cost element</w:t>
            </w:r>
          </w:p>
        </w:tc>
        <w:tc>
          <w:tcPr/>
          <w:p>
            <w:pPr>
              <w:pStyle w:val="Compact"/>
              <w:jc w:val="left"/>
            </w:pPr>
            <w:r>
              <w:t xml:space="preserve">Basis</w:t>
            </w:r>
          </w:p>
        </w:tc>
        <w:tc>
          <w:tcPr/>
          <w:p>
            <w:pPr>
              <w:pStyle w:val="Compact"/>
              <w:jc w:val="left"/>
            </w:pPr>
            <w:r>
              <w:t xml:space="preserve">$/yr</w:t>
            </w:r>
          </w:p>
        </w:tc>
        <w:tc>
          <w:tcPr/>
          <w:p>
            <w:pPr>
              <w:pStyle w:val="Compact"/>
              <w:jc w:val="left"/>
            </w:pPr>
            <w:r>
              <w:t xml:space="preserve">$/gal</w:t>
            </w:r>
          </w:p>
        </w:tc>
        <w:tc>
          <w:tcPr/>
          <w:p>
            <w:pPr>
              <w:pStyle w:val="Compact"/>
              <w:jc w:val="left"/>
            </w:pPr>
            <w:r>
              <w:t xml:space="preserve">$/m³</w:t>
            </w:r>
          </w:p>
        </w:tc>
      </w:tr>
      <w:tr>
        <w:tc>
          <w:tcPr/>
          <w:p>
            <w:pPr>
              <w:pStyle w:val="Compact"/>
              <w:jc w:val="left"/>
            </w:pPr>
            <w:r>
              <w:t xml:space="preserve">Electricity</w:t>
            </w:r>
          </w:p>
        </w:tc>
        <w:tc>
          <w:tcPr/>
          <w:p>
            <w:pPr>
              <w:pStyle w:val="Compact"/>
              <w:jc w:val="left"/>
            </w:pPr>
            <w:r>
              <w:t xml:space="preserve">75–95 kW × 8,400 h → 180–228 kWh/m³ × $0.066–0.10/kWh [^D12-64^][^D12-65^]</w:t>
            </w:r>
          </w:p>
        </w:tc>
        <w:tc>
          <w:tcPr/>
          <w:p>
            <w:pPr>
              <w:pStyle w:val="Compact"/>
              <w:jc w:val="left"/>
            </w:pPr>
            <w:r>
              <w:t xml:space="preserve">$42–80k</w:t>
            </w:r>
          </w:p>
        </w:tc>
        <w:tc>
          <w:tcPr/>
          <w:p>
            <w:pPr>
              <w:pStyle w:val="Compact"/>
              <w:jc w:val="left"/>
            </w:pPr>
            <w:r>
              <w:t xml:space="preserve">$0.05–0.09</w:t>
            </w:r>
          </w:p>
        </w:tc>
        <w:tc>
          <w:tcPr/>
          <w:p>
            <w:pPr>
              <w:pStyle w:val="Compact"/>
              <w:jc w:val="left"/>
            </w:pPr>
            <w:r>
              <w:t xml:space="preserve">$12–23</w:t>
            </w:r>
          </w:p>
        </w:tc>
      </w:tr>
      <w:tr>
        <w:tc>
          <w:tcPr/>
          <w:p>
            <w:pPr>
              <w:pStyle w:val="Compact"/>
              <w:jc w:val="left"/>
            </w:pPr>
            <w:r>
              <w:t xml:space="preserve">Labor</w:t>
            </w:r>
          </w:p>
        </w:tc>
        <w:tc>
          <w:tcPr/>
          <w:p>
            <w:pPr>
              <w:pStyle w:val="Compact"/>
              <w:jc w:val="left"/>
            </w:pPr>
            <w:r>
              <w:t xml:space="preserve">1.0–1.5 FTE loaded (assumption; 240-bar system)</w:t>
            </w:r>
          </w:p>
        </w:tc>
        <w:tc>
          <w:tcPr/>
          <w:p>
            <w:pPr>
              <w:pStyle w:val="Compact"/>
              <w:jc w:val="left"/>
            </w:pPr>
            <w:r>
              <w:t xml:space="preserve">$90–175k</w:t>
            </w:r>
          </w:p>
        </w:tc>
        <w:tc>
          <w:tcPr/>
          <w:p>
            <w:pPr>
              <w:pStyle w:val="Compact"/>
              <w:jc w:val="left"/>
            </w:pPr>
            <w:r>
              <w:t xml:space="preserve">$0.10–0.19</w:t>
            </w:r>
          </w:p>
        </w:tc>
        <w:tc>
          <w:tcPr/>
          <w:p>
            <w:pPr>
              <w:pStyle w:val="Compact"/>
              <w:jc w:val="left"/>
            </w:pPr>
            <w:r>
              <w:t xml:space="preserve">$26–50</w:t>
            </w:r>
          </w:p>
        </w:tc>
      </w:tr>
      <w:tr>
        <w:tc>
          <w:tcPr/>
          <w:p>
            <w:pPr>
              <w:pStyle w:val="Compact"/>
              <w:jc w:val="left"/>
            </w:pPr>
            <w:r>
              <w:t xml:space="preserve">Maintenance &amp; materials</w:t>
            </w:r>
          </w:p>
        </w:tc>
        <w:tc>
          <w:tcPr/>
          <w:p>
            <w:pPr>
              <w:pStyle w:val="Compact"/>
              <w:jc w:val="left"/>
            </w:pPr>
            <w:r>
              <w:t xml:space="preserve">3–5% of CapEx/yr (assumption; corrosion/salt management is the dominant risk [^D11-29^])</w:t>
            </w:r>
          </w:p>
        </w:tc>
        <w:tc>
          <w:tcPr/>
          <w:p>
            <w:pPr>
              <w:pStyle w:val="Compact"/>
              <w:jc w:val="left"/>
            </w:pPr>
            <w:r>
              <w:t xml:space="preserve">$75–200k</w:t>
            </w:r>
          </w:p>
        </w:tc>
        <w:tc>
          <w:tcPr/>
          <w:p>
            <w:pPr>
              <w:pStyle w:val="Compact"/>
              <w:jc w:val="left"/>
            </w:pPr>
            <w:r>
              <w:t xml:space="preserve">$0.08–0.22</w:t>
            </w:r>
          </w:p>
        </w:tc>
        <w:tc>
          <w:tcPr/>
          <w:p>
            <w:pPr>
              <w:pStyle w:val="Compact"/>
              <w:jc w:val="left"/>
            </w:pPr>
            <w:r>
              <w:t xml:space="preserve">$21–57</w:t>
            </w:r>
          </w:p>
        </w:tc>
      </w:tr>
      <w:tr>
        <w:tc>
          <w:tcPr/>
          <w:p>
            <w:pPr>
              <w:pStyle w:val="Compact"/>
              <w:jc w:val="left"/>
            </w:pPr>
            <w:r>
              <w:t xml:space="preserve">Oxidant, residue disposal, misc.</w:t>
            </w:r>
          </w:p>
        </w:tc>
        <w:tc>
          <w:tcPr/>
          <w:p>
            <w:pPr>
              <w:pStyle w:val="Compact"/>
              <w:jc w:val="left"/>
            </w:pPr>
            <w:r>
              <w:t xml:space="preserve">Assumption (no chemicals claimed; mineral residue off-take)</w:t>
            </w:r>
          </w:p>
        </w:tc>
        <w:tc>
          <w:tcPr/>
          <w:p>
            <w:pPr>
              <w:pStyle w:val="Compact"/>
              <w:jc w:val="left"/>
            </w:pPr>
            <w:r>
              <w:t xml:space="preserve">$30–90k</w:t>
            </w:r>
          </w:p>
        </w:tc>
        <w:tc>
          <w:tcPr/>
          <w:p>
            <w:pPr>
              <w:pStyle w:val="Compact"/>
              <w:jc w:val="left"/>
            </w:pPr>
            <w:r>
              <w:t xml:space="preserve">$0.03–0.10</w:t>
            </w:r>
          </w:p>
        </w:tc>
        <w:tc>
          <w:tcPr/>
          <w:p>
            <w:pPr>
              <w:pStyle w:val="Compact"/>
              <w:jc w:val="left"/>
            </w:pPr>
            <w:r>
              <w:t xml:space="preserve">$8–26</w:t>
            </w:r>
          </w:p>
        </w:tc>
      </w:tr>
      <w:tr>
        <w:tc>
          <w:tcPr/>
          <w:p>
            <w:pPr>
              <w:pStyle w:val="Compact"/>
              <w:jc w:val="left"/>
            </w:pPr>
            <w:r>
              <w:rPr>
                <w:bCs/>
                <w:b/>
              </w:rPr>
              <w:t xml:space="preserve">Cash OpEx subtotal</w:t>
            </w:r>
          </w:p>
        </w:tc>
        <w:tc>
          <w:tcPr/>
          <w:p>
            <w:pPr>
              <w:pStyle w:val="Compact"/>
            </w:pPr>
          </w:p>
        </w:tc>
        <w:tc>
          <w:tcPr/>
          <w:p>
            <w:pPr>
              <w:pStyle w:val="Compact"/>
              <w:jc w:val="left"/>
            </w:pPr>
            <w:r>
              <w:rPr>
                <w:bCs/>
                <w:b/>
              </w:rPr>
              <w:t xml:space="preserve">$240–550k</w:t>
            </w:r>
          </w:p>
        </w:tc>
        <w:tc>
          <w:tcPr/>
          <w:p>
            <w:pPr>
              <w:pStyle w:val="Compact"/>
              <w:jc w:val="left"/>
            </w:pPr>
            <w:r>
              <w:rPr>
                <w:bCs/>
                <w:b/>
              </w:rPr>
              <w:t xml:space="preserve">$0.26–0.60</w:t>
            </w:r>
          </w:p>
        </w:tc>
        <w:tc>
          <w:tcPr/>
          <w:p>
            <w:pPr>
              <w:pStyle w:val="Compact"/>
              <w:jc w:val="left"/>
            </w:pPr>
            <w:r>
              <w:rPr>
                <w:bCs/>
                <w:b/>
              </w:rPr>
              <w:t xml:space="preserve">$67–156</w:t>
            </w:r>
          </w:p>
        </w:tc>
      </w:tr>
      <w:tr>
        <w:tc>
          <w:tcPr/>
          <w:p>
            <w:pPr>
              <w:pStyle w:val="Compact"/>
              <w:jc w:val="left"/>
            </w:pPr>
            <w:r>
              <w:t xml:space="preserve">CapEx amortization</w:t>
            </w:r>
          </w:p>
        </w:tc>
        <w:tc>
          <w:tcPr/>
          <w:p>
            <w:pPr>
              <w:pStyle w:val="Compact"/>
              <w:jc w:val="left"/>
            </w:pPr>
            <w:r>
              <w:t xml:space="preserve">$2.5–4.0M ÷ 10 yr</w:t>
            </w:r>
          </w:p>
        </w:tc>
        <w:tc>
          <w:tcPr/>
          <w:p>
            <w:pPr>
              <w:pStyle w:val="Compact"/>
              <w:jc w:val="left"/>
            </w:pPr>
            <w:r>
              <w:t xml:space="preserve">$250–400k</w:t>
            </w:r>
          </w:p>
        </w:tc>
        <w:tc>
          <w:tcPr/>
          <w:p>
            <w:pPr>
              <w:pStyle w:val="Compact"/>
              <w:jc w:val="left"/>
            </w:pPr>
            <w:r>
              <w:t xml:space="preserve">$0.27–0.43</w:t>
            </w:r>
          </w:p>
        </w:tc>
        <w:tc>
          <w:tcPr/>
          <w:p>
            <w:pPr>
              <w:pStyle w:val="Compact"/>
              <w:jc w:val="left"/>
            </w:pPr>
            <w:r>
              <w:t xml:space="preserve">$72–115</w:t>
            </w:r>
          </w:p>
        </w:tc>
      </w:tr>
      <w:tr>
        <w:tc>
          <w:tcPr/>
          <w:p>
            <w:pPr>
              <w:pStyle w:val="Compact"/>
              <w:jc w:val="left"/>
            </w:pPr>
            <w:r>
              <w:rPr>
                <w:bCs/>
                <w:b/>
              </w:rPr>
              <w:t xml:space="preserve">Fully loaded cost stack</w:t>
            </w:r>
          </w:p>
        </w:tc>
        <w:tc>
          <w:tcPr/>
          <w:p>
            <w:pPr>
              <w:pStyle w:val="Compact"/>
            </w:pPr>
          </w:p>
        </w:tc>
        <w:tc>
          <w:tcPr/>
          <w:p>
            <w:pPr>
              <w:pStyle w:val="Compact"/>
              <w:jc w:val="left"/>
            </w:pPr>
            <w:r>
              <w:rPr>
                <w:bCs/>
                <w:b/>
              </w:rPr>
              <w:t xml:space="preserve">$0.5–1.0M</w:t>
            </w:r>
          </w:p>
        </w:tc>
        <w:tc>
          <w:tcPr/>
          <w:p>
            <w:pPr>
              <w:pStyle w:val="Compact"/>
              <w:jc w:val="left"/>
            </w:pPr>
            <w:r>
              <w:rPr>
                <w:bCs/>
                <w:b/>
              </w:rPr>
              <w:t xml:space="preserve">$0.53–1.03</w:t>
            </w:r>
          </w:p>
        </w:tc>
        <w:tc>
          <w:tcPr/>
          <w:p>
            <w:pPr>
              <w:pStyle w:val="Compact"/>
              <w:jc w:val="left"/>
            </w:pPr>
            <w:r>
              <w:rPr>
                <w:bCs/>
                <w:b/>
              </w:rPr>
              <w:t xml:space="preserve">$139–271</w:t>
            </w:r>
          </w:p>
        </w:tc>
      </w:tr>
    </w:tbl>
    <w:p>
      <w:pPr>
        <w:pStyle w:val="BodyText"/>
      </w:pPr>
      <w:r>
        <w:rPr>
          <w:bCs/>
          <w:b/>
        </w:rPr>
        <w:t xml:space="preserve">Interpretation.</w:t>
      </w:r>
      <w:r>
        <w:t xml:space="preserve"> </w:t>
      </w:r>
      <w:r>
        <w:t xml:space="preserve">The modeled fully loaded stack of</w:t>
      </w:r>
      <w:r>
        <w:t xml:space="preserve"> </w:t>
      </w:r>
      <w:r>
        <w:rPr>
          <w:bCs/>
          <w:b/>
        </w:rPr>
        <w:t xml:space="preserve">$0.5–1.0/gal</w:t>
      </w:r>
      <w:r>
        <w:t xml:space="preserve"> </w:t>
      </w:r>
      <w:r>
        <w:t xml:space="preserve">brackets the two independent calibration points in the literature: SCWO slurry treatment projected at $0.04–0.37/gal at larger scale where amortization dominates [^D11-16^][^D5-38^], and a $0.5–2.0/gal all-in operating band modeled for concentrated feeds at skid scale [^D4-48^]. It sits far below the incumbent price umbrella the module sells against: hazardous-waste incineration at $1,110–1,610/ton [^D11-20^] (≈$4.2–6.1/gal for aqueous waste), PFAS incineration service at $5–10/gal, and incumbent SCWO service at $6–10/gal [^D4-47^]. Two sensitivities matter more than any line item.</w:t>
      </w:r>
      <w:r>
        <w:t xml:space="preserve"> </w:t>
      </w:r>
      <w:r>
        <w:rPr>
          <w:bCs/>
          <w:b/>
        </w:rPr>
        <w:t xml:space="preserve">Energy:</w:t>
      </w:r>
      <w:r>
        <w:t xml:space="preserve"> </w:t>
      </w:r>
      <w:r>
        <w:t xml:space="preserve">per the manufacturer, the HCSP’s on-demand hydrogen fuel loop makes the system self-fueling once started, with negligible net energy cost in operation; the electricity line item above is conservatively retained to cover startup/auxiliary power and to bound downside scenarios [^S1^]. Two further effects only improve the picture: on autothermal feed (above ~60–150 g/L chemical oxygen demand), oxidation of the waste itself adds energy, with integrated SCWO-desalination models showing near-zero net electricity above ~30 g/L organics [^D11-35^][^D2-36^]; and publishing the working prototype’s measured energy performance converts the self-fueling basis from a design statement into bankable evidence (Chapter 10).</w:t>
      </w:r>
      <w:r>
        <w:t xml:space="preserve"> </w:t>
      </w:r>
      <w:r>
        <w:rPr>
          <w:bCs/>
          <w:b/>
        </w:rPr>
        <w:t xml:space="preserve">Reliability:</w:t>
      </w:r>
      <w:r>
        <w:t xml:space="preserve"> </w:t>
      </w:r>
      <w:r>
        <w:t xml:space="preserve">historical SCWO failures were corrosion and salt-plugging events, not chemistry failures [^D11-9^][^D4-35^]; the maintenance line above is the single most uncertain assumption, and a liner-replacement regime materially worse than several thousand hours would push the stack toward $1.5/gal.</w:t>
      </w:r>
    </w:p>
    <w:p>
      <w:pPr>
        <w:pStyle w:val="BodyText"/>
      </w:pPr>
      <w:r>
        <w:rPr>
          <w:bCs/>
          <w:b/>
        </w:rPr>
        <w:t xml:space="preserve">Worked example 1 — PFAS concentrate destruction service.</w:t>
      </w:r>
      <w:r>
        <w:t xml:space="preserve"> </w:t>
      </w:r>
      <w:r>
        <w:t xml:space="preserve">Take foam-fractionate or ion-exchange regenerant at a contract price of</w:t>
      </w:r>
      <w:r>
        <w:t xml:space="preserve"> </w:t>
      </w:r>
      <w:r>
        <w:rPr>
          <w:bCs/>
          <w:b/>
        </w:rPr>
        <w:t xml:space="preserve">$3/gal</w:t>
      </w:r>
      <w:r>
        <w:t xml:space="preserve"> </w:t>
      </w:r>
      <w:r>
        <w:t xml:space="preserve">— the middle of the $2–4/gal viable band that undercuts incineration 2–5× [^D4-48^], and consistent with the field-proven $1.63–4.88/gal cost range for SCWO on PFAS concentrates [^D11-19^]. Annual revenue: 925,000 gal × $3/gal ≈ $2.78M. Power cost: 0.68–0.86 kWh/gal × $0.10/kWh ≈ $0.07–0.09/gal [^D4-48^], i.e., $63–80k/yr — under 3% of revenue. Deducting the full cash OpEx subtotal ($240–550k) leaves EBITDA of roughly $2.2–2.5M/yr, which recovers a $3.0M midpoint CapEx in</w:t>
      </w:r>
      <w:r>
        <w:t xml:space="preserve"> </w:t>
      </w:r>
      <w:r>
        <w:rPr>
          <w:bCs/>
          <w:b/>
        </w:rPr>
        <w:t xml:space="preserve">~1.2–1.4 years</w:t>
      </w:r>
      <w:r>
        <w:t xml:space="preserve"> </w:t>
      </w:r>
      <w:r>
        <w:t xml:space="preserve">— inside the</w:t>
      </w:r>
      <w:r>
        <w:t xml:space="preserve"> </w:t>
      </w:r>
      <w:r>
        <w:t xml:space="preserve">“</w:t>
      </w:r>
      <w:r>
        <w:t xml:space="preserve">&lt;1.5 years</w:t>
      </w:r>
      <w:r>
        <w:t xml:space="preserve">”</w:t>
      </w:r>
      <w:r>
        <w:t xml:space="preserve"> </w:t>
      </w:r>
      <w:r>
        <w:t xml:space="preserve">envelope and ahead of the incumbent’s own claimed 1.5–2.5-year WDS payback [^D4-48^]. The strategic reading: at destruction-service prices, power cost is nearly irrelevant to margin; utilization and uptime are the entire game.</w:t>
      </w:r>
    </w:p>
    <w:bookmarkEnd w:id="105"/>
    <w:bookmarkEnd w:id="106"/>
    <w:bookmarkStart w:id="111" w:name="payback-by-vertical"/>
    <w:p>
      <w:pPr>
        <w:pStyle w:val="Heading2"/>
      </w:pPr>
      <w:r>
        <w:t xml:space="preserve">8.3 Payback by Vertical</w:t>
      </w:r>
    </w:p>
    <w:bookmarkStart w:id="110" w:name="payback-table-and-ranking"/>
    <w:p>
      <w:pPr>
        <w:pStyle w:val="Heading3"/>
      </w:pPr>
      <w:r>
        <w:t xml:space="preserve">8.3.1 Payback table and ranking</w:t>
      </w:r>
    </w:p>
    <w:p>
      <w:pPr>
        <w:pStyle w:val="FirstParagraph"/>
      </w:pPr>
      <w:r>
        <w:rPr>
          <w:bCs/>
          <w:b/>
        </w:rPr>
        <w:t xml:space="preserve">Worked example 2 — halogenated solvent displacement.</w:t>
      </w:r>
      <w:r>
        <w:t xml:space="preserve"> </w:t>
      </w:r>
      <w:r>
        <w:t xml:space="preserve">A generator paying the published $15–20/gal (halogenated) to $5–10/gal (non-halogenated) commercial disposal rates [^D5-15^][^D5-16^] spends $13.9–18.5M/yr to haul and incinerate one module’s throughput. Against HCSP all-in operating cost of ≤$1.4M/yr ($1.50/gal upper bound), net savings are</w:t>
      </w:r>
      <w:r>
        <w:t xml:space="preserve"> </w:t>
      </w:r>
      <w:r>
        <w:rPr>
          <w:bCs/>
          <w:b/>
        </w:rPr>
        <w:t xml:space="preserve">$12.5–17.1M/yr</w:t>
      </w:r>
      <w:r>
        <w:t xml:space="preserve">, recovering a $3M module in</w:t>
      </w:r>
      <w:r>
        <w:t xml:space="preserve"> </w:t>
      </w:r>
      <w:r>
        <w:rPr>
          <w:bCs/>
          <w:b/>
        </w:rPr>
        <w:t xml:space="preserve">roughly 2–3 months</w:t>
      </w:r>
      <w:r>
        <w:t xml:space="preserve">; even at the $9.50/gal municipal-program price for chlorinated solvents the payback is ~5 months [^D5-16^]. At the premium end — halogenated or API-active streams manifest at $15–50+/gal [^D3-46^][^D2-8^] — payback compresses to weeks. This extreme is real but narrow: it requires a full module’s worth of premium-rated stream, which is why aggregation across waste types matters.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Displaced baseline</w:t>
            </w:r>
          </w:p>
        </w:tc>
        <w:tc>
          <w:tcPr/>
          <w:p>
            <w:pPr>
              <w:pStyle w:val="Compact"/>
              <w:jc w:val="left"/>
            </w:pPr>
            <w:r>
              <w:t xml:space="preserve">Annual value per module</w:t>
            </w:r>
          </w:p>
        </w:tc>
        <w:tc>
          <w:tcPr/>
          <w:p>
            <w:pPr>
              <w:pStyle w:val="Compact"/>
              <w:jc w:val="left"/>
            </w:pPr>
            <w:r>
              <w:t xml:space="preserve">CapEx basis</w:t>
            </w:r>
          </w:p>
        </w:tc>
        <w:tc>
          <w:tcPr/>
          <w:p>
            <w:pPr>
              <w:pStyle w:val="Compact"/>
              <w:jc w:val="left"/>
            </w:pPr>
            <w:r>
              <w:t xml:space="preserve">Modeled simple payback</w:t>
            </w:r>
          </w:p>
        </w:tc>
      </w:tr>
      <w:tr>
        <w:tc>
          <w:tcPr/>
          <w:p>
            <w:pPr>
              <w:pStyle w:val="Compact"/>
              <w:jc w:val="left"/>
            </w:pPr>
            <w:r>
              <w:t xml:space="preserve">Hazardous solvents (halogenated / non-halogenated)</w:t>
            </w:r>
          </w:p>
        </w:tc>
        <w:tc>
          <w:tcPr/>
          <w:p>
            <w:pPr>
              <w:pStyle w:val="Compact"/>
              <w:jc w:val="left"/>
            </w:pPr>
            <w:r>
              <w:t xml:space="preserve">$5–20/gal hauled + incinerated [^D5-15^]; to $50+/gal for special wastes [^D3-46^]</w:t>
            </w:r>
          </w:p>
        </w:tc>
        <w:tc>
          <w:tcPr/>
          <w:p>
            <w:pPr>
              <w:pStyle w:val="Compact"/>
              <w:jc w:val="left"/>
            </w:pPr>
            <w:r>
              <w:t xml:space="preserve">$3.2–17M net savings</w:t>
            </w:r>
          </w:p>
        </w:tc>
        <w:tc>
          <w:tcPr/>
          <w:p>
            <w:pPr>
              <w:pStyle w:val="Compact"/>
              <w:jc w:val="left"/>
            </w:pPr>
            <w:r>
              <w:t xml:space="preserve">$3M</w:t>
            </w:r>
          </w:p>
        </w:tc>
        <w:tc>
          <w:tcPr/>
          <w:p>
            <w:pPr>
              <w:pStyle w:val="Compact"/>
              <w:jc w:val="left"/>
            </w:pPr>
            <w:r>
              <w:rPr>
                <w:bCs/>
                <w:b/>
              </w:rPr>
              <w:t xml:space="preserve">0.2–0.9 yr (2–11 months)</w:t>
            </w:r>
          </w:p>
        </w:tc>
      </w:tr>
      <w:tr>
        <w:tc>
          <w:tcPr/>
          <w:p>
            <w:pPr>
              <w:pStyle w:val="Compact"/>
              <w:jc w:val="left"/>
            </w:pPr>
            <w:r>
              <w:t xml:space="preserve">PFAS concentrates</w:t>
            </w:r>
          </w:p>
        </w:tc>
        <w:tc>
          <w:tcPr/>
          <w:p>
            <w:pPr>
              <w:pStyle w:val="Compact"/>
              <w:jc w:val="left"/>
            </w:pPr>
            <w:r>
              <w:t xml:space="preserve">$5–10/gal incineration; $6–10/gal incumbent SCWO [^D4-47^]</w:t>
            </w:r>
          </w:p>
        </w:tc>
        <w:tc>
          <w:tcPr/>
          <w:p>
            <w:pPr>
              <w:pStyle w:val="Compact"/>
              <w:jc w:val="left"/>
            </w:pPr>
            <w:r>
              <w:t xml:space="preserve">$1.9–3.8M service revenue at $2–4/gal</w:t>
            </w:r>
          </w:p>
        </w:tc>
        <w:tc>
          <w:tcPr/>
          <w:p>
            <w:pPr>
              <w:pStyle w:val="Compact"/>
              <w:jc w:val="left"/>
            </w:pPr>
            <w:r>
              <w:t xml:space="preserve">$2.5–3.0M</w:t>
            </w:r>
          </w:p>
        </w:tc>
        <w:tc>
          <w:tcPr/>
          <w:p>
            <w:pPr>
              <w:pStyle w:val="Compact"/>
              <w:jc w:val="left"/>
            </w:pPr>
            <w:r>
              <w:rPr>
                <w:bCs/>
                <w:b/>
              </w:rPr>
              <w:t xml:space="preserve">&lt;1.5 yr</w:t>
            </w:r>
            <w:r>
              <w:t xml:space="preserve"> </w:t>
            </w:r>
            <w:r>
              <w:t xml:space="preserve">[^D4-48^]</w:t>
            </w:r>
          </w:p>
        </w:tc>
      </w:tr>
      <w:tr>
        <w:tc>
          <w:tcPr/>
          <w:p>
            <w:pPr>
              <w:pStyle w:val="Compact"/>
              <w:jc w:val="left"/>
            </w:pPr>
            <w:r>
              <w:t xml:space="preserve">Pharma / biotech high-strength</w:t>
            </w:r>
          </w:p>
        </w:tc>
        <w:tc>
          <w:tcPr/>
          <w:p>
            <w:pPr>
              <w:pStyle w:val="Compact"/>
              <w:jc w:val="left"/>
            </w:pPr>
            <w:r>
              <w:t xml:space="preserve">$1.5–3/gal baseline; $5–15/gal hazardous-rated [^D2-8^]</w:t>
            </w:r>
          </w:p>
        </w:tc>
        <w:tc>
          <w:tcPr/>
          <w:p>
            <w:pPr>
              <w:pStyle w:val="Compact"/>
              <w:jc w:val="left"/>
            </w:pPr>
            <w:r>
              <w:t xml:space="preserve">$1.2–2.7M net savings</w:t>
            </w:r>
          </w:p>
        </w:tc>
        <w:tc>
          <w:tcPr/>
          <w:p>
            <w:pPr>
              <w:pStyle w:val="Compact"/>
              <w:jc w:val="left"/>
            </w:pPr>
            <w:r>
              <w:t xml:space="preserve">$2.0–3.0M [^D2-47^]</w:t>
            </w:r>
          </w:p>
        </w:tc>
        <w:tc>
          <w:tcPr/>
          <w:p>
            <w:pPr>
              <w:pStyle w:val="Compact"/>
              <w:jc w:val="left"/>
            </w:pPr>
            <w:r>
              <w:rPr>
                <w:bCs/>
                <w:b/>
              </w:rPr>
              <w:t xml:space="preserve">0.9–2.5 yr</w:t>
            </w:r>
          </w:p>
        </w:tc>
      </w:tr>
      <w:tr>
        <w:tc>
          <w:tcPr/>
          <w:p>
            <w:pPr>
              <w:pStyle w:val="Compact"/>
              <w:jc w:val="left"/>
            </w:pPr>
            <w:r>
              <w:t xml:space="preserve">Semiconductor side-streams</w:t>
            </w:r>
          </w:p>
        </w:tc>
        <w:tc>
          <w:tcPr/>
          <w:p>
            <w:pPr>
              <w:pStyle w:val="Compact"/>
              <w:jc w:val="left"/>
            </w:pPr>
            <w:r>
              <w:t xml:space="preserve">$1.5–4/gal blended (solvents $1.8–4 [^D3-45^]; CMP $0.5–2/L [^D3-47^]; PFAS concentrate $1.83–4.88/gal [^D3-42^])</w:t>
            </w:r>
          </w:p>
        </w:tc>
        <w:tc>
          <w:tcPr/>
          <w:p>
            <w:pPr>
              <w:pStyle w:val="Compact"/>
              <w:jc w:val="left"/>
            </w:pPr>
            <w:r>
              <w:t xml:space="preserve">$1.3–3.4M (multi-stream aggregation)</w:t>
            </w:r>
          </w:p>
        </w:tc>
        <w:tc>
          <w:tcPr/>
          <w:p>
            <w:pPr>
              <w:pStyle w:val="Compact"/>
              <w:jc w:val="left"/>
            </w:pPr>
            <w:r>
              <w:t xml:space="preserve">$3–6M</w:t>
            </w:r>
          </w:p>
        </w:tc>
        <w:tc>
          <w:tcPr/>
          <w:p>
            <w:pPr>
              <w:pStyle w:val="Compact"/>
              <w:jc w:val="left"/>
            </w:pPr>
            <w:r>
              <w:rPr>
                <w:bCs/>
                <w:b/>
              </w:rPr>
              <w:t xml:space="preserve">1.5–4 yr</w:t>
            </w:r>
          </w:p>
        </w:tc>
      </w:tr>
      <w:tr>
        <w:tc>
          <w:tcPr/>
          <w:p>
            <w:pPr>
              <w:pStyle w:val="Compact"/>
              <w:jc w:val="left"/>
            </w:pPr>
            <w:r>
              <w:t xml:space="preserve">Refinery residuals (K-listed)</w:t>
            </w:r>
          </w:p>
        </w:tc>
        <w:tc>
          <w:tcPr/>
          <w:p>
            <w:pPr>
              <w:pStyle w:val="Compact"/>
              <w:jc w:val="left"/>
            </w:pPr>
            <w:r>
              <w:t xml:space="preserve">$500/t mid-point ($200–800; to $1,000) [^D5-18^]; $700–1,000/t service benchmark [^D8-21^]</w:t>
            </w:r>
          </w:p>
        </w:tc>
        <w:tc>
          <w:tcPr/>
          <w:p>
            <w:pPr>
              <w:pStyle w:val="Compact"/>
              <w:jc w:val="left"/>
            </w:pPr>
            <w:r>
              <w:t xml:space="preserve">$0.9–1.3M net savings</w:t>
            </w:r>
          </w:p>
        </w:tc>
        <w:tc>
          <w:tcPr/>
          <w:p>
            <w:pPr>
              <w:pStyle w:val="Compact"/>
              <w:jc w:val="left"/>
            </w:pPr>
            <w:r>
              <w:t xml:space="preserve">$3M</w:t>
            </w:r>
          </w:p>
        </w:tc>
        <w:tc>
          <w:tcPr/>
          <w:p>
            <w:pPr>
              <w:pStyle w:val="Compact"/>
              <w:jc w:val="left"/>
            </w:pPr>
            <w:r>
              <w:rPr>
                <w:bCs/>
                <w:b/>
              </w:rPr>
              <w:t xml:space="preserve">2.3–3.3 yr (~2–3 yr)</w:t>
            </w:r>
          </w:p>
        </w:tc>
      </w:tr>
      <w:tr>
        <w:tc>
          <w:tcPr/>
          <w:p>
            <w:pPr>
              <w:pStyle w:val="Compact"/>
              <w:jc w:val="left"/>
            </w:pPr>
            <w:r>
              <w:t xml:space="preserve">Biosolids — crisis zones only</w:t>
            </w:r>
          </w:p>
        </w:tc>
        <w:tc>
          <w:tcPr/>
          <w:p>
            <w:pPr>
              <w:pStyle w:val="Compact"/>
              <w:jc w:val="left"/>
            </w:pPr>
            <w:r>
              <w:t xml:space="preserve">$350–500/wet t crisis pricing (vs. $150–250 constrained corridor, $25–65 land application) [^D6-E2^][^D6-41^]</w:t>
            </w:r>
          </w:p>
        </w:tc>
        <w:tc>
          <w:tcPr/>
          <w:p>
            <w:pPr>
              <w:pStyle w:val="Compact"/>
              <w:jc w:val="left"/>
            </w:pPr>
            <w:r>
              <w:t xml:space="preserve">$1.15–1.64M at ~3,285 wet t/yr</w:t>
            </w:r>
          </w:p>
        </w:tc>
        <w:tc>
          <w:tcPr/>
          <w:p>
            <w:pPr>
              <w:pStyle w:val="Compact"/>
              <w:jc w:val="left"/>
            </w:pPr>
            <w:r>
              <w:t xml:space="preserve">$3.5–5.0M installed [^D6-25^]</w:t>
            </w:r>
          </w:p>
        </w:tc>
        <w:tc>
          <w:tcPr/>
          <w:p>
            <w:pPr>
              <w:pStyle w:val="Compact"/>
              <w:jc w:val="left"/>
            </w:pPr>
            <w:r>
              <w:rPr>
                <w:bCs/>
                <w:b/>
              </w:rPr>
              <w:t xml:space="preserve">2.5–4 yr</w:t>
            </w:r>
          </w:p>
        </w:tc>
      </w:tr>
      <w:tr>
        <w:tc>
          <w:tcPr/>
          <w:p>
            <w:pPr>
              <w:pStyle w:val="Compact"/>
              <w:jc w:val="left"/>
            </w:pPr>
            <w:r>
              <w:t xml:space="preserve">Textile clusters — India ZLD</w:t>
            </w:r>
          </w:p>
        </w:tc>
        <w:tc>
          <w:tcPr/>
          <w:p>
            <w:pPr>
              <w:pStyle w:val="Compact"/>
              <w:jc w:val="left"/>
            </w:pPr>
            <w:r>
              <w:t xml:space="preserve">ZLD train OPEX ₹180–350/m³ (~$2.2–4.2/m³) + hazardous sludge disposal [^D12-17^][^D10-18^]</w:t>
            </w:r>
          </w:p>
        </w:tc>
        <w:tc>
          <w:tcPr/>
          <w:p>
            <w:pPr>
              <w:pStyle w:val="Compact"/>
              <w:jc w:val="left"/>
            </w:pPr>
            <w:r>
              <w:t xml:space="preserve">Avoided evaporator load + sludge destruction + closure-risk elimination</w:t>
            </w:r>
          </w:p>
        </w:tc>
        <w:tc>
          <w:tcPr/>
          <w:p>
            <w:pPr>
              <w:pStyle w:val="Compact"/>
              <w:jc w:val="left"/>
            </w:pPr>
            <w:r>
              <w:t xml:space="preserve">$1.5–3.0M (localized fabrication)</w:t>
            </w:r>
          </w:p>
        </w:tc>
        <w:tc>
          <w:tcPr/>
          <w:p>
            <w:pPr>
              <w:pStyle w:val="Compact"/>
              <w:jc w:val="left"/>
            </w:pPr>
            <w:r>
              <w:rPr>
                <w:bCs/>
                <w:b/>
              </w:rPr>
              <w:t xml:space="preserve">~3–6 yr</w:t>
            </w:r>
            <w:r>
              <w:t xml:space="preserve"> </w:t>
            </w:r>
            <w:r>
              <w:t xml:space="preserve">(low-medium confidence)</w:t>
            </w:r>
          </w:p>
        </w:tc>
      </w:tr>
      <w:tr>
        <w:tc>
          <w:tcPr/>
          <w:p>
            <w:pPr>
              <w:pStyle w:val="Compact"/>
              <w:jc w:val="left"/>
            </w:pPr>
            <w:r>
              <w:t xml:space="preserve">F&amp;B concentrated side-streams</w:t>
            </w:r>
          </w:p>
        </w:tc>
        <w:tc>
          <w:tcPr/>
          <w:p>
            <w:pPr>
              <w:pStyle w:val="Compact"/>
              <w:jc w:val="left"/>
            </w:pPr>
            <w:r>
              <w:t xml:space="preserve">Hauling $45–120/1,000 gal + dewatering savings (documented case $120k/yr) [^D7-E2^]</w:t>
            </w:r>
          </w:p>
        </w:tc>
        <w:tc>
          <w:tcPr/>
          <w:p>
            <w:pPr>
              <w:pStyle w:val="Compact"/>
              <w:jc w:val="left"/>
            </w:pPr>
            <w:r>
              <w:t xml:space="preserve">$0.16–0.23M (near-autothermal feed)</w:t>
            </w:r>
          </w:p>
        </w:tc>
        <w:tc>
          <w:tcPr/>
          <w:p>
            <w:pPr>
              <w:pStyle w:val="Compact"/>
              <w:jc w:val="left"/>
            </w:pPr>
            <w:r>
              <w:t xml:space="preserve">$1.0–1.5M</w:t>
            </w:r>
          </w:p>
        </w:tc>
        <w:tc>
          <w:tcPr/>
          <w:p>
            <w:pPr>
              <w:pStyle w:val="Compact"/>
              <w:jc w:val="left"/>
            </w:pPr>
            <w:r>
              <w:rPr>
                <w:bCs/>
                <w:b/>
              </w:rPr>
              <w:t xml:space="preserve">~3–6 yr</w:t>
            </w:r>
          </w:p>
        </w:tc>
      </w:tr>
      <w:tr>
        <w:tc>
          <w:tcPr/>
          <w:p>
            <w:pPr>
              <w:pStyle w:val="Compact"/>
              <w:jc w:val="left"/>
            </w:pPr>
            <w:r>
              <w:t xml:space="preserve">Distillery spent wash (India molasses ZLD, 60 KLPD site basis)</w:t>
            </w:r>
          </w:p>
        </w:tc>
        <w:tc>
          <w:tcPr/>
          <w:p>
            <w:pPr>
              <w:pStyle w:val="Compact"/>
              <w:jc w:val="left"/>
            </w:pPr>
            <w:r>
              <w:t xml:space="preserve">CPCB-mandated MEE + boiler-incineration train; reference 60 KLPD compliance plant $3–3.6M with &lt;3-yr payback [^V2D3-28^][^V2D3-30^]; ZLD OPEX benchmark ₹180–350/m³ [^D12-17^]</w:t>
            </w:r>
          </w:p>
        </w:tc>
        <w:tc>
          <w:tcPr/>
          <w:p>
            <w:pPr>
              <w:pStyle w:val="Compact"/>
              <w:jc w:val="left"/>
            </w:pPr>
            <w:r>
              <w:t xml:space="preserve">~$1.3–2.7M/yr per 60 KLPD site: avoided evaporator fuel/O&amp;M (~$0.4–0.8M) + steam/power export from 100–160 g/L COD feed (~$0.9–1.9M at ~200 kWh_th/m³ surplus, 15% electric efficiency, ₹9/kWh) [^V2D3-22^][^V2D2-66^]</w:t>
            </w:r>
          </w:p>
        </w:tc>
        <w:tc>
          <w:tcPr/>
          <w:p>
            <w:pPr>
              <w:pStyle w:val="Compact"/>
              <w:jc w:val="left"/>
            </w:pPr>
            <w:r>
              <w:t xml:space="preserve">$6–15M SCWO-integrated train (60–120 KLPD) [^V2D3-E1^]</w:t>
            </w:r>
          </w:p>
        </w:tc>
        <w:tc>
          <w:tcPr/>
          <w:p>
            <w:pPr>
              <w:pStyle w:val="Compact"/>
              <w:jc w:val="left"/>
            </w:pPr>
            <w:r>
              <w:rPr>
                <w:bCs/>
                <w:b/>
              </w:rPr>
              <w:t xml:space="preserve">~2.5–6 yr</w:t>
            </w:r>
            <w:r>
              <w:t xml:space="preserve"> </w:t>
            </w:r>
            <w:r>
              <w:t xml:space="preserve">(medium-low confidence; energy-export monetization is the swing factor)</w:t>
            </w:r>
          </w:p>
        </w:tc>
      </w:tr>
      <w:tr>
        <w:tc>
          <w:tcPr/>
          <w:p>
            <w:pPr>
              <w:pStyle w:val="Compact"/>
              <w:jc w:val="left"/>
            </w:pPr>
            <w:r>
              <w:t xml:space="preserve">Islands / resorts (diesel-offset model, 10 m³/day module)</w:t>
            </w:r>
          </w:p>
        </w:tc>
        <w:tc>
          <w:tcPr/>
          <w:p>
            <w:pPr>
              <w:pStyle w:val="Compact"/>
              <w:jc w:val="left"/>
            </w:pPr>
            <w:r>
              <w:t xml:space="preserve">No land-application base; constrained landfill/barging plus diesel power $0.30–0.52/kWh [^V2D3-36^][^V2D3-37^] and desal-parity water $2–5/m³ [^V2D3-38^]</w:t>
            </w:r>
          </w:p>
        </w:tc>
        <w:tc>
          <w:tcPr/>
          <w:p>
            <w:pPr>
              <w:pStyle w:val="Compact"/>
              <w:jc w:val="left"/>
            </w:pPr>
            <w:r>
              <w:t xml:space="preserve">$0.5–1.8M/yr per module: sludge destruction at island-disposal prices (8–10 wet t/d × $150–500/wet t) dominates; power export (−12 to −60 kWhe/m³ on FOG-blended feed × $0.30–0.52/kWh) and water credits add ~$25–60k [^V2D1-4^]</w:t>
            </w:r>
          </w:p>
        </w:tc>
        <w:tc>
          <w:tcPr/>
          <w:p>
            <w:pPr>
              <w:pStyle w:val="Compact"/>
              <w:jc w:val="left"/>
            </w:pPr>
            <w:r>
              <w:t xml:space="preserve">$3.5–5.0M installed (biosolids-class) [^D6-25^]</w:t>
            </w:r>
          </w:p>
        </w:tc>
        <w:tc>
          <w:tcPr/>
          <w:p>
            <w:pPr>
              <w:pStyle w:val="Compact"/>
              <w:jc w:val="left"/>
            </w:pPr>
            <w:r>
              <w:rPr>
                <w:bCs/>
                <w:b/>
              </w:rPr>
              <w:t xml:space="preserve">~2–4 yr where disposal ≥$300/wet t and diesel ≥$0.35/kWh</w:t>
            </w:r>
            <w:r>
              <w:t xml:space="preserve">; stretches where cheap landfill remains</w:t>
            </w:r>
          </w:p>
        </w:tc>
      </w:tr>
      <w:tr>
        <w:tc>
          <w:tcPr/>
          <w:p>
            <w:pPr>
              <w:pStyle w:val="Compact"/>
              <w:jc w:val="left"/>
            </w:pPr>
            <w:r>
              <w:t xml:space="preserve">CEA / indoor agriculture</w:t>
            </w:r>
          </w:p>
        </w:tc>
        <w:tc>
          <w:tcPr/>
          <w:p>
            <w:pPr>
              <w:pStyle w:val="Compact"/>
              <w:jc w:val="left"/>
            </w:pPr>
            <w:r>
              <w:t xml:space="preserve">Hauling $0.40–2.50/gal where sewers refuse [^D1-15^]</w:t>
            </w:r>
          </w:p>
        </w:tc>
        <w:tc>
          <w:tcPr/>
          <w:p>
            <w:pPr>
              <w:pStyle w:val="Compact"/>
              <w:jc w:val="left"/>
            </w:pPr>
            <w:r>
              <w:t xml:space="preserve">Service margin only — even the conservative startup/auxiliary energy allowance exceeds stream value on 99.8%-water runoff [^D1-37^]</w:t>
            </w:r>
          </w:p>
        </w:tc>
        <w:tc>
          <w:tcPr/>
          <w:p>
            <w:pPr>
              <w:pStyle w:val="Compact"/>
              <w:jc w:val="left"/>
            </w:pPr>
            <w:r>
              <w:t xml:space="preserve">n/a</w:t>
            </w:r>
          </w:p>
        </w:tc>
        <w:tc>
          <w:tcPr/>
          <w:p>
            <w:pPr>
              <w:pStyle w:val="Compact"/>
              <w:jc w:val="left"/>
            </w:pPr>
            <w:r>
              <w:rPr>
                <w:bCs/>
                <w:b/>
              </w:rPr>
              <w:t xml:space="preserve">Service model only; no standalone equipment payback</w:t>
            </w:r>
          </w:p>
        </w:tc>
      </w:tr>
    </w:tbl>
    <w:p>
      <w:pPr>
        <w:pStyle w:val="CaptionedFigure"/>
      </w:pPr>
      <w:r>
        <w:drawing>
          <wp:inline>
            <wp:extent cx="5334000" cy="3496134"/>
            <wp:effectExtent b="0" l="0" r="0" t="0"/>
            <wp:docPr descr="Simple payback by vertical for a 10 m³/day HCSP module; bars show modeled ranges on a US cost basis. Source: HCSP research dimension reports Dims 01–08, 10–12." title="" id="108" name="Picture"/>
            <a:graphic>
              <a:graphicData uri="http://schemas.openxmlformats.org/drawingml/2006/picture">
                <pic:pic>
                  <pic:nvPicPr>
                    <pic:cNvPr descr="hcsp_sec08_payback_by_vertical.png" id="109" name="Picture"/>
                    <pic:cNvPicPr>
                      <a:picLocks noChangeArrowheads="1" noChangeAspect="1"/>
                    </pic:cNvPicPr>
                  </pic:nvPicPr>
                  <pic:blipFill>
                    <a:blip r:embed="rId107"/>
                    <a:stretch>
                      <a:fillRect/>
                    </a:stretch>
                  </pic:blipFill>
                  <pic:spPr bwMode="auto">
                    <a:xfrm>
                      <a:off x="0" y="0"/>
                      <a:ext cx="5334000" cy="3496134"/>
                    </a:xfrm>
                    <a:prstGeom prst="rect">
                      <a:avLst/>
                    </a:prstGeom>
                    <a:noFill/>
                    <a:ln w="9525">
                      <a:noFill/>
                      <a:headEnd/>
                      <a:tailEnd/>
                    </a:ln>
                  </pic:spPr>
                </pic:pic>
              </a:graphicData>
            </a:graphic>
          </wp:inline>
        </w:drawing>
      </w:r>
    </w:p>
    <w:p>
      <w:pPr>
        <w:pStyle w:val="ImageCaption"/>
      </w:pPr>
      <w:r>
        <w:t xml:space="preserve">Simple payback by vertical for a 10 m³/day HCSP module; bars show modeled ranges on a US cost basis. Source: HCSP research dimension reports Dims 01–08, 10–12.</w:t>
      </w:r>
    </w:p>
    <w:p>
      <w:pPr>
        <w:pStyle w:val="BodyText"/>
      </w:pPr>
      <w:r>
        <w:rPr>
          <w:bCs/>
          <w:b/>
        </w:rPr>
        <w:t xml:space="preserve">Interpretation.</w:t>
      </w:r>
      <w:r>
        <w:t xml:space="preserve"> </w:t>
      </w:r>
      <w:r>
        <w:t xml:space="preserve">The payback ladder is not a continuum — it is a cliff. Wherever the displaced baseline is</w:t>
      </w:r>
      <w:r>
        <w:t xml:space="preserve"> </w:t>
      </w:r>
      <w:r>
        <w:rPr>
          <w:iCs/>
          <w:i/>
        </w:rPr>
        <w:t xml:space="preserve">destruction-priced</w:t>
      </w:r>
      <w:r>
        <w:t xml:space="preserve"> </w:t>
      </w:r>
      <w:r>
        <w:t xml:space="preserve">(halogenated solvents, pesticide stocks at $3,500–5,000/t [^D5-19^], PFAS concentrates), payback is measured in months and the sales conversation is about capacity and permitting speed, not price. Wherever the baseline is</w:t>
      </w:r>
      <w:r>
        <w:t xml:space="preserve"> </w:t>
      </w:r>
      <w:r>
        <w:rPr>
          <w:iCs/>
          <w:i/>
        </w:rPr>
        <w:t xml:space="preserve">disposal-priced</w:t>
      </w:r>
      <w:r>
        <w:t xml:space="preserve"> </w:t>
      </w:r>
      <w:r>
        <w:t xml:space="preserve">(biosolids, F&amp;B side-streams, textile ZLD), payback stretches to 3–6 years and the decision hinges on regulatory compulsion, grant funding, or crisis pricing — which is why biosolids payback spans &gt;20 years in cheap-disposal regions yet 2.5–4 years in crisis corridors, a bimodal structure documented in the underlying disposal-price data [^D6-E2^]. Two verticals carry explicit caveats: semiconductor economics only clear 1.5–4 years if the module aggregates several premium streams (solvents + CMP + PFAS concentrate), since a single 5,000-gal/month IPA stream repays a $3–6M unit too slowly on its own [^D3-45^]; and textile paybacks assume Indian cluster procurement with localized fabrication at $1.5–3.0M — at US-built CapEx the same projects exceed six years. The two v2 additions sit in the middle of the ladder: distillery payback (2.5–6 yr) is mandate-driven like the disposal-priced group but improves toward the destruction-priced end once the energy export that 100–160 g/L COD spent wash uniquely enables is monetized [^V2D3-22^][^V2D2-66^], and island payback (2–4 yr) is a pure price-umbrella play that clears only where disposal and diesel are simultaneously expensive. For CEA, the honest answer is that the physics forecloses an equipment sale: dilute runoff cannot approach autothermal operation, so energy cost exceeds any disposal saving, and the only viable construct is a mobile waste-destruction-as-a-service route monetizing the $0.40–2.50/gal hauling niche [^D1-15^] — the same WDS pivot the market leader has already made, at $3–5M/yr per service hub and $0.5–1.5M/yr per mobile unit [^D11-6^][^D11-15^].</w:t>
      </w:r>
    </w:p>
    <w:bookmarkEnd w:id="110"/>
    <w:bookmarkEnd w:id="111"/>
    <w:bookmarkStart w:id="113" w:name="regional-breakdown-us-and-global"/>
    <w:p>
      <w:pPr>
        <w:pStyle w:val="Heading2"/>
      </w:pPr>
      <w:r>
        <w:t xml:space="preserve">8.4 Regional Breakdown: US and Global</w:t>
      </w:r>
    </w:p>
    <w:bookmarkStart w:id="112" w:name="Xf2f3087345f64c4a9a662244ec897872d4d8725"/>
    <w:p>
      <w:pPr>
        <w:pStyle w:val="Heading3"/>
      </w:pPr>
      <w:r>
        <w:t xml:space="preserve">8.4.1 Regional attractiveness and energy-price sensitivity</w:t>
      </w:r>
    </w:p>
    <w:p>
      <w:pPr>
        <w:pStyle w:val="FirstParagraph"/>
      </w:pPr>
      <w:r>
        <w:t xml:space="preserve">Geography moves HCSP’s economics through exactly two variables: the local disposal/compliance baseline it displaces, and the local electricity price — which, under the manufacturer’s self-fueling design, prices the startup/auxiliary draw and sets the value of exported energy rather than a treatment cost [^S1^]. The regional index below (scored 1–5 per criterion on regulatory pull, scarcity/tariff pressure, power cost, market size, and permitting fit; 25 maximum) ranks deployment priority on that basis.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Region</w:t>
            </w:r>
          </w:p>
        </w:tc>
        <w:tc>
          <w:tcPr/>
          <w:p>
            <w:pPr>
              <w:pStyle w:val="Compact"/>
              <w:jc w:val="left"/>
            </w:pPr>
            <w:r>
              <w:t xml:space="preserve">Index (/25)</w:t>
            </w:r>
          </w:p>
        </w:tc>
        <w:tc>
          <w:tcPr/>
          <w:p>
            <w:pPr>
              <w:pStyle w:val="Compact"/>
              <w:jc w:val="left"/>
            </w:pPr>
            <w:r>
              <w:t xml:space="preserve">Energy benchmark ($/m³, 75–95 kW startup/aux. spec if drawn continuously)</w:t>
            </w:r>
          </w:p>
        </w:tc>
        <w:tc>
          <w:tcPr/>
          <w:p>
            <w:pPr>
              <w:pStyle w:val="Compact"/>
              <w:jc w:val="left"/>
            </w:pPr>
            <w:r>
              <w:t xml:space="preserve">Demand driver</w:t>
            </w:r>
          </w:p>
        </w:tc>
        <w:tc>
          <w:tcPr/>
          <w:p>
            <w:pPr>
              <w:pStyle w:val="Compact"/>
              <w:jc w:val="left"/>
            </w:pPr>
            <w:r>
              <w:t xml:space="preserve">Watch item</w:t>
            </w:r>
          </w:p>
        </w:tc>
      </w:tr>
      <w:tr>
        <w:tc>
          <w:tcPr/>
          <w:p>
            <w:pPr>
              <w:pStyle w:val="Compact"/>
              <w:jc w:val="left"/>
            </w:pPr>
            <w:r>
              <w:t xml:space="preserve">China industrial parks</w:t>
            </w:r>
          </w:p>
        </w:tc>
        <w:tc>
          <w:tcPr/>
          <w:p>
            <w:pPr>
              <w:pStyle w:val="Compact"/>
              <w:jc w:val="left"/>
            </w:pPr>
            <w:r>
              <w:rPr>
                <w:bCs/>
                <w:b/>
              </w:rPr>
              <w:t xml:space="preserve">21</w:t>
            </w:r>
            <w:r>
              <w:t xml:space="preserve">* [^D12-37^]</w:t>
            </w:r>
          </w:p>
        </w:tc>
        <w:tc>
          <w:tcPr/>
          <w:p>
            <w:pPr>
              <w:pStyle w:val="Compact"/>
              <w:jc w:val="left"/>
            </w:pPr>
            <w:r>
              <w:t xml:space="preserve">15.8–20.1 [^D12-69^][^D12-70^]</w:t>
            </w:r>
          </w:p>
        </w:tc>
        <w:tc>
          <w:tcPr/>
          <w:p>
            <w:pPr>
              <w:pStyle w:val="Compact"/>
              <w:jc w:val="left"/>
            </w:pPr>
            <w:r>
              <w:t xml:space="preserve">25%/35% reuse mandates; toxicity-based effluent limits</w:t>
            </w:r>
          </w:p>
        </w:tc>
        <w:tc>
          <w:tcPr/>
          <w:p>
            <w:pPr>
              <w:pStyle w:val="Compact"/>
              <w:jc w:val="left"/>
            </w:pPr>
            <w:r>
              <w:t xml:space="preserve">Localization/partner required (*scoring adjustment)</w:t>
            </w:r>
          </w:p>
        </w:tc>
      </w:tr>
      <w:tr>
        <w:tc>
          <w:tcPr/>
          <w:p>
            <w:pPr>
              <w:pStyle w:val="Compact"/>
              <w:jc w:val="left"/>
            </w:pPr>
            <w:r>
              <w:t xml:space="preserve">US Gulf / Texas</w:t>
            </w:r>
          </w:p>
        </w:tc>
        <w:tc>
          <w:tcPr/>
          <w:p>
            <w:pPr>
              <w:pStyle w:val="Compact"/>
              <w:jc w:val="left"/>
            </w:pPr>
            <w:r>
              <w:rPr>
                <w:bCs/>
                <w:b/>
              </w:rPr>
              <w:t xml:space="preserve">21</w:t>
            </w:r>
            <w:r>
              <w:t xml:space="preserve"> </w:t>
            </w:r>
            <w:r>
              <w:t xml:space="preserve">[^D12-31^][^D12-32^]</w:t>
            </w:r>
          </w:p>
        </w:tc>
        <w:tc>
          <w:tcPr/>
          <w:p>
            <w:pPr>
              <w:pStyle w:val="Compact"/>
              <w:jc w:val="left"/>
            </w:pPr>
            <w:r>
              <w:t xml:space="preserve">11.9–15.1 [^D12-65^]</w:t>
            </w:r>
          </w:p>
        </w:tc>
        <w:tc>
          <w:tcPr/>
          <w:p>
            <w:pPr>
              <w:pStyle w:val="Compact"/>
              <w:jc w:val="left"/>
            </w:pPr>
            <w:r>
              <w:t xml:space="preserve">Produced-water reuse opening (HB 49/TCEQ), PFAS liability, refinery residuals</w:t>
            </w:r>
          </w:p>
        </w:tc>
        <w:tc>
          <w:tcPr/>
          <w:p>
            <w:pPr>
              <w:pStyle w:val="Compact"/>
              <w:jc w:val="left"/>
            </w:pPr>
            <w:r>
              <w:t xml:space="preserve">RCRA permitting for on-site treatment of listed wastes</w:t>
            </w:r>
          </w:p>
        </w:tc>
      </w:tr>
      <w:tr>
        <w:tc>
          <w:tcPr/>
          <w:p>
            <w:pPr>
              <w:pStyle w:val="Compact"/>
              <w:jc w:val="left"/>
            </w:pPr>
            <w:r>
              <w:t xml:space="preserve">MEA (Saudi/UAE industrial cities)</w:t>
            </w:r>
          </w:p>
        </w:tc>
        <w:tc>
          <w:tcPr/>
          <w:p>
            <w:pPr>
              <w:pStyle w:val="Compact"/>
              <w:jc w:val="left"/>
            </w:pPr>
            <w:r>
              <w:rPr>
                <w:bCs/>
                <w:b/>
              </w:rPr>
              <w:t xml:space="preserve">21</w:t>
            </w:r>
            <w:r>
              <w:t xml:space="preserve"> </w:t>
            </w:r>
            <w:r>
              <w:t xml:space="preserve">[^D12-43^]</w:t>
            </w:r>
          </w:p>
        </w:tc>
        <w:tc>
          <w:tcPr/>
          <w:p>
            <w:pPr>
              <w:pStyle w:val="Compact"/>
              <w:jc w:val="left"/>
            </w:pPr>
            <w:r>
              <w:t xml:space="preserve">10.8–13.7 [^D12-16^]</w:t>
            </w:r>
          </w:p>
        </w:tc>
        <w:tc>
          <w:tcPr/>
          <w:p>
            <w:pPr>
              <w:pStyle w:val="Compact"/>
              <w:jc w:val="left"/>
            </w:pPr>
            <w:r>
              <w:t xml:space="preserve">Vision 2030 70% reuse target; $10–15/MWh solar PPAs [^D12-74^]</w:t>
            </w:r>
          </w:p>
        </w:tc>
        <w:tc>
          <w:tcPr/>
          <w:p>
            <w:pPr>
              <w:pStyle w:val="Compact"/>
              <w:jc w:val="left"/>
            </w:pPr>
            <w:r>
              <w:t xml:space="preserve">Smaller absolute market; project-finance cadence</w:t>
            </w:r>
          </w:p>
        </w:tc>
      </w:tr>
      <w:tr>
        <w:tc>
          <w:tcPr/>
          <w:p>
            <w:pPr>
              <w:pStyle w:val="Compact"/>
              <w:jc w:val="left"/>
            </w:pPr>
            <w:r>
              <w:t xml:space="preserve">India ZLD clusters</w:t>
            </w:r>
          </w:p>
        </w:tc>
        <w:tc>
          <w:tcPr/>
          <w:p>
            <w:pPr>
              <w:pStyle w:val="Compact"/>
              <w:jc w:val="left"/>
            </w:pPr>
            <w:r>
              <w:rPr>
                <w:bCs/>
                <w:b/>
              </w:rPr>
              <w:t xml:space="preserve">20</w:t>
            </w:r>
            <w:r>
              <w:t xml:space="preserve"> </w:t>
            </w:r>
            <w:r>
              <w:t xml:space="preserve">[^D12-58^]</w:t>
            </w:r>
          </w:p>
        </w:tc>
        <w:tc>
          <w:tcPr/>
          <w:p>
            <w:pPr>
              <w:pStyle w:val="Compact"/>
              <w:jc w:val="left"/>
            </w:pPr>
            <w:r>
              <w:t xml:space="preserve">19.4–24.6 [^D12-71^]</w:t>
            </w:r>
          </w:p>
        </w:tc>
        <w:tc>
          <w:tcPr/>
          <w:p>
            <w:pPr>
              <w:pStyle w:val="Compact"/>
              <w:jc w:val="left"/>
            </w:pPr>
            <w:r>
              <w:t xml:space="preserve">CPCB/NGT zero-liquid-discharge mandates with 30–45-day closure enforcement [^D12-58^][^D12-62^]</w:t>
            </w:r>
          </w:p>
        </w:tc>
        <w:tc>
          <w:tcPr/>
          <w:p>
            <w:pPr>
              <w:pStyle w:val="Compact"/>
              <w:jc w:val="left"/>
            </w:pPr>
            <w:r>
              <w:t xml:space="preserve">Price-sensitive; requires low-cost fabrication/service model</w:t>
            </w:r>
          </w:p>
        </w:tc>
      </w:tr>
      <w:tr>
        <w:tc>
          <w:tcPr/>
          <w:p>
            <w:pPr>
              <w:pStyle w:val="Compact"/>
              <w:jc w:val="left"/>
            </w:pPr>
            <w:r>
              <w:t xml:space="preserve">California / Arizona</w:t>
            </w:r>
          </w:p>
        </w:tc>
        <w:tc>
          <w:tcPr/>
          <w:p>
            <w:pPr>
              <w:pStyle w:val="Compact"/>
              <w:jc w:val="left"/>
            </w:pPr>
            <w:r>
              <w:rPr>
                <w:bCs/>
                <w:b/>
              </w:rPr>
              <w:t xml:space="preserve">19</w:t>
            </w:r>
            <w:r>
              <w:t xml:space="preserve"> </w:t>
            </w:r>
            <w:r>
              <w:t xml:space="preserve">[^D12-23^]</w:t>
            </w:r>
          </w:p>
        </w:tc>
        <w:tc>
          <w:tcPr/>
          <w:p>
            <w:pPr>
              <w:pStyle w:val="Compact"/>
              <w:jc w:val="left"/>
            </w:pPr>
            <w:r>
              <w:t xml:space="preserve">27.0–34.2 (CA/NE high-cost band) [^D12-65^]</w:t>
            </w:r>
          </w:p>
        </w:tc>
        <w:tc>
          <w:tcPr/>
          <w:p>
            <w:pPr>
              <w:pStyle w:val="Compact"/>
              <w:jc w:val="left"/>
            </w:pPr>
            <w:r>
              <w:t xml:space="preserve">Title 22 reuse, scarcity repricing ≥10%/yr, semiconductor builds</w:t>
            </w:r>
          </w:p>
        </w:tc>
        <w:tc>
          <w:tcPr/>
          <w:p>
            <w:pPr>
              <w:pStyle w:val="Compact"/>
              <w:jc w:val="left"/>
            </w:pPr>
            <w:r>
              <w:t xml:space="preserve">Power price nearly triples the Texas floor</w:t>
            </w:r>
          </w:p>
        </w:tc>
      </w:tr>
      <w:tr>
        <w:tc>
          <w:tcPr/>
          <w:p>
            <w:pPr>
              <w:pStyle w:val="Compact"/>
              <w:jc w:val="left"/>
            </w:pPr>
            <w:r>
              <w:t xml:space="preserve">EU (Germany vs. Finland split)</w:t>
            </w:r>
          </w:p>
        </w:tc>
        <w:tc>
          <w:tcPr/>
          <w:p>
            <w:pPr>
              <w:pStyle w:val="Compact"/>
              <w:jc w:val="left"/>
            </w:pPr>
            <w:r>
              <w:rPr>
                <w:bCs/>
                <w:b/>
              </w:rPr>
              <w:t xml:space="preserve">19</w:t>
            </w:r>
            <w:r>
              <w:t xml:space="preserve"> </w:t>
            </w:r>
            <w:r>
              <w:t xml:space="preserve">[^D12-48^]</w:t>
            </w:r>
          </w:p>
        </w:tc>
        <w:tc>
          <w:tcPr/>
          <w:p>
            <w:pPr>
              <w:pStyle w:val="Compact"/>
              <w:jc w:val="left"/>
            </w:pPr>
            <w:r>
              <w:t xml:space="preserve">35.7–45.2 EU avg;</w:t>
            </w:r>
            <w:r>
              <w:t xml:space="preserve"> </w:t>
            </w:r>
            <w:r>
              <w:rPr>
                <w:bCs/>
                <w:b/>
              </w:rPr>
              <w:t xml:space="preserve">44.0–55.7 Germany</w:t>
            </w:r>
            <w:r>
              <w:t xml:space="preserve">; 14.5–18.4 Finland [^D12-67^]</w:t>
            </w:r>
          </w:p>
        </w:tc>
        <w:tc>
          <w:tcPr/>
          <w:p>
            <w:pPr>
              <w:pStyle w:val="Compact"/>
              <w:jc w:val="left"/>
            </w:pPr>
            <w:r>
              <w:t xml:space="preserve">Strongest regulatory pull: quaternary micropollutant treatment + PFAS duties</w:t>
            </w:r>
          </w:p>
        </w:tc>
        <w:tc>
          <w:tcPr/>
          <w:p>
            <w:pPr>
              <w:pStyle w:val="Compact"/>
              <w:jc w:val="left"/>
            </w:pPr>
            <w:r>
              <w:t xml:space="preserve">Viable only with heat recovery, waste-heat credit, or Nordic power</w:t>
            </w:r>
          </w:p>
        </w:tc>
      </w:tr>
    </w:tbl>
    <w:p>
      <w:pPr>
        <w:pStyle w:val="BodyText"/>
      </w:pPr>
      <w:r>
        <w:rPr>
          <w:bCs/>
          <w:b/>
        </w:rPr>
        <w:t xml:space="preserve">Interpretation.</w:t>
      </w:r>
      <w:r>
        <w:t xml:space="preserve"> </w:t>
      </w:r>
      <w:r>
        <w:t xml:space="preserve">Read against the manufacturer’s self-fueling design, the regional electricity spread —</w:t>
      </w:r>
      <w:r>
        <w:t xml:space="preserve"> </w:t>
      </w:r>
      <w:r>
        <w:rPr>
          <w:bCs/>
          <w:b/>
        </w:rPr>
        <w:t xml:space="preserve">~$10.8/m³-equivalent in Saudi Arabia or Texas against $55.7/m³ in Germany</w:t>
      </w:r>
      <w:r>
        <w:t xml:space="preserve">, applied to the full startup/auxiliary specification — does not set a treatment cost; it does two narrower jobs [^S1^][^D12-11^]. First, it bounds the startup/auxiliary budget: every 10 kW of auxiliary load is worth ~87,600 kWh/yr, or ~$5.8k/yr in Texas against ~$21.5k/yr in Germany, so heat integration and short start cycles pay back fastest in high-tariff regions. Second, it values exported energy: on concentrated feeds the plant exports power (Section 8.5), and each exported kilowatt-hour is worth roughly five times more at German than at Texan industrial tariffs — high-price regions are the best monetization markets, not the worst deployment ones. The recommended build order nonetheless stands on the disposal-price and regulatory logic:</w:t>
      </w:r>
      <w:r>
        <w:t xml:space="preserve"> </w:t>
      </w:r>
      <w:r>
        <w:rPr>
          <w:bCs/>
          <w:b/>
        </w:rPr>
        <w:t xml:space="preserve">US Gulf/Texas and California/Arizona first (regulatory pull plus disposal-price umbrella), India ZLD clusters and MEA second (volume under compulsion), China via partnership, and the EU where destruction pricing or energy-export value carries the case</w:t>
      </w:r>
      <w:r>
        <w:t xml:space="preserve">. One cross-cutting note applies to every benchmark in the table: per the manufacturer the self-fueling hydrogen loop makes net energy cost in operation negligible, and the energy line items shown are conservatively retained for startup/auxiliary power and to bound downside scenarios [^S1^]; publishing the working prototype’s measured energy performance is therefore the highest-value de-risking input to the commercial plan (Chapter 10).</w:t>
      </w:r>
    </w:p>
    <w:bookmarkEnd w:id="112"/>
    <w:bookmarkEnd w:id="113"/>
    <w:bookmarkStart w:id="117" w:name="scale-changes-the-cost-curve"/>
    <w:p>
      <w:pPr>
        <w:pStyle w:val="Heading2"/>
      </w:pPr>
      <w:r>
        <w:t xml:space="preserve">8.5 Scale Changes the Cost Curve</w:t>
      </w:r>
    </w:p>
    <w:p>
      <w:pPr>
        <w:pStyle w:val="FirstParagraph"/>
      </w:pPr>
      <w:r>
        <w:rPr>
          <w:bCs/>
          <w:b/>
        </w:rPr>
        <w:t xml:space="preserve">The 10 m³/day module analyzed in Section 8.2 is the beachhead, not the end state: scaling two orders of magnitude cuts fully loaded treatment cost roughly three- to five-fold, and pairing that scale with a concentrated feed flips HCSP from an energy importer into an energy exporter.</w:t>
      </w:r>
      <w:r>
        <w:t xml:space="preserve"> </w:t>
      </w:r>
      <w:r>
        <w:t xml:space="preserve">This matters commercially because the largest v2 pools identified in Section 8.1 — distillery ZLD, islands, CAFO — are all 100–1,000 m³/day opportunities where the module-level cost stack of $139–271/m³ would be fatal but the at-scale stack of $33–120/m³ undercuts the incumbent thermal trains. The engineering basis for the ladder below (cost-scaling exponents, heat-recovery physics, pressure-code and materials limits) is detailed in Chapter 11; this section draws the economic consequences.</w:t>
      </w:r>
    </w:p>
    <w:p>
      <w:pPr>
        <w:pStyle w:val="BodyText"/>
      </w:pPr>
      <w:r>
        <w:t xml:space="preserve">The ladder consolidates a scale model built on three verified anchors: equipment-level capital-cost exponents of n ≈ 0.5–0.7 for the high-pressure, exotic-alloy equipment that dominates an SCWO plant (NETL’s vendor-quote-derived methodology) [^V2D1-11^]; the only contracted commercial pricing of this class, 374Water’s AirSCWO 6 at $5.2M for ~25 m³/day slurry throughput [^V2D1-14^]; and the LANL 5,000 m³/day integrated SCWDO techno-economic analysis, the only gpd-scale SCWO economics in the open literature, which lands at $51–113M total capital and a $2–3/m³ final treatment cost on autothermal feed with power recovery [^V2D1-3^]. Per the manufacturer, the HCSP’s on-demand hydrogen fuel loop makes the system self-fueling once started, with negligible net energy cost in operation; the energy line items in the ladder below are conservatively retained for startup/auxiliary power and to bound downside scenarios [^S1^].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m³/day</w:t>
            </w:r>
          </w:p>
        </w:tc>
        <w:tc>
          <w:tcPr/>
          <w:p>
            <w:pPr>
              <w:pStyle w:val="Compact"/>
              <w:jc w:val="left"/>
            </w:pPr>
            <w:r>
              <w:t xml:space="preserve">100 m³/day</w:t>
            </w:r>
          </w:p>
        </w:tc>
        <w:tc>
          <w:tcPr/>
          <w:p>
            <w:pPr>
              <w:pStyle w:val="Compact"/>
              <w:jc w:val="left"/>
            </w:pPr>
            <w:r>
              <w:t xml:space="preserve">1,000 m³/day</w:t>
            </w:r>
          </w:p>
        </w:tc>
        <w:tc>
          <w:tcPr/>
          <w:p>
            <w:pPr>
              <w:pStyle w:val="Compact"/>
              <w:jc w:val="left"/>
            </w:pPr>
            <w:r>
              <w:t xml:space="preserve">1,900 m³/day (500k gpd)</w:t>
            </w:r>
          </w:p>
        </w:tc>
      </w:tr>
      <w:tr>
        <w:tc>
          <w:tcPr/>
          <w:p>
            <w:pPr>
              <w:pStyle w:val="Compact"/>
              <w:jc w:val="left"/>
            </w:pPr>
            <w:r>
              <w:t xml:space="preserve">CapEx range</w:t>
            </w:r>
          </w:p>
        </w:tc>
        <w:tc>
          <w:tcPr/>
          <w:p>
            <w:pPr>
              <w:pStyle w:val="Compact"/>
              <w:jc w:val="left"/>
            </w:pPr>
            <w:r>
              <w:t xml:space="preserve">$3.0–4.5M</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 [^V2D1-E1^]</w:t>
            </w:r>
          </w:p>
        </w:tc>
      </w:tr>
      <w:tr>
        <w:tc>
          <w:tcPr/>
          <w:p>
            <w:pPr>
              <w:pStyle w:val="Compact"/>
              <w:jc w:val="left"/>
            </w:pPr>
            <w:r>
              <w:t xml:space="preserve">CapEx per m³/day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 [^V2D1-E1^]</w:t>
            </w:r>
          </w:p>
        </w:tc>
      </w:tr>
      <w:tr>
        <w:tc>
          <w:tcPr/>
          <w:p>
            <w:pPr>
              <w:pStyle w:val="Compact"/>
              <w:jc w:val="left"/>
            </w:pPr>
            <w:r>
              <w:t xml:space="preserve">Net energy, dilute feed (kWh/m³)</w:t>
            </w:r>
          </w:p>
        </w:tc>
        <w:tc>
          <w:tcPr/>
          <w:p>
            <w:pPr>
              <w:pStyle w:val="Compact"/>
              <w:jc w:val="left"/>
            </w:pPr>
            <w:r>
              <w:t xml:space="preserve">130–250</w:t>
            </w:r>
          </w:p>
        </w:tc>
        <w:tc>
          <w:tcPr/>
          <w:p>
            <w:pPr>
              <w:pStyle w:val="Compact"/>
              <w:jc w:val="left"/>
            </w:pPr>
            <w:r>
              <w:t xml:space="preserve">80–160</w:t>
            </w:r>
          </w:p>
        </w:tc>
        <w:tc>
          <w:tcPr/>
          <w:p>
            <w:pPr>
              <w:pStyle w:val="Compact"/>
              <w:jc w:val="left"/>
            </w:pPr>
            <w:r>
              <w:t xml:space="preserve">45–110</w:t>
            </w:r>
          </w:p>
        </w:tc>
        <w:tc>
          <w:tcPr/>
          <w:p>
            <w:pPr>
              <w:pStyle w:val="Compact"/>
              <w:jc w:val="left"/>
            </w:pPr>
            <w:r>
              <w:t xml:space="preserve">35–88 [^V2D1-E1^]</w:t>
            </w:r>
          </w:p>
        </w:tc>
      </w:tr>
      <w:tr>
        <w:tc>
          <w:tcPr/>
          <w:p>
            <w:pPr>
              <w:pStyle w:val="Compact"/>
              <w:jc w:val="left"/>
            </w:pPr>
            <w:r>
              <w:t xml:space="preserve">Energy cost @</w:t>
            </w:r>
            <w:r>
              <w:t xml:space="preserve"> </w:t>
            </w:r>
            <m:oMath>
              <m:r>
                <m:t>0.086</m:t>
              </m:r>
              <m:r>
                <m:rPr>
                  <m:sty m:val="p"/>
                </m:rPr>
                <m:t>/</m:t>
              </m:r>
              <m:r>
                <m:t>k</m:t>
              </m:r>
              <m:r>
                <m:t>W</m:t>
              </m:r>
              <m:r>
                <m:t>h</m:t>
              </m:r>
              <m:r>
                <m:rPr>
                  <m:sty m:val="p"/>
                </m:rPr>
                <m:t>(</m:t>
              </m:r>
            </m:oMath>
            <w:r>
              <w:t xml:space="preserve">/m³)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 [^V2D1-E1^]</w:t>
            </w:r>
          </w:p>
        </w:tc>
      </w:tr>
      <w:tr>
        <w:tc>
          <w:tcPr/>
          <w:p>
            <w:pPr>
              <w:pStyle w:val="Compact"/>
              <w:jc w:val="left"/>
            </w:pPr>
            <w:r>
              <w:rPr>
                <w:bCs/>
                <w:b/>
              </w:rPr>
              <w:t xml:space="preserve">Fully loaded cost ($/m³, dilute feed)</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rPr>
                <w:bCs/>
                <w:b/>
              </w:rPr>
              <w:t xml:space="preserve">~$28–110</w:t>
            </w:r>
            <w:r>
              <w:t xml:space="preserve"> </w:t>
            </w:r>
            <w:r>
              <w:t xml:space="preserve">[^V2D1-E1^]</w:t>
            </w:r>
          </w:p>
        </w:tc>
      </w:tr>
      <w:tr>
        <w:tc>
          <w:tcPr/>
          <w:p>
            <w:pPr>
              <w:pStyle w:val="Compact"/>
              <w:jc w:val="left"/>
            </w:pPr>
            <w:r>
              <w:t xml:space="preserve">Fully loaded, autothermal feed with power recovery</w:t>
            </w:r>
          </w:p>
        </w:tc>
        <w:tc>
          <w:tcPr/>
          <w:p>
            <w:pPr>
              <w:pStyle w:val="Compact"/>
              <w:jc w:val="left"/>
            </w:pPr>
            <w:r>
              <w:t xml:space="preserve">energy line becomes a credit of up to ~$5/m³</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converges toward $2–10/m³</w:t>
            </w:r>
            <w:r>
              <w:t xml:space="preserve"> </w:t>
            </w:r>
            <w:r>
              <w:t xml:space="preserve">[^V2D1-3^]</w:t>
            </w:r>
          </w:p>
        </w:tc>
      </w:tr>
      <w:tr>
        <w:tc>
          <w:tcPr/>
          <w:p>
            <w:pPr>
              <w:pStyle w:val="Compact"/>
              <w:jc w:val="left"/>
            </w:pPr>
            <w:r>
              <w:t xml:space="preserve">Cross-check anchor</w:t>
            </w:r>
          </w:p>
        </w:tc>
        <w:tc>
          <w:tcPr/>
          <w:p>
            <w:pPr>
              <w:pStyle w:val="Compact"/>
              <w:jc w:val="left"/>
            </w:pPr>
            <w:r>
              <w:t xml:space="preserve">AirSCWO 6: $5.2M @ ~25 m³/d contracted [^V2D1-14^]; field draw 294 kWh/m³ on dilute concentrate [^V2D1-32^]</w:t>
            </w:r>
          </w:p>
        </w:tc>
        <w:tc>
          <w:tcPr/>
          <w:p>
            <w:pPr>
              <w:pStyle w:val="Compact"/>
              <w:jc w:val="left"/>
            </w:pPr>
            <w:r>
              <w:t xml:space="preserve">374Water ~$50/wet t at 30 t/d (vendor projection) [^V2D1-20^]</w:t>
            </w:r>
          </w:p>
        </w:tc>
        <w:tc>
          <w:tcPr/>
          <w:p>
            <w:pPr>
              <w:pStyle w:val="Compact"/>
              <w:jc w:val="left"/>
            </w:pPr>
            <w:r>
              <w:t xml:space="preserve">Chematur-scale historical ~$105/tDS @ 168 m³/d [^V2D1-17^]</w:t>
            </w:r>
          </w:p>
        </w:tc>
        <w:tc>
          <w:tcPr/>
          <w:p>
            <w:pPr>
              <w:pStyle w:val="Compact"/>
              <w:jc w:val="left"/>
            </w:pPr>
            <w:r>
              <w:t xml:space="preserve">LANL $2–3/m³ @ 5,000 m³/d, autothermal + power recovery [^V2D1-3^]</w:t>
            </w:r>
          </w:p>
        </w:tc>
      </w:tr>
    </w:tbl>
    <w:p>
      <w:pPr>
        <w:pStyle w:val="BodyText"/>
      </w:pPr>
      <w:r>
        <w:rPr>
          <w:bCs/>
          <w:b/>
        </w:rPr>
        <w:t xml:space="preserve">Interpretation.</w:t>
      </w:r>
      <w:r>
        <w:t xml:space="preserve"> </w:t>
      </w:r>
      <w:r>
        <w:t xml:space="preserve">Three features of the ladder drive strategy. First, the CapEx curve is real but bounded: at the six-tenths-rule exponent a 100× scale-up cuts unit capital cost by ~84% in theory, but the industry in practice scales by</w:t>
      </w:r>
      <w:r>
        <w:t xml:space="preserve"> </w:t>
      </w:r>
      <w:r>
        <w:rPr>
          <w:iCs/>
          <w:i/>
        </w:rPr>
        <w:t xml:space="preserve">paralleling</w:t>
      </w:r>
      <w:r>
        <w:t xml:space="preserve"> </w:t>
      </w:r>
      <w:r>
        <w:t xml:space="preserve">containerized reactors rather than building single large vessels — Aquarden caps one reactor at 12 m³/day and upscales by parallelization, and 374Water’s 30 t/d unit is three 40-ft containers [^V2D1-7^][^V2D1-16^] — which degrades the blended plant exponent toward n ≈ 0.85–0.9 and explains the wide bands at 1,000–1,900 m³/day. Second, scale fixes energy better than capital: net specific energy falls from 130–250 to 35–88 kWh/m³ across the ladder because larger plants rationally buy more heat-exchanger area and push recovery from ~75–85% toward 90–94% [^V2D1-E1^] — every five-point recovery gain is worth ~$0.8M/yr at 1,900 m³/day. Third, and decisive:</w:t>
      </w:r>
      <w:r>
        <w:t xml:space="preserve"> </w:t>
      </w:r>
      <w:r>
        <w:rPr>
          <w:bCs/>
          <w:b/>
        </w:rPr>
        <w:t xml:space="preserve">feed strength dominates scale.</w:t>
      </w:r>
      <w:r>
        <w:t xml:space="preserve"> </w:t>
      </w:r>
      <w:r>
        <w:t xml:space="preserve">On an autothermal feed the energy line inverts from a $3–22/m³ cost to a credit of up to ~$5/m³, and the 1,000–1,900 m³/day rows converge toward the LANL $2–10/m³ band [^V2D1-3^][^V2D1-E1^]. The crossover is sharp and measured, not speculative: the LANL SCWDO model crosses net-zero electricity at ~12–13 g/L hydrocarbon (≈35–40 g/L COD) and reaches</w:t>
      </w:r>
      <w:r>
        <w:t xml:space="preserve"> </w:t>
      </w:r>
      <w:r>
        <w:rPr>
          <w:bCs/>
          <w:b/>
        </w:rPr>
        <w:t xml:space="preserve">−60 kWhe/m³ of net power export at ~150 g/L COD</w:t>
      </w:r>
      <w:r>
        <w:t xml:space="preserve"> </w:t>
      </w:r>
      <w:r>
        <w:t xml:space="preserve">[^V2D1-4^]; the European refiners’ association independently concludes SCWO can generate electricity above ~100 g/L COD [^V2D1-26^], and the Australian water utilities’ review classes SCWO on 10%-solids sludge as a net energy producer at 3.0–3.5 MWh/tDS [^V2D1-27^]. Two honesty caveats bound the claim: no SCWO plant above ~306 t/day has ever operated, so everything right of the 100 m³/day column is interpolated design economics, not observed cost [^V2D1-26^]; and a heat-recovery failure (a salt-fouled recuperator) returns any scale to the 300–500 kWh/m³ regime, adding $10–35/m³ — the reliability gate in Chapter 10 is therefore worth more to the cost curve than any scaling decision. The decision implication:</w:t>
      </w:r>
      <w:r>
        <w:t xml:space="preserve"> </w:t>
      </w:r>
      <w:r>
        <w:rPr>
          <w:bCs/>
          <w:b/>
        </w:rPr>
        <w:t xml:space="preserve">do not sell the 10 m³/day module against $/m³-sensitive verticals; sell it against destruction-priced niches, and reserve the scale-up capital for feedstocks above ~35–40 g/L COD, where the plant’s energy line changes sign.</w:t>
      </w:r>
    </w:p>
    <w:p>
      <w:pPr>
        <w:pStyle w:val="CaptionedFigure"/>
      </w:pPr>
      <w:r>
        <w:drawing>
          <wp:inline>
            <wp:extent cx="5334000" cy="3418727"/>
            <wp:effectExtent b="0" l="0" r="0" t="0"/>
            <wp:docPr descr="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 title="" id="115" name="Picture"/>
            <a:graphic>
              <a:graphicData uri="http://schemas.openxmlformats.org/drawingml/2006/picture">
                <pic:pic>
                  <pic:nvPicPr>
                    <pic:cNvPr descr="hcsp_sec08_scale_curve.png" id="116" name="Picture"/>
                    <pic:cNvPicPr>
                      <a:picLocks noChangeArrowheads="1" noChangeAspect="1"/>
                    </pic:cNvPicPr>
                  </pic:nvPicPr>
                  <pic:blipFill>
                    <a:blip r:embed="rId114"/>
                    <a:stretch>
                      <a:fillRect/>
                    </a:stretch>
                  </pic:blipFill>
                  <pic:spPr bwMode="auto">
                    <a:xfrm>
                      <a:off x="0" y="0"/>
                      <a:ext cx="5334000" cy="3418727"/>
                    </a:xfrm>
                    <a:prstGeom prst="rect">
                      <a:avLst/>
                    </a:prstGeom>
                    <a:noFill/>
                    <a:ln w="9525">
                      <a:noFill/>
                      <a:headEnd/>
                      <a:tailEnd/>
                    </a:ln>
                  </pic:spPr>
                </pic:pic>
              </a:graphicData>
            </a:graphic>
          </wp:inline>
        </w:drawing>
      </w:r>
    </w:p>
    <w:p>
      <w:pPr>
        <w:pStyle w:val="ImageCaption"/>
      </w:pPr>
      <w:r>
        <w:t xml:space="preserve">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w:t>
      </w:r>
    </w:p>
    <w:bookmarkEnd w:id="117"/>
    <w:bookmarkStart w:id="118" w:name="the-trigeneration-value-stack"/>
    <w:p>
      <w:pPr>
        <w:pStyle w:val="Heading2"/>
      </w:pPr>
      <w:r>
        <w:t xml:space="preserve">8.6 The Trigeneration Value Stack</w:t>
      </w:r>
    </w:p>
    <w:p>
      <w:pPr>
        <w:pStyle w:val="FirstParagraph"/>
      </w:pPr>
      <w:r>
        <w:rPr>
          <w:bCs/>
          <w:b/>
        </w:rPr>
        <w:t xml:space="preserve">At scale on concentrated feed, HCSP stops being a treatment plant with a power bill and becomes a waste-fired utility whose energy outputs can rival the water output in value — but only if a buyer for the cooling stream exists.</w:t>
      </w:r>
      <w:r>
        <w:t xml:space="preserve"> </w:t>
      </w:r>
      <w:r>
        <w:t xml:space="preserve">The arithmetic runs from a single measured constant: oxidation releases ~13.88 kJ per gram of COD destroyed [^V2D2-66^]. A 1,000 m³/day plant on 100 g/L COD feed releases ~16.1 MW_th of reaction heat; after covering its own preheating at a realistic 70–85% heat-integration efficiency,</w:t>
      </w:r>
      <w:r>
        <w:t xml:space="preserve"> </w:t>
      </w:r>
      <w:r>
        <w:rPr>
          <w:bCs/>
          <w:b/>
        </w:rPr>
        <w:t xml:space="preserve">6.4–11.2 MW_th is exportable surplus</w:t>
      </w:r>
      <w:r>
        <w:t xml:space="preserve"> </w:t>
      </w:r>
      <w:r>
        <w:t xml:space="preserve">[^V2D2-E1^]. That threshold behavior is experimentally corroborated: energy self-sufficiency has been validated at COD above 60 g/L [^V2D2-69^], and the Cádiz pilot recovered 71% of feed chemical energy at 1 t/h on oily waste [^V2D2-71^]. How that surplus is monetized determines whether trigeneration is a rounding error or a doubling of project revenue.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Use of 1 MWh_th of surplus heat</w:t>
            </w:r>
          </w:p>
        </w:tc>
        <w:tc>
          <w:tcPr/>
          <w:p>
            <w:pPr>
              <w:pStyle w:val="Compact"/>
              <w:jc w:val="left"/>
            </w:pPr>
            <w:r>
              <w:t xml:space="preserve">Conversion</w:t>
            </w:r>
          </w:p>
        </w:tc>
        <w:tc>
          <w:tcPr/>
          <w:p>
            <w:pPr>
              <w:pStyle w:val="Compact"/>
              <w:jc w:val="left"/>
            </w:pPr>
            <w:r>
              <w:t xml:space="preserve">Value per MWh_th</w:t>
            </w:r>
          </w:p>
        </w:tc>
        <w:tc>
          <w:tcPr/>
          <w:p>
            <w:pPr>
              <w:pStyle w:val="Compact"/>
              <w:jc w:val="left"/>
            </w:pPr>
            <w:r>
              <w:t xml:space="preserve">Constraint</w:t>
            </w:r>
          </w:p>
        </w:tc>
      </w:tr>
      <w:tr>
        <w:tc>
          <w:tcPr/>
          <w:p>
            <w:pPr>
              <w:pStyle w:val="Compact"/>
              <w:jc w:val="left"/>
            </w:pPr>
            <w:r>
              <w:t xml:space="preserve">Steam turbine power (15–20% efficiency)</w:t>
            </w:r>
          </w:p>
        </w:tc>
        <w:tc>
          <w:tcPr/>
          <w:p>
            <w:pPr>
              <w:pStyle w:val="Compact"/>
              <w:jc w:val="left"/>
            </w:pPr>
            <w:r>
              <w:t xml:space="preserve">0.15–0.20 MWh_e</w:t>
            </w:r>
          </w:p>
        </w:tc>
        <w:tc>
          <w:tcPr/>
          <w:p>
            <w:pPr>
              <w:pStyle w:val="Compact"/>
              <w:jc w:val="left"/>
            </w:pPr>
            <w:r>
              <w:rPr>
                <w:bCs/>
                <w:b/>
              </w:rPr>
              <w:t xml:space="preserve">$15–20</w:t>
            </w:r>
          </w:p>
        </w:tc>
        <w:tc>
          <w:tcPr/>
          <w:p>
            <w:pPr>
              <w:pStyle w:val="Compact"/>
              <w:jc w:val="left"/>
            </w:pPr>
            <w:r>
              <w:t xml:space="preserve">Grid export or on-site displacement at ~$0.10/kWh</w:t>
            </w:r>
          </w:p>
        </w:tc>
      </w:tr>
      <w:tr>
        <w:tc>
          <w:tcPr/>
          <w:p>
            <w:pPr>
              <w:pStyle w:val="Compact"/>
              <w:jc w:val="left"/>
            </w:pPr>
            <w:r>
              <w:t xml:space="preserve">Absorption cooling (single-effect NH₃-H₂O, COP 0.6) displacing an electric chiller</w:t>
            </w:r>
          </w:p>
        </w:tc>
        <w:tc>
          <w:tcPr/>
          <w:p>
            <w:pPr>
              <w:pStyle w:val="Compact"/>
              <w:jc w:val="left"/>
            </w:pPr>
            <w:r>
              <w:t xml:space="preserve">0.6 MWh_c avoids ~0.10 MWh_e</w:t>
            </w:r>
          </w:p>
        </w:tc>
        <w:tc>
          <w:tcPr/>
          <w:p>
            <w:pPr>
              <w:pStyle w:val="Compact"/>
              <w:jc w:val="left"/>
            </w:pPr>
            <w:r>
              <w:rPr>
                <w:bCs/>
                <w:b/>
              </w:rPr>
              <w:t xml:space="preserve">~$10</w:t>
            </w:r>
          </w:p>
        </w:tc>
        <w:tc>
          <w:tcPr/>
          <w:p>
            <w:pPr>
              <w:pStyle w:val="Compact"/>
              <w:jc w:val="left"/>
            </w:pPr>
            <w:r>
              <w:t xml:space="preserve">Avoided-electricity value only; cooling island $2.8–5.4M installed at 1,400–1,650 RT [^V2D2-25^]</w:t>
            </w:r>
          </w:p>
        </w:tc>
      </w:tr>
      <w:tr>
        <w:tc>
          <w:tcPr/>
          <w:p>
            <w:pPr>
              <w:pStyle w:val="Compact"/>
              <w:jc w:val="left"/>
            </w:pPr>
            <w:r>
              <w:t xml:space="preserve">Cooling sold as district chilled water ($50–80/MWh_c tariff)</w:t>
            </w:r>
          </w:p>
        </w:tc>
        <w:tc>
          <w:tcPr/>
          <w:p>
            <w:pPr>
              <w:pStyle w:val="Compact"/>
              <w:jc w:val="left"/>
            </w:pPr>
            <w:r>
              <w:t xml:space="preserve">0.6 MWh_c</w:t>
            </w:r>
          </w:p>
        </w:tc>
        <w:tc>
          <w:tcPr/>
          <w:p>
            <w:pPr>
              <w:pStyle w:val="Compact"/>
              <w:jc w:val="left"/>
            </w:pPr>
            <w:r>
              <w:rPr>
                <w:bCs/>
                <w:b/>
              </w:rPr>
              <w:t xml:space="preserve">$30–48</w:t>
            </w:r>
          </w:p>
        </w:tc>
        <w:tc>
          <w:tcPr/>
          <w:p>
            <w:pPr>
              <w:pStyle w:val="Compact"/>
              <w:jc w:val="left"/>
            </w:pPr>
            <w:r>
              <w:t xml:space="preserve">Only where a cooling network or anchor tenant exists [^V2D2-42^]</w:t>
            </w:r>
          </w:p>
        </w:tc>
      </w:tr>
      <w:tr>
        <w:tc>
          <w:tcPr/>
          <w:p>
            <w:pPr>
              <w:pStyle w:val="Compact"/>
              <w:jc w:val="left"/>
            </w:pPr>
            <w:r>
              <w:t xml:space="preserve">District / process heat sales</w:t>
            </w:r>
          </w:p>
        </w:tc>
        <w:tc>
          <w:tcPr/>
          <w:p>
            <w:pPr>
              <w:pStyle w:val="Compact"/>
              <w:jc w:val="left"/>
            </w:pPr>
            <w:r>
              <w:t xml:space="preserve">~0.9 MWh delivered</w:t>
            </w:r>
          </w:p>
        </w:tc>
        <w:tc>
          <w:tcPr/>
          <w:p>
            <w:pPr>
              <w:pStyle w:val="Compact"/>
              <w:jc w:val="left"/>
            </w:pPr>
            <w:r>
              <w:rPr>
                <w:bCs/>
                <w:b/>
              </w:rPr>
              <w:t xml:space="preserve">$10–30</w:t>
            </w:r>
          </w:p>
        </w:tc>
        <w:tc>
          <w:tcPr/>
          <w:p>
            <w:pPr>
              <w:pStyle w:val="Compact"/>
              <w:jc w:val="left"/>
            </w:pPr>
            <w:r>
              <w:t xml:space="preserve">Climate- and customer-dependent [^V2D2-42^]</w:t>
            </w:r>
          </w:p>
        </w:tc>
      </w:tr>
    </w:tbl>
    <w:p>
      <w:pPr>
        <w:pStyle w:val="BodyText"/>
      </w:pPr>
      <w:r>
        <w:rPr>
          <w:bCs/>
          <w:b/>
        </w:rPr>
        <w:t xml:space="preserve">Interpretation.</w:t>
      </w:r>
      <w:r>
        <w:t xml:space="preserve"> </w:t>
      </w:r>
      <w:r>
        <w:t xml:space="preserve">The hierarchy inverts the intuitive pitch:</w:t>
      </w:r>
      <w:r>
        <w:t xml:space="preserve"> </w:t>
      </w:r>
      <w:r>
        <w:rPr>
          <w:iCs/>
          <w:i/>
        </w:rPr>
        <w:t xml:space="preserve">power first, cooling only where it is sold, not merely displaced</w:t>
      </w:r>
      <w:r>
        <w:t xml:space="preserve">. Monetized as avoided electricity, absorption cooling earns roughly half to two-thirds of what the same heat earns as power ($10 vs. $15–20/MWh_th); it outranks power only when chilled water is sold at district-cooling tariffs ($30–48/MWh_th) — which is why the entire trigeneration thesis reduces to one commercial question:</w:t>
      </w:r>
      <w:r>
        <w:t xml:space="preserve"> </w:t>
      </w:r>
      <w:r>
        <w:rPr>
          <w:bCs/>
          <w:b/>
        </w:rPr>
        <w:t xml:space="preserve">is there an anchor chilled-water buyer within piping distance?</w:t>
      </w:r>
      <w:r>
        <w:t xml:space="preserve"> </w:t>
      </w:r>
      <w:r>
        <w:t xml:space="preserve">For the base-case plant (1,000 m³/day, 100 g/L COD, 80% heat integration), the optimal cascade is a small extraction turbine taking the high-temperature slice to ~1.4 MW_e, with the remaining ~8.2 MW_th at 150–180 °C driving an ammonia-water absorption chiller to ~4.9 MW_c (~1,400 refrigeration tons) — a combined energy stack worth</w:t>
      </w:r>
      <w:r>
        <w:t xml:space="preserve"> </w:t>
      </w:r>
      <w:r>
        <w:rPr>
          <w:bCs/>
          <w:b/>
        </w:rPr>
        <w:t xml:space="preserve">≈$1.15M/yr</w:t>
      </w:r>
      <w:r>
        <w:t xml:space="preserve"> </w:t>
      </w:r>
      <w:r>
        <w:t xml:space="preserve">($1.12M power + avoided cooling electricity) on top of water sales, and up to ~$2.1–4.8M/yr for the full water-plus-power-plus-cooling portfolio where chilled water commands district tariffs [^V2D2-E1^][^V2D2-E2^]. Four limits keep the stack honest. Intermittency: SCWO output follows waste deliveries, while data halls and cold stores need 24/7 cooling with N+1 backup — absorption cooling is a displacement layer, never the sole supply, and full electric backup must be built regardless. Feed variability: industrial COD swings 3–10× between production cycles [^V2D2-68^], and at exactly 60 g/L the plant is autothermal with near-zero exportable heat — reactor and chiller must be sized for troughs, not averages. Performance: field-measured ammonia-absorption COPs of 0.28–0.45 sit below the 0.6 design figure, cutting cooling value by ~25% [^V2D2-23^]. Siting and scale: ammonia charges above 10,000 lb trigger OSHA process-safety management (a poor fit beside occupied data halls, where lithium-bromide machines are the better-matched technology anyway), and commercial absorption economics need ≥500 refrigeration tons of continuous load [^V2D2-3^]. The strategic consequence for market development: trigeneration does not create a standalone data-center vertical — data centers generate almost no high-strength organic waste of their own [^V2D3-7^] — but it makes an AI campus, cold-storage complex, or distillery fermentation plant the ideal</w:t>
      </w:r>
      <w:r>
        <w:t xml:space="preserve"> </w:t>
      </w:r>
      <w:r>
        <w:rPr>
          <w:iCs/>
          <w:i/>
        </w:rPr>
        <w:t xml:space="preserve">offtaker neighbor</w:t>
      </w:r>
      <w:r>
        <w:t xml:space="preserve"> </w:t>
      </w:r>
      <w:r>
        <w:t xml:space="preserve">for a 100–1,000 m³/day HCSP unit fed by biosolids, vinasse, or F&amp;B organics. Site selection for scale-up projects should therefore screen for co-located cooling demand with the same rigor as feedstock supply; a 1,000 m³/day plant with a chilled-water anchor tenant is worth up to twice the same plant selling water alone [^V2D2-E2^].</w:t>
      </w:r>
    </w:p>
    <w:bookmarkEnd w:id="118"/>
    <w:bookmarkEnd w:id="119"/>
    <w:bookmarkStart w:id="125" w:name="industry-customized-hcsp-variants"/>
    <w:p>
      <w:pPr>
        <w:pStyle w:val="Heading1"/>
      </w:pPr>
      <w:r>
        <w:t xml:space="preserve">9. Industry-Customized HCSP Variants</w:t>
      </w:r>
    </w:p>
    <w:p>
      <w:pPr>
        <w:pStyle w:val="FirstParagraph"/>
      </w:pPr>
      <w:r>
        <w:t xml:space="preserve">One HCSP skid cannot serve fifteen industries — and it does not need to. The analysis across Chapters 2–8 converges on a portfolio logic: a single self-fueling supercritical water oxidation (SCWO) core — built around the manufacturer’s on-demand hydrogen fuel loop — differentiated by pre-module, wetted-part metallurgy, business model, and scale class, addresses nine commercially distinct verticals. The winning product strategy is not a universal machine but a</w:t>
      </w:r>
      <w:r>
        <w:t xml:space="preserve"> </w:t>
      </w:r>
      <w:r>
        <w:rPr>
          <w:bCs/>
          <w:b/>
        </w:rPr>
        <w:t xml:space="preserve">variant family built on one reactor platform</w:t>
      </w:r>
      <w:r>
        <w:t xml:space="preserve">, sequenced so that the highest-pain, highest-price streams fund the platform’s maturation for the rest.</w:t>
      </w:r>
    </w:p>
    <w:bookmarkStart w:id="121" w:name="variant-design-principles"/>
    <w:p>
      <w:pPr>
        <w:pStyle w:val="Heading2"/>
      </w:pPr>
      <w:r>
        <w:t xml:space="preserve">9.1 Variant Design Principles</w:t>
      </w:r>
    </w:p>
    <w:p>
      <w:pPr>
        <w:pStyle w:val="FirstParagraph"/>
      </w:pPr>
      <w:r>
        <w:t xml:space="preserve">Two engineering decisions govern every variant. Get these right and the variants are configuration exercises; get them wrong and each variant re-fights the same losing battle.</w:t>
      </w:r>
    </w:p>
    <w:bookmarkStart w:id="120" w:name="X3f22ac7d63d8d5469012ba29a17b62772d0c4d7"/>
    <w:p>
      <w:pPr>
        <w:pStyle w:val="Heading3"/>
      </w:pPr>
      <w:r>
        <w:t xml:space="preserve">9.1.1 The self-fueling hydrogen fuel loop and concentrate-and-destroy trains</w:t>
      </w:r>
    </w:p>
    <w:p>
      <w:pPr>
        <w:pStyle w:val="FirstParagraph"/>
      </w:pPr>
      <w:r>
        <w:rPr>
          <w:bCs/>
          <w:b/>
        </w:rPr>
        <w:t xml:space="preserve">Energy architecture per the manufacturer’s design.</w:t>
      </w:r>
      <w:r>
        <w:t xml:space="preserve"> </w:t>
      </w:r>
      <w:r>
        <w:t xml:space="preserve">The on-demand hydrogen fuel loop — electrolysis of a portion of the process water into hydrogen and oxygen, then clean sealed combustion delivering high-intensity heat to the supercritical reactor — makes the system self-fueling once started, with negligible net energy cost in operation, no bulk fuel storage, and no combustion air permit; the primary emission is water vapor.[^S4^] A working prototype has been produced, and the variants below differ in capacity, pre-modules, and energy-export options, not in the core fuel loop.[^S4^] The contrast with incumbent SCWO designs is a selling point, not a caveat: Aquarden’s SuperOx</w:t>
      </w:r>
      <w:r>
        <w:t xml:space="preserve"> </w:t>
      </w:r>
      <w:r>
        <w:t xml:space="preserve">“</w:t>
      </w:r>
      <w:r>
        <w:t xml:space="preserve">operates solely on electricity</w:t>
      </w:r>
      <w:r>
        <w:t xml:space="preserve">”</w:t>
      </w:r>
      <w:r>
        <w:t xml:space="preserve"> </w:t>
      </w:r>
      <w:r>
        <w:t xml:space="preserve">and 374Water heats electrically in practice, so both carry a continuous purchased-energy operating line that the HCSP’s fuel loop is designed to remove.[^D11-11^] The implication for variant design: reserve engineering budget for the problems that actually differentiate — corrosion zoning, salt management, feed handling — because the energy architecture is common across the family.</w:t>
      </w:r>
    </w:p>
    <w:p>
      <w:pPr>
        <w:pStyle w:val="BodyText"/>
      </w:pPr>
      <w:r>
        <w:rPr>
          <w:bCs/>
          <w:b/>
        </w:rPr>
        <w:t xml:space="preserve">Pair every variant with a concentration pre-module.</w:t>
      </w:r>
      <w:r>
        <w:t xml:space="preserve"> </w:t>
      </w:r>
      <w:r>
        <w:t xml:space="preserve">Feed concentration is the single variable that predicts SCWO economics: autothermal operation requires chemical oxygen demand (COD) of roughly 120–150 g/L, and below that threshold every liter processed consumes grid power to heat water.[^D2-36^] Most dilute streams are therefore not SCWO feeds at all — they are feeds for a separator. Foam fractionation concentrates landfill-leachate PFAS into 0.5–2% of feed volume at roughly $0.03–0.04 per gallon treated; reverse osmosis (RO) and ion exchange (IX) do the same in fabs and drinking-water plants.[^D4-23^][^D4-24^] The market is already converging on this</w:t>
      </w:r>
      <w:r>
        <w:t xml:space="preserve"> </w:t>
      </w:r>
      <w:r>
        <w:t xml:space="preserve">“</w:t>
      </w:r>
      <w:r>
        <w:t xml:space="preserve">concentrate-and-destroy</w:t>
      </w:r>
      <w:r>
        <w:t xml:space="preserve">”</w:t>
      </w:r>
      <w:r>
        <w:t xml:space="preserve"> </w:t>
      </w:r>
      <w:r>
        <w:t xml:space="preserve">architecture: separate the contaminant with cheap physics, then destroy the concentrate with SCWO.[^D4-35^] Each HCSP variant below is specified as a train — pre-module plus destruction skid — because that is how the unit economics close.</w:t>
      </w:r>
    </w:p>
    <w:p>
      <w:pPr>
        <w:pStyle w:val="BodyText"/>
      </w:pPr>
      <w:r>
        <w:rPr>
          <w:bCs/>
          <w:b/>
        </w:rPr>
        <w:t xml:space="preserve">Scale is the third design axis.</w:t>
      </w:r>
      <w:r>
        <w:t xml:space="preserve"> </w:t>
      </w:r>
      <w:r>
        <w:t xml:space="preserve">Under the expanded scope of this report, the platform is now offered in four scale classes — 10, 100, 1,000, and 1,900 m³/day — and every variant in §9.2 is assigned to one (§9.3). The assignment is economic, not aspirational: dilute-feed variants buy energy (roughly 130–250 kWh/m³ at 10 m³/day), while concentrated-feed variants at 1,000 m³/day can sell it — the LANL integrated SCWDO design crosses from +18 kWh/m³ imported to −60 kWh/m³ exported as feed strength rises toward ~150 g/L COD.[^V2D1-3^][^V2D1-4^] Chapter 11 develops the full scale ladder and its cost model; this chapter uses it only to keep each variant’s energy claims honest.</w:t>
      </w:r>
    </w:p>
    <w:bookmarkEnd w:id="120"/>
    <w:bookmarkEnd w:id="121"/>
    <w:bookmarkStart w:id="123" w:name="the-variant-portfolio"/>
    <w:p>
      <w:pPr>
        <w:pStyle w:val="Heading2"/>
      </w:pPr>
      <w:r>
        <w:t xml:space="preserve">9.2 The Variant Portfolio</w:t>
      </w:r>
    </w:p>
    <w:bookmarkStart w:id="122" w:name="nine-variants-on-one-platform"/>
    <w:p>
      <w:pPr>
        <w:pStyle w:val="Heading3"/>
      </w:pPr>
      <w:r>
        <w:t xml:space="preserve">9.2.1 Nine variants on one platform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Variant</w:t>
            </w:r>
          </w:p>
        </w:tc>
        <w:tc>
          <w:tcPr/>
          <w:p>
            <w:pPr>
              <w:pStyle w:val="Compact"/>
              <w:jc w:val="left"/>
            </w:pPr>
            <w:r>
              <w:t xml:space="preserve">Target stream</w:t>
            </w:r>
          </w:p>
        </w:tc>
        <w:tc>
          <w:tcPr/>
          <w:p>
            <w:pPr>
              <w:pStyle w:val="Compact"/>
              <w:jc w:val="left"/>
            </w:pPr>
            <w:r>
              <w:t xml:space="preserve">Pre-module</w:t>
            </w:r>
          </w:p>
        </w:tc>
        <w:tc>
          <w:tcPr/>
          <w:p>
            <w:pPr>
              <w:pStyle w:val="Compact"/>
              <w:jc w:val="left"/>
            </w:pPr>
            <w:r>
              <w:t xml:space="preserve">Materials / wetted parts</w:t>
            </w:r>
          </w:p>
        </w:tc>
        <w:tc>
          <w:tcPr/>
          <w:p>
            <w:pPr>
              <w:pStyle w:val="Compact"/>
              <w:jc w:val="left"/>
            </w:pPr>
            <w:r>
              <w:t xml:space="preserve">Business model</w:t>
            </w:r>
          </w:p>
        </w:tc>
        <w:tc>
          <w:tcPr/>
          <w:p>
            <w:pPr>
              <w:pStyle w:val="Compact"/>
              <w:jc w:val="left"/>
            </w:pPr>
            <w:r>
              <w:t xml:space="preserve">First customers</w:t>
            </w:r>
          </w:p>
        </w:tc>
      </w:tr>
      <w:tr>
        <w:tc>
          <w:tcPr/>
          <w:p>
            <w:pPr>
              <w:pStyle w:val="Compact"/>
              <w:jc w:val="left"/>
            </w:pPr>
            <w:r>
              <w:rPr>
                <w:bCs/>
                <w:b/>
              </w:rPr>
              <w:t xml:space="preserve">HCSP-PFAS</w:t>
            </w:r>
          </w:p>
        </w:tc>
        <w:tc>
          <w:tcPr/>
          <w:p>
            <w:pPr>
              <w:pStyle w:val="Compact"/>
              <w:jc w:val="left"/>
            </w:pPr>
            <w:r>
              <w:t xml:space="preserve">Landfill-leachate foam fractionate; aqueous film-forming foam (AFFF) stockpiles; IX regenerant brines</w:t>
            </w:r>
          </w:p>
        </w:tc>
        <w:tc>
          <w:tcPr/>
          <w:p>
            <w:pPr>
              <w:pStyle w:val="Compact"/>
              <w:jc w:val="left"/>
            </w:pPr>
            <w:r>
              <w:t xml:space="preserve">Foam fractionation (0.5–2% of feed volume, up to 100,000× concentration) [^D4-24^]</w:t>
            </w:r>
          </w:p>
        </w:tc>
        <w:tc>
          <w:tcPr/>
          <w:p>
            <w:pPr>
              <w:pStyle w:val="Compact"/>
              <w:jc w:val="left"/>
            </w:pPr>
            <w:r>
              <w:t xml:space="preserve">Inconel 625 core; HF-tolerant trims (fluoride mineralization product)</w:t>
            </w:r>
          </w:p>
        </w:tc>
        <w:tc>
          <w:tcPr/>
          <w:p>
            <w:pPr>
              <w:pStyle w:val="Compact"/>
              <w:jc w:val="left"/>
            </w:pPr>
            <w:r>
              <w:t xml:space="preserve">Mobile waste-destruction-as-a-service (WDaaS), $2–5/gal</w:t>
            </w:r>
          </w:p>
        </w:tc>
        <w:tc>
          <w:tcPr/>
          <w:p>
            <w:pPr>
              <w:pStyle w:val="Compact"/>
              <w:jc w:val="left"/>
            </w:pPr>
            <w:r>
              <w:t xml:space="preserve">Landfill operators, DoD installations, airport foam take-back programs</w:t>
            </w:r>
          </w:p>
        </w:tc>
      </w:tr>
      <w:tr>
        <w:tc>
          <w:tcPr/>
          <w:p>
            <w:pPr>
              <w:pStyle w:val="Compact"/>
              <w:jc w:val="left"/>
            </w:pPr>
            <w:r>
              <w:rPr>
                <w:bCs/>
                <w:b/>
              </w:rPr>
              <w:t xml:space="preserve">HCSP-RX</w:t>
            </w:r>
          </w:p>
        </w:tc>
        <w:tc>
          <w:tcPr/>
          <w:p>
            <w:pPr>
              <w:pStyle w:val="Compact"/>
              <w:jc w:val="left"/>
            </w:pPr>
            <w:r>
              <w:t xml:space="preserve">Pharma/biotech mother liquors, solvent-recovery bottoms, API-bearing concentrates (COD 2,000–80,000 mg/L) [^D2-1^]</w:t>
            </w:r>
          </w:p>
        </w:tc>
        <w:tc>
          <w:tcPr/>
          <w:p>
            <w:pPr>
              <w:pStyle w:val="Compact"/>
              <w:jc w:val="left"/>
            </w:pPr>
            <w:r>
              <w:t xml:space="preserve">Solvent segregation / distillation bottoms take-off; none required for strong streams</w:t>
            </w:r>
          </w:p>
        </w:tc>
        <w:tc>
          <w:tcPr/>
          <w:p>
            <w:pPr>
              <w:pStyle w:val="Compact"/>
              <w:jc w:val="left"/>
            </w:pPr>
            <w:r>
              <w:t xml:space="preserve">Inconel 625; elevated corrosion allowance for variable pH 2–12 feeds</w:t>
            </w:r>
          </w:p>
        </w:tc>
        <w:tc>
          <w:tcPr/>
          <w:p>
            <w:pPr>
              <w:pStyle w:val="Compact"/>
              <w:jc w:val="left"/>
            </w:pPr>
            <w:r>
              <w:t xml:space="preserve">Equipment sale + validation documentation package (GMP-adjacent, waste-side only)</w:t>
            </w:r>
          </w:p>
        </w:tc>
        <w:tc>
          <w:tcPr/>
          <w:p>
            <w:pPr>
              <w:pStyle w:val="Compact"/>
              <w:jc w:val="left"/>
            </w:pPr>
            <w:r>
              <w:t xml:space="preserve">API plants in Indian pharma clusters; US/EU pharma under AMR discharge standards</w:t>
            </w:r>
          </w:p>
        </w:tc>
      </w:tr>
      <w:tr>
        <w:tc>
          <w:tcPr/>
          <w:p>
            <w:pPr>
              <w:pStyle w:val="Compact"/>
              <w:jc w:val="left"/>
            </w:pPr>
            <w:r>
              <w:rPr>
                <w:bCs/>
                <w:b/>
              </w:rPr>
              <w:t xml:space="preserve">HCSP-FAB</w:t>
            </w:r>
          </w:p>
        </w:tc>
        <w:tc>
          <w:tcPr/>
          <w:p>
            <w:pPr>
              <w:pStyle w:val="Compact"/>
              <w:jc w:val="left"/>
            </w:pPr>
            <w:r>
              <w:t xml:space="preserve">Fab side-streams: spent solvents/strippers, tetramethylammonium hydroxide (TMAH) developer concentrate, RO/NF PFAS concentrate</w:t>
            </w:r>
          </w:p>
        </w:tc>
        <w:tc>
          <w:tcPr/>
          <w:p>
            <w:pPr>
              <w:pStyle w:val="Compact"/>
              <w:jc w:val="left"/>
            </w:pPr>
            <w:r>
              <w:t xml:space="preserve">Fab-native stream segregation; RO/IX concentrate take-off at point of origin [^D3-7^]</w:t>
            </w:r>
          </w:p>
        </w:tc>
        <w:tc>
          <w:tcPr/>
          <w:p>
            <w:pPr>
              <w:pStyle w:val="Compact"/>
              <w:jc w:val="left"/>
            </w:pPr>
            <w:r>
              <w:t xml:space="preserve">Titanium-lined or HF-rated reactor; CaF₂-compatible fluoride polish</w:t>
            </w:r>
          </w:p>
        </w:tc>
        <w:tc>
          <w:tcPr/>
          <w:p>
            <w:pPr>
              <w:pStyle w:val="Compact"/>
              <w:jc w:val="left"/>
            </w:pPr>
            <w:r>
              <w:t xml:space="preserve">Point-of-origin service contract, priced at 30–70% of off-site disposal cost</w:t>
            </w:r>
          </w:p>
        </w:tc>
        <w:tc>
          <w:tcPr/>
          <w:p>
            <w:pPr>
              <w:pStyle w:val="Compact"/>
              <w:jc w:val="left"/>
            </w:pPr>
            <w:r>
              <w:t xml:space="preserve">New Arizona/Texas/New York fabs under PFAS permit scrutiny [^D3-21^]</w:t>
            </w:r>
          </w:p>
        </w:tc>
      </w:tr>
      <w:tr>
        <w:tc>
          <w:tcPr/>
          <w:p>
            <w:pPr>
              <w:pStyle w:val="Compact"/>
              <w:jc w:val="left"/>
            </w:pPr>
            <w:r>
              <w:rPr>
                <w:bCs/>
                <w:b/>
              </w:rPr>
              <w:t xml:space="preserve">HCSP-HAZ</w:t>
            </w:r>
          </w:p>
        </w:tc>
        <w:tc>
          <w:tcPr/>
          <w:p>
            <w:pPr>
              <w:pStyle w:val="Compact"/>
              <w:jc w:val="left"/>
            </w:pPr>
            <w:r>
              <w:t xml:space="preserve">Halogenated solvents, pesticide/POPs waste, chlorinated chemical concentrates</w:t>
            </w:r>
          </w:p>
        </w:tc>
        <w:tc>
          <w:tcPr/>
          <w:p>
            <w:pPr>
              <w:pStyle w:val="Compact"/>
              <w:jc w:val="left"/>
            </w:pPr>
            <w:r>
              <w:t xml:space="preserve">None (streams arrive concentrated); chloride pre-screening</w:t>
            </w:r>
          </w:p>
        </w:tc>
        <w:tc>
          <w:tcPr/>
          <w:p>
            <w:pPr>
              <w:pStyle w:val="Compact"/>
              <w:jc w:val="left"/>
            </w:pPr>
            <w:r>
              <w:t xml:space="preserve">Inconel 625 at 600 °C (0.6 mm/yr demonstrated on pesticide wastewater) [^D5-54^]; titanium liner option per GA PERSES precedent [^D11-10^]</w:t>
            </w:r>
          </w:p>
        </w:tc>
        <w:tc>
          <w:tcPr/>
          <w:p>
            <w:pPr>
              <w:pStyle w:val="Compact"/>
              <w:jc w:val="left"/>
            </w:pPr>
            <w:r>
              <w:t xml:space="preserve">Premium destruction service, displacing $15–50+/gal special incineration [^D2-9^]</w:t>
            </w:r>
          </w:p>
        </w:tc>
        <w:tc>
          <w:tcPr/>
          <w:p>
            <w:pPr>
              <w:pStyle w:val="Compact"/>
              <w:jc w:val="left"/>
            </w:pPr>
            <w:r>
              <w:t xml:space="preserve">Agrochemical complexes, POPs stockpile programs, specialty chemical parks</w:t>
            </w:r>
          </w:p>
        </w:tc>
      </w:tr>
      <w:tr>
        <w:tc>
          <w:tcPr/>
          <w:p>
            <w:pPr>
              <w:pStyle w:val="Compact"/>
              <w:jc w:val="left"/>
            </w:pPr>
            <w:r>
              <w:rPr>
                <w:bCs/>
                <w:b/>
              </w:rPr>
              <w:t xml:space="preserve">HCSP-BIO</w:t>
            </w:r>
          </w:p>
        </w:tc>
        <w:tc>
          <w:tcPr/>
          <w:p>
            <w:pPr>
              <w:pStyle w:val="Compact"/>
              <w:jc w:val="left"/>
            </w:pPr>
            <w:r>
              <w:t xml:space="preserve">Dewatered municipal biosolids/sludge cake (≥20–25% solids)</w:t>
            </w:r>
          </w:p>
        </w:tc>
        <w:tc>
          <w:tcPr/>
          <w:p>
            <w:pPr>
              <w:pStyle w:val="Compact"/>
              <w:jc w:val="left"/>
            </w:pPr>
            <w:r>
              <w:t xml:space="preserve">Screw-press/belt dewatering to autothermal cake</w:t>
            </w:r>
          </w:p>
        </w:tc>
        <w:tc>
          <w:tcPr/>
          <w:p>
            <w:pPr>
              <w:pStyle w:val="Compact"/>
              <w:jc w:val="left"/>
            </w:pPr>
            <w:r>
              <w:t xml:space="preserve">Standard Inconel core; grit/salt management package</w:t>
            </w:r>
          </w:p>
        </w:tc>
        <w:tc>
          <w:tcPr/>
          <w:p>
            <w:pPr>
              <w:pStyle w:val="Compact"/>
              <w:jc w:val="left"/>
            </w:pPr>
            <w:r>
              <w:t xml:space="preserve">Regional WDaaS hub + mobile units; grant-funded demonstrations</w:t>
            </w:r>
          </w:p>
        </w:tc>
        <w:tc>
          <w:tcPr/>
          <w:p>
            <w:pPr>
              <w:pStyle w:val="Compact"/>
              <w:jc w:val="left"/>
            </w:pPr>
            <w:r>
              <w:t xml:space="preserve">Crisis-priced Northeast/Florida/California utilities; PFAS-ban states</w:t>
            </w:r>
          </w:p>
        </w:tc>
      </w:tr>
      <w:tr>
        <w:tc>
          <w:tcPr/>
          <w:p>
            <w:pPr>
              <w:pStyle w:val="Compact"/>
              <w:jc w:val="left"/>
            </w:pPr>
            <w:r>
              <w:rPr>
                <w:bCs/>
                <w:b/>
              </w:rPr>
              <w:t xml:space="preserve">HCSP-AG</w:t>
            </w:r>
          </w:p>
        </w:tc>
        <w:tc>
          <w:tcPr/>
          <w:p>
            <w:pPr>
              <w:pStyle w:val="Compact"/>
              <w:jc w:val="left"/>
            </w:pPr>
            <w:r>
              <w:t xml:space="preserve">CEA/cannabis nutrient runoff, RO reject, pesticide/CIP side streams</w:t>
            </w:r>
          </w:p>
        </w:tc>
        <w:tc>
          <w:tcPr/>
          <w:p>
            <w:pPr>
              <w:pStyle w:val="Compact"/>
              <w:jc w:val="left"/>
            </w:pPr>
            <w:r>
              <w:t xml:space="preserve">None economical at 1,000–1,500 mg/L TDS [^D1-15^]; destruction reserved for pesticide-bearing side streams</w:t>
            </w:r>
          </w:p>
        </w:tc>
        <w:tc>
          <w:tcPr/>
          <w:p>
            <w:pPr>
              <w:pStyle w:val="Compact"/>
              <w:jc w:val="left"/>
            </w:pPr>
            <w:r>
              <w:t xml:space="preserve">Standard core</w:t>
            </w:r>
          </w:p>
        </w:tc>
        <w:tc>
          <w:tcPr/>
          <w:p>
            <w:pPr>
              <w:pStyle w:val="Compact"/>
              <w:jc w:val="left"/>
            </w:pPr>
            <w:r>
              <w:t xml:space="preserve">Service/lease only (customer base cannot fund CapEx)</w:t>
            </w:r>
          </w:p>
        </w:tc>
        <w:tc>
          <w:tcPr/>
          <w:p>
            <w:pPr>
              <w:pStyle w:val="Compact"/>
              <w:jc w:val="left"/>
            </w:pPr>
            <w:r>
              <w:t xml:space="preserve">California cannabis cultivators in sewer-restricted jurisdictions [^D1-29^]</w:t>
            </w:r>
          </w:p>
        </w:tc>
      </w:tr>
      <w:tr>
        <w:tc>
          <w:tcPr/>
          <w:p>
            <w:pPr>
              <w:pStyle w:val="Compact"/>
              <w:jc w:val="left"/>
            </w:pPr>
            <w:r>
              <w:rPr>
                <w:bCs/>
                <w:b/>
              </w:rPr>
              <w:t xml:space="preserve">HCSP-VIN</w:t>
            </w:r>
          </w:p>
        </w:tc>
        <w:tc>
          <w:tcPr/>
          <w:p>
            <w:pPr>
              <w:pStyle w:val="Compact"/>
              <w:jc w:val="left"/>
            </w:pPr>
            <w:r>
              <w:t xml:space="preserve">Distillery/ethanol vinasse (spent wash), COD 100,000–160,000 mg/L; grain-ethanol thin stillage [^V2D3-22^]</w:t>
            </w:r>
          </w:p>
        </w:tc>
        <w:tc>
          <w:tcPr/>
          <w:p>
            <w:pPr>
              <w:pStyle w:val="Compact"/>
              <w:jc w:val="left"/>
            </w:pPr>
            <w:r>
              <w:t xml:space="preserve">None — the stream arrives autothermal; optional potash-from-solids recovery per the CPCB-accepted route [^V2D3-28^]</w:t>
            </w:r>
          </w:p>
        </w:tc>
        <w:tc>
          <w:tcPr/>
          <w:p>
            <w:pPr>
              <w:pStyle w:val="Compact"/>
              <w:jc w:val="left"/>
            </w:pPr>
            <w:r>
              <w:t xml:space="preserve">Standard Inconel 625 core; high-salt (potash-bearing) solids-management package</w:t>
            </w:r>
          </w:p>
        </w:tc>
        <w:tc>
          <w:tcPr/>
          <w:p>
            <w:pPr>
              <w:pStyle w:val="Compact"/>
              <w:jc w:val="left"/>
            </w:pPr>
            <w:r>
              <w:t xml:space="preserve">Zero-liquid-discharge (ZLD) compliance retrofit displacing multi-effect evaporation plus boiler incineration; steam/power export credited against the distillery utility bill</w:t>
            </w:r>
          </w:p>
        </w:tc>
        <w:tc>
          <w:tcPr/>
          <w:p>
            <w:pPr>
              <w:pStyle w:val="Compact"/>
              <w:jc w:val="left"/>
            </w:pPr>
            <w:r>
              <w:t xml:space="preserve">Indian molasses distilleries under the CPCB ZLD mandate (~270 plants, closure risk for non-compliance) [^V2D3-28^][^V2D3-29^]; Brazilian cane mills as second market</w:t>
            </w:r>
          </w:p>
        </w:tc>
      </w:tr>
      <w:tr>
        <w:tc>
          <w:tcPr/>
          <w:p>
            <w:pPr>
              <w:pStyle w:val="Compact"/>
              <w:jc w:val="left"/>
            </w:pPr>
            <w:r>
              <w:rPr>
                <w:bCs/>
                <w:b/>
              </w:rPr>
              <w:t xml:space="preserve">HCSP-TRI</w:t>
            </w:r>
          </w:p>
        </w:tc>
        <w:tc>
          <w:tcPr/>
          <w:p>
            <w:pPr>
              <w:pStyle w:val="Compact"/>
              <w:jc w:val="left"/>
            </w:pPr>
            <w:r>
              <w:t xml:space="preserve">Any concentrated feed (≥80–100 g/L COD) at hosts with continuous cooling demand: food &amp; beverage (F&amp;B) plants, cold storage, district cooling</w:t>
            </w:r>
          </w:p>
        </w:tc>
        <w:tc>
          <w:tcPr/>
          <w:p>
            <w:pPr>
              <w:pStyle w:val="Compact"/>
              <w:jc w:val="left"/>
            </w:pPr>
            <w:r>
              <w:t xml:space="preserve">Host-dependent concentration train (per HCSP-PFAS/HCSP-BIO); feed blending to hold the autothermal threshold</w:t>
            </w:r>
          </w:p>
        </w:tc>
        <w:tc>
          <w:tcPr/>
          <w:p>
            <w:pPr>
              <w:pStyle w:val="Compact"/>
              <w:jc w:val="left"/>
            </w:pPr>
            <w:r>
              <w:t xml:space="preserve">Standard core + back-pressure/extraction steam turbine; lithium-bromide (LiBr) absorption chiller for ≥5 °C chilled water (COP 0.7–0.8) or ammonia-water unit for sub-zero duty (COP 0.4–0.6) [^V2D2-2^][^V2D2-5^]</w:t>
            </w:r>
          </w:p>
        </w:tc>
        <w:tc>
          <w:tcPr/>
          <w:p>
            <w:pPr>
              <w:pStyle w:val="Compact"/>
              <w:jc w:val="left"/>
            </w:pPr>
            <w:r>
              <w:t xml:space="preserve">Energy-services contract: distilled water + power + chilled water sold to an anchor load; viable only at ≥500 refrigeration tons (RT) of continuous cooling load [^V2D2-3^]</w:t>
            </w:r>
          </w:p>
        </w:tc>
        <w:tc>
          <w:tcPr/>
          <w:p>
            <w:pPr>
              <w:pStyle w:val="Compact"/>
              <w:jc w:val="left"/>
            </w:pPr>
            <w:r>
              <w:t xml:space="preserve">F&amp;B and cold-storage complexes; district-cooling networks with metered chilled-water tariffs</w:t>
            </w:r>
          </w:p>
        </w:tc>
      </w:tr>
      <w:tr>
        <w:tc>
          <w:tcPr/>
          <w:p>
            <w:pPr>
              <w:pStyle w:val="Compact"/>
              <w:jc w:val="left"/>
            </w:pPr>
            <w:r>
              <w:rPr>
                <w:bCs/>
                <w:b/>
              </w:rPr>
              <w:t xml:space="preserve">HCSP-ISL</w:t>
            </w:r>
          </w:p>
        </w:tc>
        <w:tc>
          <w:tcPr/>
          <w:p>
            <w:pPr>
              <w:pStyle w:val="Compact"/>
              <w:jc w:val="left"/>
            </w:pPr>
            <w:r>
              <w:t xml:space="preserve">Island/remote sewage sludge blended with grease-trap waste (fats, oils, grease — FOG) and food waste; remote-camp oily wastes</w:t>
            </w:r>
          </w:p>
        </w:tc>
        <w:tc>
          <w:tcPr/>
          <w:p>
            <w:pPr>
              <w:pStyle w:val="Compact"/>
              <w:jc w:val="left"/>
            </w:pPr>
            <w:r>
              <w:t xml:space="preserve">Dewatering plus FOG/food-waste blending to reach autothermal feed strength</w:t>
            </w:r>
          </w:p>
        </w:tc>
        <w:tc>
          <w:tcPr/>
          <w:p>
            <w:pPr>
              <w:pStyle w:val="Compact"/>
              <w:jc w:val="left"/>
            </w:pPr>
            <w:r>
              <w:t xml:space="preserve">Standard core, marinized enclosure; diesel-genset integration</w:t>
            </w:r>
          </w:p>
        </w:tc>
        <w:tc>
          <w:tcPr/>
          <w:p>
            <w:pPr>
              <w:pStyle w:val="Compact"/>
              <w:jc w:val="left"/>
            </w:pPr>
            <w:r>
              <w:t xml:space="preserve">Build-own-operate micro-utility selling water, power, and cooling at diesel/desalination parity ($0.30–0.52/kWh; $2–5/m³) [^V2D3-36^][^V2D3-37^][^V2D3-38^]; daily-cycled storage option</w:t>
            </w:r>
          </w:p>
        </w:tc>
        <w:tc>
          <w:tcPr/>
          <w:p>
            <w:pPr>
              <w:pStyle w:val="Compact"/>
              <w:jc w:val="left"/>
            </w:pPr>
            <w:r>
              <w:t xml:space="preserve">Caribbean/USVI/Hawaii resort clusters and coastal municipalities; remote mine camps paying $0.30–1.10/kWh for diesel power [^V2D3-32^]</w:t>
            </w:r>
          </w:p>
        </w:tc>
      </w:tr>
    </w:tbl>
    <w:p>
      <w:pPr>
        <w:pStyle w:val="BodyText"/>
      </w:pPr>
      <w:r>
        <w:rPr>
          <w:bCs/>
          <w:b/>
        </w:rPr>
        <w:t xml:space="preserve">Reading the portfolio.</w:t>
      </w:r>
      <w:r>
        <w:t xml:space="preserve"> </w:t>
      </w:r>
      <w:r>
        <w:t xml:space="preserve">Three patterns in this table should drive commercial planning. First, the pre-module column does the economic heavy lifting: four of the six original variants — and two of the three energy-linked additions (HCSP-TRI, HCSP-ISL) — depend on an upstream separator or blending step to turn an uneconomic dilute stream into a viable concentrate, which means HCSP’s real product is the train, not the skid — partnership or integration with foam-fractionation and RO/IX suppliers is a launch prerequisite, not an option. Second, the materials column is the technical moat: chloride corrosion at 16–26 mm/yr killed earlier SCWO vendors, and the two variants facing halogenated or fluoride-rich feeds (HCSP-HAZ, HCSP-FAB) inherit that risk directly; the Inconel 625 and titanium-liner evidence base is therefore a gating asset for the halogen-facing share of the portfolio.[^D5-40^] Third, the business-model column splits the family in two: high-credit industrial buyers (pharma, fabs) can purchase equipment, while municipalities, landfills, and growers require service contracts — consistent with 374Water’s own pivot to waste-destruction services at $3–5M/yr per hub site and $0.5–1.5M/yr per mobile unit.[^D11-6^][^D11-15^] Portfolio sequencing should follow the service revenue, not the equipment order book.</w:t>
      </w:r>
    </w:p>
    <w:p>
      <w:pPr>
        <w:pStyle w:val="BodyText"/>
      </w:pPr>
      <w:r>
        <w:rPr>
          <w:bCs/>
          <w:b/>
        </w:rPr>
        <w:t xml:space="preserve">HCSP-PFAS — the flagship.</w:t>
      </w:r>
      <w:r>
        <w:t xml:space="preserve"> </w:t>
      </w:r>
      <w:r>
        <w:t xml:space="preserve">This variant carries the strongest evidence and the widest price umbrella. SCWO now holds the best third-party PFAS destruction record of any emerging technology: 99.9993% destruction-and-removal efficiency on AFFF in a US Army Corps of Engineers ERDC evaluation, with fluorinated stack emissions of 0.0005 g/hr against 16.6 g/hr of PFAS fed, and &gt;99.9% destruction across four concentrated liquid streams in the DIU/ESTCP demonstration.[^D4-33^][^D4-34^] Against incumbents priced at $5–10/gal for incineration and up to $28/gal for hazardous landfilling of AFFF, a mobile foam-fractionation-plus-HCSP train can price destruction at $2–5/gal and still clear healthy margins.[^D4-25^][^D4-26^] Demand anchors are concrete: state take-back programs have already collected over 1.67 million pounds of AFFF, and DoD faces a &gt;$9.3B PFAS cleanup liability.[^D4-27^][^D4-29^] Differentiation versus the generic skid: the foam-fractionation pre-module and a mobile, trailer-mounted configuration sized for campaign work.</w:t>
      </w:r>
    </w:p>
    <w:p>
      <w:pPr>
        <w:pStyle w:val="BodyText"/>
      </w:pPr>
      <w:r>
        <w:rPr>
          <w:bCs/>
          <w:b/>
        </w:rPr>
        <w:t xml:space="preserve">HCSP-RX — the compliance sale.</w:t>
      </w:r>
      <w:r>
        <w:t xml:space="preserve"> </w:t>
      </w:r>
      <w:r>
        <w:t xml:space="preserve">Pharma wastewater is naturally concentrated (COD 2,000–80,000 mg/L), so this variant needs no pre-module and runs closest to autothermal operation — the cheapest operating point in the portfolio.[^D2-1^] The purchase trigger is regulation, not cost: WHO’s 2024 guidance on antibiotic-manufacturing waste, the AMR Industry Alliance’s BSI-certified standard, and the EU’s Extended Producer Responsibility rule — which forces pharma to fund ≥80% of municipal micropollutant treatment — all monetize at-source destruction.[^D2-19^][^D2-21^][^D2-24^] The differentiator is documentation, not hardware: the variant ships with installation/operational/performance qualification (IQ/OQ/PQ) packages so the skid sits on the waste side of a GMP site without triggering process revalidation.[^D2-4^] At $1.50–2.00/gal avoided solvent disposal — and far more for API-active streams — payback is fast where regulators are already forcing the issue.[^D2-8^]</w:t>
      </w:r>
    </w:p>
    <w:p>
      <w:pPr>
        <w:pStyle w:val="BodyText"/>
      </w:pPr>
      <w:r>
        <w:rPr>
          <w:bCs/>
          <w:b/>
        </w:rPr>
        <w:t xml:space="preserve">HCSP-FAB — the precision niche.</w:t>
      </w:r>
      <w:r>
        <w:t xml:space="preserve"> </w:t>
      </w:r>
      <w:r>
        <w:t xml:space="preserve">Fabs will never buy HCSP for bulk effluent — their 12,000–23,000 m³/day flows are treated conventionally at $0.5–2/m³ — but they pay $500–5,000/m³ to dispose of the concentrated 0.1–1% of side-streams that carry essentially all of their PFAS and hazardous liability: spent solvents ($1.80–4.00/gal), CMP slurry waste ($0.50–2/L), and RO/IX PFAS concentrates.[^D3-7^][^D3-45^][^D3-47^] Field-validated SCWO destruction of PFAS concentrates runs $1.63–4.88/gal, leaving room to price 30–70% below off-site disposal.[^D3-42^] The Micron Clay permit fight and Taiwan’s enforceable PFAS discharge limits make this a timing-sensitive sale into new US fabs.[^D3-21^] Differentiation: HF-tolerant wetted parts and point-of-origin integration with the fab’s segregated drain architecture.</w:t>
      </w:r>
    </w:p>
    <w:p>
      <w:pPr>
        <w:pStyle w:val="BodyText"/>
      </w:pPr>
      <w:r>
        <w:rPr>
          <w:bCs/>
          <w:b/>
        </w:rPr>
        <w:t xml:space="preserve">HCSP-HAZ — the metallurgy premium.</w:t>
      </w:r>
      <w:r>
        <w:t xml:space="preserve"> </w:t>
      </w:r>
      <w:r>
        <w:t xml:space="preserve">Halogenated streams are where SCWO’s corrosion problem and its pricing power both peak. The engineering answer is proven: Inconel 625 corroded at only ~0.6 mm/yr on real pesticide wastewater at 600 °C/25 MPa with 99.42% COD removal, versus catastrophic 16–26 mm/yr rates for lesser alloys in acidic chloride media.[^D5-54^][^D5-40^] General Atomics’ titanium-lined PERSES reactor — with more than 6 million gallons destroyed over a decade — validates the liner architecture for the harshest feeds.[^D11-10^] This variant justifies premium pricing because the alternative — special incineration of halogenated or reactive waste — costs $15–50+/gal.[^D2-9^] Differentiation is almost entirely the materials package plus chloride pre-screening of accepted feeds.</w:t>
      </w:r>
    </w:p>
    <w:p>
      <w:pPr>
        <w:pStyle w:val="BodyText"/>
      </w:pPr>
      <w:r>
        <w:rPr>
          <w:bCs/>
          <w:b/>
        </w:rPr>
        <w:t xml:space="preserve">HCSP-BIO — the crisis-region service.</w:t>
      </w:r>
      <w:r>
        <w:t xml:space="preserve"> </w:t>
      </w:r>
      <w:r>
        <w:t xml:space="preserve">Biosolids is a volume market only where regulation has broken the cheap outlets: Maine’s land-application ban doubled disposal costs and pushed ~90% of state sludge toward a single landfill nearing capacity, and national tipping fees jumped 10% in 2024 alone to $62.28/ton, within a US biosolids management bill estimated at $4.8B/yr.[^S1^][^S2^][^S3^] The variant requires a dewatering pre-module (≥20–25% cake solids to approach autothermal operation, consistent with the ~2 wt% organics threshold) and is sold strictly as a service: 374Water’s Orlando WDS hub targeting $3–5M/yr and its $600,000 St. Cloud mobile deployment define the commercial template HCSP-BIO should undercut.[^D11-18^][^D11-6^][^D11-15^] Vendor projections of ~$50/wet ton at 30 t/day scale mark the long-run cost target.[^D11-17^]</w:t>
      </w:r>
    </w:p>
    <w:p>
      <w:pPr>
        <w:pStyle w:val="BodyText"/>
      </w:pPr>
      <w:r>
        <w:rPr>
          <w:bCs/>
          <w:b/>
        </w:rPr>
        <w:t xml:space="preserve">HCSP-AG — the reference design, not the revenue engine.</w:t>
      </w:r>
      <w:r>
        <w:t xml:space="preserve"> </w:t>
      </w:r>
      <w:r>
        <w:t xml:space="preserve">Controlled-environment agriculture earns a place in the portfolio for strategic, not economic, reasons: the runoff stream is 99.8% water at 1,000–1,500 mg/L TDS — two orders of magnitude below autothermal threshold — and the customer base is in financial distress, with 14 CEA bankruptcies in 2025 alone.[^D1-15^][^D1-40^] What CEA uniquely offers is regulatory positioning: the California State Water Board has explicitly stated it will update its cannabis cultivation policy for any technology demonstrating full treatment with zero waste — an open invitation to build a permitted reference site.[^D1-29^] HCSP-AG is therefore a service-only, lease-based variant deployed selectively into sewer-restricted jurisdictions and pesticide/CIP side streams, sized to a serviceable niche of ~200–600 US facilities; its output is reference credibility for Chapters 8 and 10’s economics and sequencing, not standalone profit.[^D1-19^]</w:t>
      </w:r>
    </w:p>
    <w:p>
      <w:pPr>
        <w:pStyle w:val="BodyText"/>
      </w:pPr>
      <w:r>
        <w:rPr>
          <w:bCs/>
          <w:b/>
        </w:rPr>
        <w:t xml:space="preserve">HCSP-VIN — the compliance retrofit with an energy dividend.</w:t>
      </w:r>
      <w:r>
        <w:t xml:space="preserve"> </w:t>
      </w:r>
      <w:r>
        <w:t xml:space="preserve">Distillery vinasse is the rare feed that matches SCWO’s physics exactly: molasses spent wash at COD 100,000–160,000 mg/L sits squarely above the autothermal threshold, so the reactor runs fuel-free and exports steam.[^V2D3-22^] The sale is forced, not persuaded: India’s Central Pollution Control Board (CPCB) mandates zero liquid discharge for molasses distilleries, with closure orders for non-compliance, across an installed base of ~270 molasses distilleries expanding under the E20 blending program.[^V2D3-28^][^V2D3-29^] Critically, the mandated incumbent — biomethanation, multi-effect evaporation, then boiler incineration — is already a thermal process that</w:t>
      </w:r>
      <w:r>
        <w:t xml:space="preserve"> </w:t>
      </w:r>
      <w:r>
        <w:rPr>
          <w:iCs/>
          <w:i/>
        </w:rPr>
        <w:t xml:space="preserve">consumes</w:t>
      </w:r>
      <w:r>
        <w:t xml:space="preserve"> </w:t>
      </w:r>
      <w:r>
        <w:t xml:space="preserve">energy; HCSP-VIN replaces it while</w:t>
      </w:r>
      <w:r>
        <w:t xml:space="preserve"> </w:t>
      </w:r>
      <w:r>
        <w:rPr>
          <w:iCs/>
          <w:i/>
        </w:rPr>
        <w:t xml:space="preserve">generating</w:t>
      </w:r>
      <w:r>
        <w:t xml:space="preserve"> </w:t>
      </w:r>
      <w:r>
        <w:t xml:space="preserve">steam and power, and reference ZLD trains price at roughly $3–3.6M for a 60 KLPD distillery, calibrating a $2–5B serviceable market.[^V2D3-30^] First wedge: Indian molasses ZLD retrofits; Brazil’s cane sector is the second market.</w:t>
      </w:r>
    </w:p>
    <w:p>
      <w:pPr>
        <w:pStyle w:val="BodyText"/>
      </w:pPr>
      <w:r>
        <w:rPr>
          <w:bCs/>
          <w:b/>
        </w:rPr>
        <w:t xml:space="preserve">HCSP-TRI — selling the heat cascade, not just the destruction.</w:t>
      </w:r>
      <w:r>
        <w:t xml:space="preserve"> </w:t>
      </w:r>
      <w:r>
        <w:t xml:space="preserve">This variant adds no new feed; it adds an offtake architecture. A back-pressure or extraction turbine monetizes the high-temperature slice of surplus heat as power (heat-to-power is worth roughly $15–20/MWh-th), and an absorption chiller takes the low-temperature tail as cooling (~$10/MWh-th avoided electricity) — LiBr machines (COP 0.7–0.8 on 70–120 °C hot water) for chilled-water duty, ammonia-water units (COP 0.4–0.6) where sub-zero cold storage or ice is the product.[^V2D2-2^][^V2D2-5^] Two gates discipline deployment: feed strength must hold ≥80–100 g/L COD for meaningful export, and the host must carry a continuous cooling load of at least 500 RT, the viability threshold industrial designers cite.[^V2D2-3^] Absorption cooling is a displacement layer, not firm capacity — electric chiller backup remains mandatory — so the contract structure (water + power + chilled water to one creditworthy anchor) matters more than the machinery.</w:t>
      </w:r>
    </w:p>
    <w:p>
      <w:pPr>
        <w:pStyle w:val="BodyText"/>
      </w:pPr>
      <w:r>
        <w:rPr>
          <w:bCs/>
          <w:b/>
        </w:rPr>
        <w:t xml:space="preserve">HCSP-ISL — three outputs at global-maximum prices.</w:t>
      </w:r>
      <w:r>
        <w:t xml:space="preserve"> </w:t>
      </w:r>
      <w:r>
        <w:t xml:space="preserve">Islands and remote camps are the only vertical where all three HCSP outputs are priced near world highs simultaneously: diesel power at $0.30–0.52/kWh in Hawaii and the US Virgin Islands, small-scale desalinated water at $2–5/m³, and no cheap sludge outlet at all.[^V2D3-36^][^V2D3-37^][^V2D3-38^] The catch is feed: island sewage sludge is dilute, so the pre-module blends in FOG and food waste — streams islands also cannot dispose of — to reach autothermal strength. The variant ships with a daily-cycled storage option and diesel-offset integration, making it the portfolio’s natural nickel-iron battery candidate (§9.3, Chapter 13). First customers are Caribbean, USVI, and Hawaiian resort clusters and coastal municipalities; remote mine camps paying up to $1.10/kWh extend the niche.[^V2D3-32^]</w:t>
      </w:r>
    </w:p>
    <w:bookmarkEnd w:id="122"/>
    <w:bookmarkEnd w:id="123"/>
    <w:bookmarkStart w:id="124" w:name="scale-and-power-architecture-per-variant"/>
    <w:p>
      <w:pPr>
        <w:pStyle w:val="Heading2"/>
      </w:pPr>
      <w:r>
        <w:t xml:space="preserve">9.3 Scale and Power Architecture per Variant</w:t>
      </w:r>
    </w:p>
    <w:p>
      <w:pPr>
        <w:pStyle w:val="FirstParagraph"/>
      </w:pPr>
      <w:r>
        <w:t xml:space="preserve">Scale class and backup-power architecture are variant attributes, not afterthoughts: a mobile PFAS campaign unit and an island micro-utility fail in different ways, and their power electronics should reflect that from the first bill of materials.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Scale class</w:t>
            </w:r>
          </w:p>
        </w:tc>
        <w:tc>
          <w:tcPr/>
          <w:p>
            <w:pPr>
              <w:pStyle w:val="Compact"/>
              <w:jc w:val="left"/>
            </w:pPr>
            <w:r>
              <w:t xml:space="preserve">Primary variants</w:t>
            </w:r>
          </w:p>
        </w:tc>
        <w:tc>
          <w:tcPr/>
          <w:p>
            <w:pPr>
              <w:pStyle w:val="Compact"/>
              <w:jc w:val="left"/>
            </w:pPr>
            <w:r>
              <w:t xml:space="preserve">Energy posture (feed-dependent)</w:t>
            </w:r>
          </w:p>
        </w:tc>
        <w:tc>
          <w:tcPr/>
          <w:p>
            <w:pPr>
              <w:pStyle w:val="Compact"/>
              <w:jc w:val="left"/>
            </w:pPr>
            <w:r>
              <w:t xml:space="preserve">Backup-power architecture</w:t>
            </w:r>
          </w:p>
        </w:tc>
      </w:tr>
      <w:tr>
        <w:tc>
          <w:tcPr/>
          <w:p>
            <w:pPr>
              <w:pStyle w:val="Compact"/>
              <w:jc w:val="left"/>
            </w:pPr>
            <w:r>
              <w:rPr>
                <w:bCs/>
                <w:b/>
              </w:rPr>
              <w:t xml:space="preserve">10 m³/day</w:t>
            </w:r>
          </w:p>
        </w:tc>
        <w:tc>
          <w:tcPr/>
          <w:p>
            <w:pPr>
              <w:pStyle w:val="Compact"/>
              <w:jc w:val="left"/>
            </w:pPr>
            <w:r>
              <w:t xml:space="preserve">HCSP-PFAS (mobile campaigns), HCSP-AG</w:t>
            </w:r>
          </w:p>
        </w:tc>
        <w:tc>
          <w:tcPr/>
          <w:p>
            <w:pPr>
              <w:pStyle w:val="Compact"/>
              <w:jc w:val="left"/>
            </w:pPr>
            <w:r>
              <w:t xml:space="preserve">Net energy import, ~130–250 kWh/m³ on dilute concentrates</w:t>
            </w:r>
          </w:p>
        </w:tc>
        <w:tc>
          <w:tcPr/>
          <w:p>
            <w:pPr>
              <w:pStyle w:val="Compact"/>
              <w:jc w:val="left"/>
            </w:pPr>
            <w:r>
              <w:t xml:space="preserve">LFP UPS / black-start string (default) [^V2D4-20^]</w:t>
            </w:r>
          </w:p>
        </w:tc>
      </w:tr>
      <w:tr>
        <w:tc>
          <w:tcPr/>
          <w:p>
            <w:pPr>
              <w:pStyle w:val="Compact"/>
              <w:jc w:val="left"/>
            </w:pPr>
            <w:r>
              <w:rPr>
                <w:bCs/>
                <w:b/>
              </w:rPr>
              <w:t xml:space="preserve">100 m³/day</w:t>
            </w:r>
          </w:p>
        </w:tc>
        <w:tc>
          <w:tcPr/>
          <w:p>
            <w:pPr>
              <w:pStyle w:val="Compact"/>
              <w:jc w:val="left"/>
            </w:pPr>
            <w:r>
              <w:t xml:space="preserve">HCSP-RX, HCSP-FAB, HCSP-HAZ, HCSP-BIO hubs, HCSP-ISL</w:t>
            </w:r>
          </w:p>
        </w:tc>
        <w:tc>
          <w:tcPr/>
          <w:p>
            <w:pPr>
              <w:pStyle w:val="Compact"/>
              <w:jc w:val="left"/>
            </w:pPr>
            <w:r>
              <w:t xml:space="preserve">Net-zero to modest export as feed approaches 60–100 g/L COD [^V2D1-25^][^V2D1-26^]</w:t>
            </w:r>
          </w:p>
        </w:tc>
        <w:tc>
          <w:tcPr/>
          <w:p>
            <w:pPr>
              <w:pStyle w:val="Compact"/>
              <w:jc w:val="left"/>
            </w:pPr>
            <w:r>
              <w:t xml:space="preserve">LFP default; nickel-iron (NiFe) bank where daily-cycled off-grid (HCSP-ISL) [^V2D4-1^][^V2D4-19^]</w:t>
            </w:r>
          </w:p>
        </w:tc>
      </w:tr>
      <w:tr>
        <w:tc>
          <w:tcPr/>
          <w:p>
            <w:pPr>
              <w:pStyle w:val="Compact"/>
              <w:jc w:val="left"/>
            </w:pPr>
            <w:r>
              <w:rPr>
                <w:bCs/>
                <w:b/>
              </w:rPr>
              <w:t xml:space="preserve">1,000 m³/day</w:t>
            </w:r>
          </w:p>
        </w:tc>
        <w:tc>
          <w:tcPr/>
          <w:p>
            <w:pPr>
              <w:pStyle w:val="Compact"/>
              <w:jc w:val="left"/>
            </w:pPr>
            <w:r>
              <w:t xml:space="preserve">HCSP-VIN, HCSP-TRI</w:t>
            </w:r>
          </w:p>
        </w:tc>
        <w:tc>
          <w:tcPr/>
          <w:p>
            <w:pPr>
              <w:pStyle w:val="Compact"/>
              <w:jc w:val="left"/>
            </w:pPr>
            <w:r>
              <w:t xml:space="preserve">Autothermal; single-digit-MW thermal surplus at ≥100 g/L COD supports ~1–2 MW-electric plus 1,400+ RT of absorption cooling [^V2D2-66^][^V2D2-69^]</w:t>
            </w:r>
          </w:p>
        </w:tc>
        <w:tc>
          <w:tcPr/>
          <w:p>
            <w:pPr>
              <w:pStyle w:val="Compact"/>
              <w:jc w:val="left"/>
            </w:pPr>
            <w:r>
              <w:t xml:space="preserve">Grid-interactive export plus LFP ride-through</w:t>
            </w:r>
          </w:p>
        </w:tc>
      </w:tr>
      <w:tr>
        <w:tc>
          <w:tcPr/>
          <w:p>
            <w:pPr>
              <w:pStyle w:val="Compact"/>
              <w:jc w:val="left"/>
            </w:pPr>
            <w:r>
              <w:rPr>
                <w:bCs/>
                <w:b/>
              </w:rPr>
              <w:t xml:space="preserve">1,900 m³/day</w:t>
            </w:r>
            <w:r>
              <w:t xml:space="preserve"> </w:t>
            </w:r>
            <w:r>
              <w:t xml:space="preserve">(500,000 gpd)</w:t>
            </w:r>
          </w:p>
        </w:tc>
        <w:tc>
          <w:tcPr/>
          <w:p>
            <w:pPr>
              <w:pStyle w:val="Compact"/>
              <w:jc w:val="left"/>
            </w:pPr>
            <w:r>
              <w:t xml:space="preserve">Regional aggregation: multi-train HCSP-BIO / HCSP-VIN</w:t>
            </w:r>
          </w:p>
        </w:tc>
        <w:tc>
          <w:tcPr/>
          <w:p>
            <w:pPr>
              <w:pStyle w:val="Compact"/>
              <w:jc w:val="left"/>
            </w:pPr>
            <w:r>
              <w:t xml:space="preserve">Export at scale; the LANL 5,000 m³/day design bounds integrated costs at $2–3/m³ with power recovery [^V2D1-3^]</w:t>
            </w:r>
          </w:p>
        </w:tc>
        <w:tc>
          <w:tcPr/>
          <w:p>
            <w:pPr>
              <w:pStyle w:val="Compact"/>
              <w:jc w:val="left"/>
            </w:pPr>
            <w:r>
              <w:t xml:space="preserve">Grid-interactive; LFP ride-through</w:t>
            </w:r>
          </w:p>
        </w:tc>
      </w:tr>
    </w:tbl>
    <w:p>
      <w:pPr>
        <w:pStyle w:val="BodyText"/>
      </w:pPr>
      <w:r>
        <w:rPr>
          <w:bCs/>
          <w:b/>
        </w:rPr>
        <w:t xml:space="preserve">How to read this map.</w:t>
      </w:r>
      <w:r>
        <w:t xml:space="preserve"> </w:t>
      </w:r>
      <w:r>
        <w:t xml:space="preserve">The ladder is chosen by feed and site, not ambition: dilute-feed variants stay small because scale cannot fix a sub-autothermal stream, while concentrated-feed variants (HCSP-VIN, HCSP-TRI) only realize their steam-and-cooling dividend at 1,000 m³/day, where heat-integration effectiveness reaches the 90–94% band that industrial heat exchangers support.[^V2D1-3^] The backup-power decision follows the duty, not the chemistry brand: lithium iron phosphate (LFP) is the default everywhere because standby duty punishes NiFe’s 20–30%-per-month self-discharge and rewards LFP’s ~90–95% round-trip efficiency and 2025 stationary-pack prices near $70–81/kWh; NiFe earns its place only where the battery cycles daily off-grid — the HCSP-ISL case — where its 100% depth-of-discharge tolerance and 30-plus-year life outweigh 5–10× higher capital cost.[^V2D4-1^][^V2D4-5^][^V2D4-19^][^V2D4-20^] Chapter 13 carries the full decision rule and bank sizing; the design consequence here is that HCSP-ISL is engineered around its battery, while every other variant treats backup as a standard LFP line item.</w:t>
      </w:r>
    </w:p>
    <w:bookmarkEnd w:id="124"/>
    <w:bookmarkEnd w:id="125"/>
    <w:bookmarkStart w:id="132" w:name="X0d4e83d928dad70c2cddca85159403392d003f9"/>
    <w:p>
      <w:pPr>
        <w:pStyle w:val="Heading1"/>
      </w:pPr>
      <w:r>
        <w:t xml:space="preserve">10. Go-to-Market Sequencing, Risks, and Recommendations</w:t>
      </w:r>
    </w:p>
    <w:p>
      <w:pPr>
        <w:pStyle w:val="FirstParagraph"/>
      </w:pPr>
      <w:r>
        <w:rPr>
          <w:bCs/>
          <w:b/>
        </w:rPr>
        <w:t xml:space="preserve">The strategic conclusion of this report is that HCSP’s commercial plan should be built as a disciplined narrowing, not a broad launch — and the v2 expansion of scope sharpens that verdict rather than changing it.</w:t>
      </w:r>
      <w:r>
        <w:t xml:space="preserve"> </w:t>
      </w:r>
      <w:r>
        <w:t xml:space="preserve">Widening the product from one 10 m³/day module to a scale ladder (10 → 100 → 1,000 → 1,900 m³/day) with power export and trigeneration, and widening the screen from ten industries to fifteen, leaves the organizing principle intact: value concentrates where streams approach autothermal operation, where incumbent disposal is destruction-priced, and where regulation forces a decision on a date certain. The v2 league table (PFAS 8.0, defense 7.5, textile-India 7.4, then a seven-market band at 6.0–7.0 against a consolidated serviceable market of roughly $9–20B/yr) adds one genuinely new top-tier wedge — distillery vinasse — and one honest demotion — produced water, real only as a regional hub niche [^V2D3-22^][^V2D5-E1^]. The four-phase sequence below follows that gradient; the risk register and eight recommendations convert it into an executable, evidence-anchored plan.</w:t>
      </w:r>
    </w:p>
    <w:bookmarkStart w:id="127" w:name="sequencing"/>
    <w:p>
      <w:pPr>
        <w:pStyle w:val="Heading2"/>
      </w:pPr>
      <w:r>
        <w:t xml:space="preserve">10.1 Sequencing</w:t>
      </w:r>
    </w:p>
    <w:bookmarkStart w:id="126" w:name="X5e9c0f4424beadc8f7e75f68e472b7f13504461"/>
    <w:p>
      <w:pPr>
        <w:pStyle w:val="Heading3"/>
      </w:pPr>
      <w:r>
        <w:t xml:space="preserve">10.1.1 Four phases, ordered by payback speed and evidence maturity</w:t>
      </w:r>
    </w:p>
    <w:p>
      <w:pPr>
        <w:pStyle w:val="FirstParagraph"/>
      </w:pPr>
      <w:r>
        <w:rPr>
          <w:bCs/>
          <w:b/>
        </w:rPr>
        <w:t xml:space="preserve">Phase 1 (months 0–18): PFAS/leachate destruction service demonstrations plus DoD ESTCP/DIU entry.</w:t>
      </w:r>
      <w:r>
        <w:t xml:space="preserve"> </w:t>
      </w:r>
      <w:r>
        <w:t xml:space="preserve">This remains the only vertical where every gating variable is already favorable: it tops the league table at 8.0/10, supercritical water oxidation (SCWO) holds the strongest third-party destruction evidence of any emerging PFAS technology — 99.9993% destruction-and-removal efficiency on aqueous film-forming foam (AFFF) in a US Army Corps of Engineers ERDC evaluation and &gt;99.9% across four concentrated streams in the Defense Innovation Unit (DIU)/Environmental Security Technology Certification Program (ESTCP) demonstration [^D4-33^][^D4-34^] — and the price umbrella is the widest in the portfolio, with incineration at $5–10/gal, hazardous landfilling of AFFF documented at $28/gal, and incumbent SCWO service at $6–10/gal against a viable HCSP service price of $2–5/gal [^D4-25^][^D4-26^][^D4-47^][^D4-24^]. The Department of Defense (DoD) is simultaneously the largest single customer and the most effective de-risking partner: cleanup liability exceeds $9.3 billion across 718 installations, the statutory AFFF transition deadline of October 1, 2026 covers roughly 1,000 facilities with initial funding above $2.1 billion, and DoD has already funded SCWO through SERDP/ESTCP — so an ESTCP/DIU entry buys third-party validation parity with funded competitors at government expense [^D9-1^][^D9-4^][^D9-5^][^D9-8^]. The Phase 1 deliverable is not revenue scale; it is two or three reference campaigns that convert claims into permitted, witnessed destruction data.</w:t>
      </w:r>
    </w:p>
    <w:p>
      <w:pPr>
        <w:pStyle w:val="BodyText"/>
      </w:pPr>
      <w:r>
        <w:rPr>
          <w:bCs/>
          <w:b/>
        </w:rPr>
        <w:t xml:space="preserve">Phase 2 (months 12–36): pharma/hazardous-waste verticals plus the distillery/ethanol India zero-liquid-discharge (ZLD) wedge.</w:t>
      </w:r>
      <w:r>
        <w:t xml:space="preserve"> </w:t>
      </w:r>
      <w:r>
        <w:t xml:space="preserve">Pharma and hazmat (7.0/10 each) remain the revenue engine once Phase 1 references exist: pharma offers concentrated feeds, disposal baselines of $1.50–2.00/gal worth $180,000–$1.2M/yr per site, and dated regulatory triggers, while hazmat offers the fastest paybacks in the analysis — two to eleven months against solvent-disposal pricing of $5–20+/gal, because the roughly 24 permitted US RCRA combustors run at 88–92% utilization with essentially no new capacity in three decades [^D2-8^][^D2-24^][^D5-15^][^D5-6^][^D5-13^]. The v2 addition is distillery vinasse, which earns co-billing in this phase rather than a later one because it is the only new vertical where regulation, feed physics, and energy economics align at once: molasses spent wash runs 100–160 g/L chemical oxygen demand (COD) — autothermal, power-exporting feed — and India’s Central Pollution Control Board (CPCB) forces roughly 270 molasses distilleries into thermal ZLD, with closure orders for non-compliance and land application explicitly disallowed [^V2D3-22^][^V2D3-28^][^V2D3-29^]. HCSP replaces an energy-consuming incumbent (multiple-effect evaporation plus boiler incineration) with an energy-exporting one, making distillery retrofits the natural first customer for the 100 m³/day train and the trigeneration stack — a serviceable market estimated at $2–5B across India and Brazil [^V2D3-29^].</w:t>
      </w:r>
    </w:p>
    <w:p>
      <w:pPr>
        <w:pStyle w:val="BodyText"/>
      </w:pPr>
      <w:r>
        <w:rPr>
          <w:bCs/>
          <w:b/>
        </w:rPr>
        <w:t xml:space="preserve">Phase 3 (months 24–60): scale-up to the 100–1,000 m³/day classes, trigeneration pilots, fab side-streams, and biosolids crisis corridors.</w:t>
      </w:r>
      <w:r>
        <w:t xml:space="preserve"> </w:t>
      </w:r>
      <w:r>
        <w:t xml:space="preserve">Scale-up is where the energy line inverts from allowance to asset: modeled net electricity demand on dilute feeds falls from ~130–250 kWh/m³ at 10 m³/day toward 45–110 kWh/m³ at 1,000 m³/day, and above ~60 g/L COD the plant becomes a net power exporter [^V2D1-3^][^V2D1-4^]. Trigeneration pilots belong where all three outputs price at or near global maximums — islands and resorts (power at $0.30–0.52/kWh, desalination-parity water at $2–5/m³) and food-and-beverage (F&amp;B) cold storage, where ammonia refrigeration is already standard — sized against the ≥500-refrigeration-ton continuous-load threshold and matched to refrigerant: lithium bromide for above-freezing chilled water, ammonia only for sub-zero duty [^V2D3-36^][^V2D3-37^][^V2D3-38^][^V2D2-3^][^V2D2-2^]. Semiconductor fab side-streams (solvents, CMP waste, PFAS concentrates) become timing-sensitive as new US fabs fight PFAS permit battles, and biosolids remains strictly a crisis-corridor service play — Massachusetts disposal averaged $153/wet ton in 2023, projected at $190–250 by 2028 within a $4.8B/yr national bill — following the ban-and-crisis map, not the market-size map [^D3-21^][^D6-14^][^D6-35^][^D6-E2^].</w:t>
      </w:r>
    </w:p>
    <w:p>
      <w:pPr>
        <w:pStyle w:val="BodyText"/>
      </w:pPr>
      <w:r>
        <w:rPr>
          <w:bCs/>
          <w:b/>
        </w:rPr>
        <w:t xml:space="preserve">Phase 4 (months 36+): produced-water hubs in the Marcellus/seismicity niches — at corrected economics — and data-center offtaker partnerships.</w:t>
      </w:r>
      <w:r>
        <w:t xml:space="preserve"> </w:t>
      </w:r>
      <w:r>
        <w:t xml:space="preserve">Produced water re-enters only as a demonstration-gated niche: 50,000–100,000 bbl/day salt-first hubs where disposal durably costs at least $2.5–3/bbl (Marcellus/Utica trucking corridors, seismicity-constrained Delaware Basin pockets), with corrected economics of 1.2–8.5-year paybacks and +3% to +82% ten-year IRR — attractive in the niche, negative at the Permian’s actual $0.55–1.81/bbl pipeline benchmark [^V2D5-5^][^V2D5-18^][^V2D5-E1^][^D8-2^]. Data centers enter not as customers — their on-site waste is inorganic blowdown, a 3.0/10 feed fit — but as creditworthy offtakers of power, cooling, and reclaimed water from HCSP plants sited at adjacent waste generators: the Microsoft Cheyenne Data Plant is the template, and 4–7-year grid interconnection queues plus 30–40% cooling loads make the offtake genuinely scarce [^V2D3-7^][^V2D3-9^][^V2D3-3^][^V2D2-29^]. Entering any Phase 3–4 market before Phase 1–2 references exist inverts the risk curve: these buyers are the most price-sensitive and slowest to procure, and they will demand exactly the operating history the first two phases produce.</w:t>
      </w:r>
    </w:p>
    <w:bookmarkEnd w:id="126"/>
    <w:bookmarkEnd w:id="127"/>
    <w:bookmarkStart w:id="129" w:name="risk-register"/>
    <w:p>
      <w:pPr>
        <w:pStyle w:val="Heading2"/>
      </w:pPr>
      <w:r>
        <w:t xml:space="preserve">10.2 Risk Register</w:t>
      </w:r>
    </w:p>
    <w:bookmarkStart w:id="128" w:name="X2ebd191a751ec5600c01062aecf778032b3cf4c"/>
    <w:p>
      <w:pPr>
        <w:pStyle w:val="Heading3"/>
      </w:pPr>
      <w:r>
        <w:t xml:space="preserve">10.2.1 Eleven risks that govern the investment case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Evidence</w:t>
            </w:r>
          </w:p>
        </w:tc>
      </w:tr>
      <w:tr>
        <w:tc>
          <w:tcPr/>
          <w:p>
            <w:pPr>
              <w:pStyle w:val="Compact"/>
              <w:jc w:val="left"/>
            </w:pPr>
            <w:r>
              <w:t xml:space="preserve">Regulatory rollback slows PFAS demand clock</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Anchor pricing on CERCLA liability and state action (11+ states on AFFF), not federal compliance deadlines; diversify into hazmat/pharma streams with non-PFAS drivers</w:t>
            </w:r>
          </w:p>
        </w:tc>
        <w:tc>
          <w:tcPr/>
          <w:p>
            <w:pPr>
              <w:pStyle w:val="Compact"/>
              <w:jc w:val="left"/>
            </w:pPr>
            <w:r>
              <w:t xml:space="preserve">EBJ cut its 30-yr PFAS market estimate 43%, from $230B (2024) to $132B (2025), explicitly on federal deregulation [^D4-9^]</w:t>
            </w:r>
          </w:p>
        </w:tc>
      </w:tr>
      <w:tr>
        <w:tc>
          <w:tcPr/>
          <w:p>
            <w:pPr>
              <w:pStyle w:val="Compact"/>
              <w:jc w:val="left"/>
            </w:pPr>
            <w:r>
              <w:t xml:space="preserve">EPA guidance lag blocks permits</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Pursue state-level permits and ESTCP/DIU validation; treat the annual guidance update cycle as a dated de-risking trigger</w:t>
            </w:r>
          </w:p>
        </w:tc>
        <w:tc>
          <w:tcPr/>
          <w:p>
            <w:pPr>
              <w:pStyle w:val="Compact"/>
              <w:jc w:val="left"/>
            </w:pPr>
            <w:r>
              <w:t xml:space="preserve">EPA’s April 2026 interim guidance still calls SCWO</w:t>
            </w:r>
            <w:r>
              <w:t xml:space="preserve"> </w:t>
            </w:r>
            <w:r>
              <w:t xml:space="preserve">“</w:t>
            </w:r>
            <w:r>
              <w:t xml:space="preserve">commercially unproven at scale</w:t>
            </w:r>
            <w:r>
              <w:t xml:space="preserve">”</w:t>
            </w:r>
            <w:r>
              <w:t xml:space="preserve"> </w:t>
            </w:r>
            <w:r>
              <w:t xml:space="preserve">while Revive operates a fully permitted commercial system [^D11-36^][^D4-39^][^D4-37^]</w:t>
            </w:r>
          </w:p>
        </w:tc>
      </w:tr>
      <w:tr>
        <w:tc>
          <w:tcPr/>
          <w:p>
            <w:pPr>
              <w:pStyle w:val="Compact"/>
              <w:jc w:val="left"/>
            </w:pPr>
            <w:r>
              <w:t xml:space="preserve">Salt-plugging/corrosion reliability</w:t>
            </w:r>
          </w:p>
        </w:tc>
        <w:tc>
          <w:tcPr/>
          <w:p>
            <w:pPr>
              <w:pStyle w:val="Compact"/>
              <w:jc w:val="left"/>
            </w:pPr>
            <w:r>
              <w:t xml:space="preserve">Medium</w:t>
            </w:r>
          </w:p>
        </w:tc>
        <w:tc>
          <w:tcPr/>
          <w:p>
            <w:pPr>
              <w:pStyle w:val="Compact"/>
              <w:jc w:val="left"/>
            </w:pPr>
            <w:r>
              <w:t xml:space="preserve">Very High (existential)</w:t>
            </w:r>
          </w:p>
        </w:tc>
        <w:tc>
          <w:tcPr/>
          <w:p>
            <w:pPr>
              <w:pStyle w:val="Compact"/>
              <w:jc w:val="left"/>
            </w:pPr>
            <w:r>
              <w:t xml:space="preserve">Inconel 625 core (0.6 mm/yr demonstrated at 600 °C/25 MPa) or titanium-liner architecture; chloride pre-screening of accepted feeds; liner-replacement regime priced into service contracts</w:t>
            </w:r>
          </w:p>
        </w:tc>
        <w:tc>
          <w:tcPr/>
          <w:p>
            <w:pPr>
              <w:pStyle w:val="Compact"/>
              <w:jc w:val="left"/>
            </w:pPr>
            <w:r>
              <w:t xml:space="preserve">Corrosion and salt precipitation — not chemistry — killed prior SCWO plants (HydroProcessing failed after ~4 years); 16–26 mm/yr corrosion in lesser alloys; salt noted even in successful PFAS field studies [^D11-9^][^D5-40^][^D5-54^][^D11-10^][^D4-35^]</w:t>
            </w:r>
          </w:p>
        </w:tc>
      </w:tr>
      <w:tr>
        <w:tc>
          <w:tcPr/>
          <w:p>
            <w:pPr>
              <w:pStyle w:val="Compact"/>
              <w:jc w:val="left"/>
            </w:pPr>
            <w:r>
              <w:t xml:space="preserve">First-mover fragility / capital intensity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Asset-light service entry; milestone-gated CapEx; underwrite the 374Water trajectory, not its deck</w:t>
            </w:r>
          </w:p>
        </w:tc>
        <w:tc>
          <w:tcPr/>
          <w:p>
            <w:pPr>
              <w:pStyle w:val="Compact"/>
              <w:jc w:val="left"/>
            </w:pPr>
            <w:r>
              <w:t xml:space="preserve">The field’s listed leader booked $215,037 FY2025 revenue against a $21.0M net loss, with going-concern language and &gt;2.5-yr slippage on its flagship municipal contract [^D11-1^][^D11-2^][^D6-21^][^D6-23^]</w:t>
            </w:r>
          </w:p>
        </w:tc>
      </w:tr>
      <w:tr>
        <w:tc>
          <w:tcPr/>
          <w:p>
            <w:pPr>
              <w:pStyle w:val="Compact"/>
              <w:jc w:val="left"/>
            </w:pPr>
            <w:r>
              <w:t xml:space="preserve">Incineration re-opening erodes PFAS niche</w:t>
            </w:r>
          </w:p>
        </w:tc>
        <w:tc>
          <w:tcPr/>
          <w:p>
            <w:pPr>
              <w:pStyle w:val="Compact"/>
              <w:jc w:val="left"/>
            </w:pPr>
            <w:r>
              <w:t xml:space="preserve">Medium (occurred)</w:t>
            </w:r>
          </w:p>
        </w:tc>
        <w:tc>
          <w:tcPr/>
          <w:p>
            <w:pPr>
              <w:pStyle w:val="Compact"/>
              <w:jc w:val="left"/>
            </w:pPr>
            <w:r>
              <w:t xml:space="preserve">Medium</w:t>
            </w:r>
          </w:p>
        </w:tc>
        <w:tc>
          <w:tcPr/>
          <w:p>
            <w:pPr>
              <w:pStyle w:val="Compact"/>
              <w:jc w:val="left"/>
            </w:pPr>
            <w:r>
              <w:t xml:space="preserve">Compete on permitting speed, community-opposition risk, and on-site liability elimination rather than price; target streams incinerators reject</w:t>
            </w:r>
          </w:p>
        </w:tc>
        <w:tc>
          <w:tcPr/>
          <w:p>
            <w:pPr>
              <w:pStyle w:val="Compact"/>
              <w:jc w:val="left"/>
            </w:pPr>
            <w:r>
              <w:t xml:space="preserve">DoD lifted its PFAS incineration moratorium Feb 20–Mar 3, 2026, establishing a permit-based disposal framework — but did so because waste volumes overflowed storage, validating demand [^D4-31^][^D4-32^]</w:t>
            </w:r>
          </w:p>
        </w:tc>
      </w:tr>
      <w:tr>
        <w:tc>
          <w:tcPr/>
          <w:p>
            <w:pPr>
              <w:pStyle w:val="Compact"/>
              <w:jc w:val="left"/>
            </w:pPr>
            <w:r>
              <w:t xml:space="preserve">Customer capital constraints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Waste-destruction-as-a-service (WDaaS) and lease structures; grant-funded demonstrations; avoid equipment-sale dependence on distressed segments</w:t>
            </w:r>
          </w:p>
        </w:tc>
        <w:tc>
          <w:tcPr/>
          <w:p>
            <w:pPr>
              <w:pStyle w:val="Compact"/>
              <w:jc w:val="left"/>
            </w:pPr>
            <w:r>
              <w:t xml:space="preserve">Only ~27% of cannabis operators are profitable and 14 CEA bankruptcies occurred in 2025; municipal procurement runs 3–7 years [^D1-9^][^D1-40^][^D6-21^]</w:t>
            </w:r>
          </w:p>
        </w:tc>
      </w:tr>
      <w:tr>
        <w:tc>
          <w:tcPr/>
          <w:p>
            <w:pPr>
              <w:pStyle w:val="Compact"/>
              <w:jc w:val="left"/>
            </w:pPr>
            <w:r>
              <w:t xml:space="preserve">Feed-dependence of all economics (pilot-data dependency)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Gate every sale on COD screening (≥60–150 g/L or upstream concentrate); publish no firm regional cost floors until pilot-verified net energy</w:t>
            </w:r>
          </w:p>
        </w:tc>
        <w:tc>
          <w:tcPr/>
          <w:p>
            <w:pPr>
              <w:pStyle w:val="Compact"/>
              <w:jc w:val="left"/>
            </w:pPr>
            <w:r>
              <w:t xml:space="preserve">Autothermal operation requires COD ~120–150 g/L; the v2 LANL crossover refines this: net-zero near 35–40 g/L COD with power recovery, meaningful export only above ~60 g/L [^D2-36^][^D11-35^][^V2D1-4^]</w:t>
            </w:r>
          </w:p>
        </w:tc>
      </w:tr>
      <w:tr>
        <w:tc>
          <w:tcPr/>
          <w:p>
            <w:pPr>
              <w:pStyle w:val="Compact"/>
              <w:jc w:val="left"/>
            </w:pPr>
            <w:r>
              <w:t xml:space="preserve">Self-fueling energy-balance validation pending third-party documentation</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Publish the working prototype’s measured energy performance with third-party witnessing; treat the data pack as bankable evidence for lenders, grant reviewers, and regulators</w:t>
            </w:r>
          </w:p>
        </w:tc>
        <w:tc>
          <w:tcPr/>
          <w:p>
            <w:pPr>
              <w:pStyle w:val="Compact"/>
              <w:jc w:val="left"/>
            </w:pPr>
            <w:r>
              <w:t xml:space="preserve">Per the manufacturer, the on-demand hydrogen fuel loop sustains the reactor once started with negligible net energy cost, and a working prototype has been produced; independent validation is the residual step [^S2^]</w:t>
            </w:r>
          </w:p>
        </w:tc>
      </w:tr>
      <w:tr>
        <w:tc>
          <w:tcPr/>
          <w:p>
            <w:pPr>
              <w:pStyle w:val="Compact"/>
              <w:jc w:val="left"/>
            </w:pPr>
            <w:r>
              <w:t xml:space="preserve">Regional energy-price exposure</w:t>
            </w:r>
          </w:p>
        </w:tc>
        <w:tc>
          <w:tcPr/>
          <w:p>
            <w:pPr>
              <w:pStyle w:val="Compact"/>
              <w:jc w:val="left"/>
            </w:pPr>
            <w:r>
              <w:t xml:space="preserve">Low-Medium</w:t>
            </w:r>
          </w:p>
        </w:tc>
        <w:tc>
          <w:tcPr/>
          <w:p>
            <w:pPr>
              <w:pStyle w:val="Compact"/>
              <w:jc w:val="left"/>
            </w:pPr>
            <w:r>
              <w:t xml:space="preserve">Low-Medium</w:t>
            </w:r>
          </w:p>
        </w:tc>
        <w:tc>
          <w:tcPr/>
          <w:p>
            <w:pPr>
              <w:pStyle w:val="Compact"/>
              <w:jc w:val="left"/>
            </w:pPr>
            <w:r>
              <w:t xml:space="preserve">Under the self-fueling design, regional tariffs price only startup/auxiliary draw and the value of exported energy; sequence export-oriented projects toward high-tariff regions</w:t>
            </w:r>
          </w:p>
        </w:tc>
        <w:tc>
          <w:tcPr/>
          <w:p>
            <w:pPr>
              <w:pStyle w:val="Compact"/>
              <w:jc w:val="left"/>
            </w:pPr>
            <w:r>
              <w:t xml:space="preserve">US industrial power averages 8.62 ¢/kWh but spans ~6.6 ¢ (TX) to ~24 ¢ (CA commercial) — a swing that moves the value of exported energy and the auxiliary budget, not the treatment cost [^S2^][^D12-64^][^D12-65^]</w:t>
            </w:r>
          </w:p>
        </w:tc>
      </w:tr>
      <w:tr>
        <w:tc>
          <w:tcPr/>
          <w:p>
            <w:pPr>
              <w:pStyle w:val="Compact"/>
              <w:jc w:val="left"/>
            </w:pPr>
            <w:r>
              <w:t xml:space="preserve">Scale-up beyond the demonstrated envelope (</w:t>
            </w:r>
            <w:r>
              <w:rPr>
                <w:bCs/>
                <w:b/>
              </w:rPr>
              <w:t xml:space="preserve">new in v2</w:t>
            </w:r>
            <w:r>
              <w:t xml:space="preserv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Build the ladder as parallel trains (effective exponent n ≈ 0.85), never giant single vessels; stage-gate each rung on availability data from the rung below</w:t>
            </w:r>
          </w:p>
        </w:tc>
        <w:tc>
          <w:tcPr/>
          <w:p>
            <w:pPr>
              <w:pStyle w:val="Compact"/>
              <w:jc w:val="left"/>
            </w:pPr>
            <w:r>
              <w:t xml:space="preserve">No SCWO plant above 306 t/d has ever operated; the two largest ever built (Hanwha 2,000 and 5,500 kg/h) are both defunct, and the 5,000 m³/day LANL design anchoring hub economics is a study, not a plant [^V2D1-26^][^V2D5-17^][^V2D1-3^]</w:t>
            </w:r>
          </w:p>
        </w:tc>
      </w:tr>
      <w:tr>
        <w:tc>
          <w:tcPr/>
          <w:p>
            <w:pPr>
              <w:pStyle w:val="Compact"/>
              <w:jc w:val="left"/>
            </w:pPr>
            <w:r>
              <w:t xml:space="preserve">Credibility risk from unverifiable investor-page claims (</w:t>
            </w:r>
            <w:r>
              <w:rPr>
                <w:bCs/>
                <w:b/>
              </w:rPr>
              <w:t xml:space="preserve">new in v2</w:t>
            </w:r>
            <w:r>
              <w:t xml:space="preserve">)</w:t>
            </w:r>
          </w:p>
        </w:tc>
        <w:tc>
          <w:tcPr/>
          <w:p>
            <w:pPr>
              <w:pStyle w:val="Compact"/>
              <w:jc w:val="left"/>
            </w:pPr>
            <w:r>
              <w:t xml:space="preserve">High (present today)</w:t>
            </w:r>
          </w:p>
        </w:tc>
        <w:tc>
          <w:tcPr/>
          <w:p>
            <w:pPr>
              <w:pStyle w:val="Compact"/>
              <w:jc w:val="left"/>
            </w:pPr>
            <w:r>
              <w:t xml:space="preserve">High (diligence-poisoning)</w:t>
            </w:r>
          </w:p>
        </w:tc>
        <w:tc>
          <w:tcPr/>
          <w:p>
            <w:pPr>
              <w:pStyle w:val="Compact"/>
              <w:jc w:val="left"/>
            </w:pPr>
            <w:r>
              <w:t xml:space="preserve">Publish the corrected produced-water model proactively; audit every public figure against contracted anchors (OC San $5.2M per 6 t/d) before release</w:t>
            </w:r>
          </w:p>
        </w:tc>
        <w:tc>
          <w:tcPr/>
          <w:p>
            <w:pPr>
              <w:pStyle w:val="Compact"/>
              <w:jc w:val="left"/>
            </w:pPr>
            <w:r>
              <w:t xml:space="preserve">Every load-bearing number on the $5/bbl, 1M-bbl/day page fails verification — CapEx 60–160× below the most optimistic modeled benchmark, recovery contradicting the manufacturer’s own spec — detectable by any diligence team in hours [^S1^][^V2D5-18^][^V2D5-23^]</w:t>
            </w:r>
          </w:p>
        </w:tc>
      </w:tr>
      <w:tr>
        <w:tc>
          <w:tcPr/>
          <w:p>
            <w:pPr>
              <w:pStyle w:val="Compact"/>
              <w:jc w:val="left"/>
            </w:pPr>
            <w:r>
              <w:t xml:space="preserve">Storage/supply-chain sole-sourcing (NiFe) (</w:t>
            </w:r>
            <w:r>
              <w:rPr>
                <w:bCs/>
                <w:b/>
              </w:rPr>
              <w:t xml:space="preserve">new in v2</w:t>
            </w:r>
            <w:r>
              <w:t xml:space="preserv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Default to LFP for standby/black-start on every unit; dual-source NiFe (Chinese TN-series vendors) only for daily-cycled remote variants; track the UCLA nanostructured NiFe revival as a 5–10-yr option</w:t>
            </w:r>
          </w:p>
        </w:tc>
        <w:tc>
          <w:tcPr/>
          <w:p>
            <w:pPr>
              <w:pStyle w:val="Compact"/>
              <w:jc w:val="left"/>
            </w:pPr>
            <w:r>
              <w:t xml:space="preserve">The dominant US NiFe vendor (Iron Edison) went bankrupt in June 2023 leaving a Chinese-only supply base; NiFe self-discharges 20–30%/month and costs ~$400–1,000/kWh against $70/kWh LFP packs [^V2D4-7^][^V2D4-19^][^V2D4-20^]</w:t>
            </w:r>
          </w:p>
        </w:tc>
      </w:tr>
    </w:tbl>
    <w:p>
      <w:pPr>
        <w:pStyle w:val="BodyText"/>
      </w:pPr>
      <w:r>
        <w:rPr>
          <w:bCs/>
          <w:b/>
        </w:rPr>
        <w:t xml:space="preserve">Reading the register.</w:t>
      </w:r>
      <w:r>
        <w:t xml:space="preserve"> </w:t>
      </w:r>
      <w:r>
        <w:t xml:space="preserve">Three features should shape how investors price the v2 opportunity. First, the risks remain asymmetric in kind: regulatory rollback and incineration re-opening are</w:t>
      </w:r>
      <w:r>
        <w:t xml:space="preserve"> </w:t>
      </w:r>
      <w:r>
        <w:rPr>
          <w:iCs/>
          <w:i/>
        </w:rPr>
        <w:t xml:space="preserve">demand-side</w:t>
      </w:r>
      <w:r>
        <w:t xml:space="preserve"> </w:t>
      </w:r>
      <w:r>
        <w:t xml:space="preserve">risks that compress the market but leave the cost umbrella intact — even EBJ’s downgraded case leaves a $132B 30-year pool — whereas salt-plugging/corrosion and scale-up are</w:t>
      </w:r>
      <w:r>
        <w:t xml:space="preserve"> </w:t>
      </w:r>
      <w:r>
        <w:rPr>
          <w:iCs/>
          <w:i/>
        </w:rPr>
        <w:t xml:space="preserve">supply-side</w:t>
      </w:r>
      <w:r>
        <w:t xml:space="preserve"> </w:t>
      </w:r>
      <w:r>
        <w:t xml:space="preserve">risks that can invalidate the unit itself; Phase 1–3 demonstrations must therefore be instrumented for liner wear, salt management, and availability at each ladder rung, not merely destruction efficiency [^D4-9^][^D11-29^][^V2D1-26^]. Second, the two new reputational rows (credibility, storage sourcing) are unusual in being cheap to fix: the corrected produced-water model still clears venture hurdles in the Marcellus niche, and the LFP-default decision rule removes the NiFe exposure at zero performance cost — both are self-inflicted risks that can be retired within two quarters [^V2D5-E1^][^V2D4-20^]. Third, several risks are dated and therefore tradeable: EPA’s guidance revision, the October 2026 AFFF deadline, and the post-moratorium disposal framework all carry known clocks, allowing scenario-triggered capital deployment. The register’s overall message is unchanged but stronger in v2: HCSP’s dominant risk is execution reliability under its own control — metallurgy, uptime, feed discipline, and now honest scaling — not market existence.</w:t>
      </w:r>
    </w:p>
    <w:bookmarkEnd w:id="128"/>
    <w:bookmarkEnd w:id="129"/>
    <w:bookmarkStart w:id="131" w:name="strategic-recommendations"/>
    <w:p>
      <w:pPr>
        <w:pStyle w:val="Heading2"/>
      </w:pPr>
      <w:r>
        <w:t xml:space="preserve">10.3 Strategic Recommendations</w:t>
      </w:r>
    </w:p>
    <w:bookmarkStart w:id="130" w:name="X6a5017dbff105e42afee3d5dfa0000d214dcb95"/>
    <w:p>
      <w:pPr>
        <w:pStyle w:val="Heading3"/>
      </w:pPr>
      <w:r>
        <w:t xml:space="preserve">10.3.1 Eight actions, each evidence-anchored and owned</w:t>
      </w:r>
    </w:p>
    <w:p>
      <w:pPr>
        <w:pStyle w:val="FirstParagraph"/>
      </w:pPr>
      <w:r>
        <w:rPr>
          <w:bCs/>
          <w:b/>
        </w:rPr>
        <w:t xml:space="preserve">1. Publish the working prototype’s measured energy performance — third-party witnessed — before the first commercial demonstration (engineering leadership and investor relations; months 0–6).</w:t>
      </w:r>
      <w:r>
        <w:t xml:space="preserve"> </w:t>
      </w:r>
      <w:r>
        <w:t xml:space="preserve">The manufacturer’s design makes the HCSP self-fueling once started: electrolysis of a portion of the process water produces hydrogen and oxygen whose sealed combustion heats the supercritical reactor, with negligible net energy cost in operation, no bulk fuel storage, and no combustion air permit [^S2^]. A working prototype exists; converting its measured energy balance into witnessed, published test data turns the self-fueling design from a briefing statement into bankable evidence for lenders, grant reviewers, and regulators — and it pre-empts the grid-fed SCWO benchmarks (294–500 kWh/m³) that diligence teams will otherwise apply by default [^S2^][^D11-19^].</w:t>
      </w:r>
    </w:p>
    <w:p>
      <w:pPr>
        <w:pStyle w:val="BodyText"/>
      </w:pPr>
      <w:r>
        <w:rPr>
          <w:bCs/>
          <w:b/>
        </w:rPr>
        <w:t xml:space="preserve">2. Sell waste-destruction-as-a-service, not equipment (commercial leadership; from first customer).</w:t>
      </w:r>
      <w:r>
        <w:t xml:space="preserve"> </w:t>
      </w:r>
      <w:r>
        <w:t xml:space="preserve">The target customer set — landfills, DoD sites, municipalities, growers — is capital-constrained or procurement-slow, while the cost structure supports service margins equipment sales cannot capture. The incumbent has validated the template: 374Water’s Orlando hub targets $3–5M/yr and its mobile units $0.5–1.5M/yr each [^D11-6^][^D11-15^][^D4-48^]. Reserve equipment sales for high-credit industrial buyers (pharma, fabs, distilleries) where validation documentation, not financing, is the differentiator.</w:t>
      </w:r>
    </w:p>
    <w:p>
      <w:pPr>
        <w:pStyle w:val="BodyText"/>
      </w:pPr>
      <w:r>
        <w:rPr>
          <w:bCs/>
          <w:b/>
        </w:rPr>
        <w:t xml:space="preserve">3. Gate every opportunity on feed concentration (product and sales; standing screen, effective immediately).</w:t>
      </w:r>
      <w:r>
        <w:t xml:space="preserve"> </w:t>
      </w:r>
      <w:r>
        <w:t xml:space="preserve">Feed concentration remains the single variable that predicts SCWO economics, and the v2 analysis refines the thresholds: net energy crosses zero near 35–40 g/L COD with power recovery, meaningful export begins above ~60 g/L, and full autothermal operation on simple systems needs ~120–150 g/L [^V2D1-4^][^D2-36^][^D11-35^]. Every variant ships as a concentrate-and-destroy train, and the qualification process rejects dilute whole-effluent opportunities regardless of size [^D4-24^] — the discipline that keeps the four sub-4.5 verticals (CEA 4.2, CAFO 4.0, mining 4.0, data centers 3.0) out of the equipment pipeline.</w:t>
      </w:r>
    </w:p>
    <w:p>
      <w:pPr>
        <w:pStyle w:val="BodyText"/>
      </w:pPr>
      <w:r>
        <w:rPr>
          <w:bCs/>
          <w:b/>
        </w:rPr>
        <w:t xml:space="preserve">4. Quantify permitting time-to-operation in every proposal (sales enablement; build into Phase 1 collateral).</w:t>
      </w:r>
      <w:r>
        <w:t xml:space="preserve"> </w:t>
      </w:r>
      <w:r>
        <w:t xml:space="preserve">HCSP’s hidden moat is schedule, not price: the sealed, no-air-permit architecture bypasses the Title V/MACT gauntlet that has permitted essentially one new US hazardous-waste incinerator in three decades, while the incumbent fleet of ~24 RCRA combustors runs at 88–92% utilization [^D5-13^][^D5-4^][^D5-6^]. Every proposal should carry a side-by-side timeline — months for an on-site HCSP train versus years for a new thermal asset or a disposal contract dependent on re-opened, storage-constrained incineration capacity [^D4-31^].</w:t>
      </w:r>
    </w:p>
    <w:p>
      <w:pPr>
        <w:pStyle w:val="BodyText"/>
      </w:pPr>
      <w:r>
        <w:rPr>
          <w:bCs/>
          <w:b/>
        </w:rPr>
        <w:t xml:space="preserve">5. Keep CEA as a regulatory showcase only — cap the investment, harvest the positioning (strategy; ongoing).</w:t>
      </w:r>
      <w:r>
        <w:t xml:space="preserve"> </w:t>
      </w:r>
      <w:r>
        <w:t xml:space="preserve">Controlled-environment agriculture scored 4.2/10 because its runoff is ~99.8% water and its customer base is distressed (14 bankruptcies in 2025) [^D1-15^][^D1-40^]. Its value is singular: the California State Water Board has explicitly stated it will update its cannabis cultivation policy for any technology demonstrating full zero-waste treatment — an open regulatory invitation no other vertical offers [^D1-29^]. Fund one permitted reference site on a service basis and resist any plan that makes CEA revenue load-bearing.</w:t>
      </w:r>
    </w:p>
    <w:p>
      <w:pPr>
        <w:pStyle w:val="BodyText"/>
      </w:pPr>
      <w:r>
        <w:rPr>
          <w:bCs/>
          <w:b/>
        </w:rPr>
        <w:t xml:space="preserve">6. Publish the corrected produced-water investor model before diligence does it for you (executive team / investor relations; within six months).</w:t>
      </w:r>
      <w:r>
        <w:t xml:space="preserve"> </w:t>
      </w:r>
      <w:r>
        <w:t xml:space="preserve">The investor page’s $5/bbl benchmark, 1M-bbl/day</w:t>
      </w:r>
      <w:r>
        <w:t xml:space="preserve"> </w:t>
      </w:r>
      <w:r>
        <w:t xml:space="preserve">“</w:t>
      </w:r>
      <w:r>
        <w:t xml:space="preserve">unit,</w:t>
      </w:r>
      <w:r>
        <w:t xml:space="preserve">”</w:t>
      </w:r>
      <w:r>
        <w:t xml:space="preserve"> </w:t>
      </w:r>
      <w:r>
        <w:t xml:space="preserve">~$12.5M CapEx, and &gt;500% IRR fail verification on every load-bearing input — including a recovery claim that contradicts the manufacturer’s own specification and a cited source that publicly argues the page’s opposite premise [^S1^][^V2D5-18^][^V2D5-23^]. The correction is commercially costless: the honest 50,000-bbl/day Marcellus-hub model still delivers 45–82% IRR and 1.2–2.1-year paybacks, so publishing it converts a diligence liability into a credibility asset for the verticals where the economics are genuinely sound [^V2D5-E1^].</w:t>
      </w:r>
    </w:p>
    <w:p>
      <w:pPr>
        <w:pStyle w:val="BodyText"/>
      </w:pPr>
      <w:r>
        <w:rPr>
          <w:bCs/>
          <w:b/>
        </w:rPr>
        <w:t xml:space="preserve">7. Build the scale ladder as parallel trains, not giant single vessels (engineering leadership; design rule from Phase 2 onward).</w:t>
      </w:r>
      <w:r>
        <w:t xml:space="preserve"> </w:t>
      </w:r>
      <w:r>
        <w:t xml:space="preserve">No SCWO train above 306 t/d has ever operated, wall thickness at 250 bar grows roughly linearly with diameter, and every historical full-scale plant failed on corrosion and salt, not capacity physics [^V2D1-26^][^V2D1-17^]. The de-risked path is the industry’s actual practice — Aquarden and 374Water both parallelize containerized reactors — accepting the weaker blended exponent (n ≈ 0.85 versus 0.5–0.7 for an ideal single train) in exchange for replicated, proven pressure envelopes [^V2D1-7^][^V2D1-16^]. A 1,900 m³/day hub should be engineered as ~75 parallel 25 m³/d-class trains with shared utilities, stage-gated rung by rung, not as a first-of-kind 3×-cheaper single vessel [^V2D1-3^].</w:t>
      </w:r>
    </w:p>
    <w:p>
      <w:pPr>
        <w:pStyle w:val="BodyText"/>
      </w:pPr>
      <w:r>
        <w:rPr>
          <w:bCs/>
          <w:b/>
        </w:rPr>
        <w:t xml:space="preserve">8. Site trigeneration plants against anchor chilled-water buyers — data centers as offtakers, not hosts (strategy and business development; Phase 3 planning, first partnership by month 36).</w:t>
      </w:r>
      <w:r>
        <w:t xml:space="preserve"> </w:t>
      </w:r>
      <w:r>
        <w:t xml:space="preserve">At 1,000 m³/day on ≥100 g/L feed, HCSP exports ~6–11 MW of surplus heat [^V2D2-66^][^V2D2-69^], worth ~$15–20/MWh as power versus ~$10/MWh as absorption cooling — unless chilled water is sold at district tariffs of $30–48/MWh to an anchor load [^V2D2-E1^]. The archetypal anchor is an AI campus facing 4–7-year grid interconnection queues and 30–40% cooling loads: site the plant at the waste (a wastewater plant, distillery, or F&amp;B complex), and sell power, cooling, and reclaimed water across the fence — the Microsoft Cheyenne Data Plant template, inverted [^V2D3-9^][^V2D3-3^][^V2D2-29^]. Specify lithium-bromide chillers for data-center chilled water and reserve ammonia-water machines for sub-zero cold storage, and never site a trigeneration plant without a ≥500-refrigeration-ton contracted offtaker [^V2D2-2^][^V2D2-3^].</w:t>
      </w:r>
    </w:p>
    <w:p>
      <w:pPr>
        <w:pStyle w:val="BodyText"/>
      </w:pPr>
      <w:r>
        <w:rPr>
          <w:bCs/>
          <w:b/>
        </w:rPr>
        <w:t xml:space="preserve">Forward-looking implication.</w:t>
      </w:r>
      <w:r>
        <w:t xml:space="preserve"> </w:t>
      </w:r>
      <w:r>
        <w:t xml:space="preserve">Executed in this order, the plan converts HCSP’s structural advantages — the widest disposal-price umbrella in waste treatment, federally validated destruction chemistry, a permitting moat no thermal competitor can replicate, and now energy export on concentrated feeds — into a compounding position: Phase 1 references de-risk Phase 2 margins, Phase 2 cash flows fund the scale-up, and Phase 3–4 hubs monetize the ladder. The same discipline defines what would invalidate the thesis. Investors should watch for exactly three signals: failure of salt and corrosion management in demonstrated operation; a guidance or policy shift that re-legitimizes cheap relocation over destruction; and — the v2 addition — failure to demonstrate sustained autothermal operation at ≥100 m³/day within 36 months, which would confine HCSP to 10 m³/day module economics and strand the distillery, trigeneration, and hub phases. Absent those, the sequencing above is the order the evidence dictates.</w:t>
      </w:r>
    </w:p>
    <w:bookmarkEnd w:id="130"/>
    <w:bookmarkEnd w:id="131"/>
    <w:bookmarkEnd w:id="132"/>
    <w:bookmarkStart w:id="144" w:name="X438be25d3a644309583cde78fe37b84e3715f63"/>
    <w:p>
      <w:pPr>
        <w:pStyle w:val="Heading1"/>
      </w:pPr>
      <w:r>
        <w:t xml:space="preserve">11. The Scale Ladder: From Module to Regional Hub</w:t>
      </w:r>
    </w:p>
    <w:p>
      <w:pPr>
        <w:pStyle w:val="FirstParagraph"/>
      </w:pPr>
      <w:r>
        <w:rPr>
          <w:bCs/>
          <w:b/>
        </w:rPr>
        <w:t xml:space="preserve">Everything in Part I assumed one 10 m³/day module. Scale is the variable that changes which markets are reachable at all.</w:t>
      </w:r>
      <w:r>
        <w:t xml:space="preserve"> </w:t>
      </w:r>
      <w:r>
        <w:t xml:space="preserve">The analysis so far priced HCSP against incineration and hauling at a single point on the cost curve — a deliberate conservatism, because that is the only configuration with field data. This chapter opens Part II by asking what happens when the user-specified ladder — 10, 100, 1,000, and 1,900 m³/day (500,000 gpd) — is priced honestly. The answer has two halves. First, supercritical water oxidation (SCWO) enjoys real but bounded economies of scale: unit capital cost falls roughly 60% for every 10× capacity step within a train, and energy — not capital — is what scale fixes most decisively, cutting net electricity demand from ~130–250 kWh/m³ at module scale toward ~35–88 kWh/m³ at hub scale on dilute feeds [^V2D1-3^][^V2D1-11^]. Second, above ~35–40 g/L chemical oxygen demand (COD) in the feed, scale stops mattering for energy altogether: the plant becomes energy-neutral and then a net power exporter, which is the foundation for the trigeneration economics of Chapter 12 and the backup-power thesis of Chapter 13 [^V2D1-4^].</w:t>
      </w:r>
    </w:p>
    <w:bookmarkStart w:id="136" w:name="the-physics-of-scaling-scwo"/>
    <w:p>
      <w:pPr>
        <w:pStyle w:val="Heading2"/>
      </w:pPr>
      <w:r>
        <w:t xml:space="preserve">11.1 The Physics of Scaling SCWO</w:t>
      </w:r>
    </w:p>
    <w:bookmarkStart w:id="133" w:name="Xc4ba3eb8589b2f2d00e93fda1df1f1beb5b0ccd"/>
    <w:p>
      <w:pPr>
        <w:pStyle w:val="Heading3"/>
      </w:pPr>
      <w:r>
        <w:t xml:space="preserve">11.1.1 Capital cost scales at n ≈ 0.5–0.7 per train — but the industry parallels modules, degrading to n ≈ 0.85</w:t>
      </w:r>
    </w:p>
    <w:p>
      <w:pPr>
        <w:pStyle w:val="FirstParagraph"/>
      </w:pPr>
      <w:r>
        <w:t xml:space="preserve">The engineering default for cost scaling is the power law</w:t>
      </w:r>
      <w:r>
        <w:t xml:space="preserve"> </w:t>
      </w:r>
      <m:oMath>
        <m:sSub>
          <m:e>
            <m:r>
              <m:t>C</m:t>
            </m:r>
          </m:e>
          <m:sub>
            <m:r>
              <m:t>2</m:t>
            </m:r>
          </m:sub>
        </m:sSub>
        <m:r>
          <m:rPr>
            <m:sty m:val="p"/>
          </m:rPr>
          <m:t>=</m:t>
        </m:r>
        <m:sSub>
          <m:e>
            <m:r>
              <m:t>C</m:t>
            </m:r>
          </m:e>
          <m:sub>
            <m:r>
              <m:t>1</m:t>
            </m:r>
          </m:sub>
        </m:sSub>
        <m:r>
          <m:rPr>
            <m:sty m:val="p"/>
          </m:rPr>
          <m:t>⋅</m:t>
        </m:r>
        <m:sSup>
          <m:e>
            <m:d>
              <m:dPr>
                <m:begChr m:val="("/>
                <m:endChr m:val=")"/>
                <m:sepChr m:val=""/>
                <m:grow/>
              </m:dPr>
              <m:e>
                <m:sSub>
                  <m:e>
                    <m:r>
                      <m:t>Q</m:t>
                    </m:r>
                  </m:e>
                  <m:sub>
                    <m:r>
                      <m:t>2</m:t>
                    </m:r>
                  </m:sub>
                </m:sSub>
                <m:r>
                  <m:rPr>
                    <m:sty m:val="p"/>
                  </m:rPr>
                  <m:t>/</m:t>
                </m:r>
                <m:sSub>
                  <m:e>
                    <m:r>
                      <m:t>Q</m:t>
                    </m:r>
                  </m:e>
                  <m:sub>
                    <m:r>
                      <m:t>1</m:t>
                    </m:r>
                  </m:sub>
                </m:sSub>
              </m:e>
            </m:d>
          </m:e>
          <m:sup>
            <m:r>
              <m:t>n</m:t>
            </m:r>
          </m:sup>
        </m:sSup>
      </m:oMath>
      <w:r>
        <w:t xml:space="preserve">, and the evidence for SCWO-relevant equipment clusters tightly: compiled exponents for pressure vessels, shell-and-tube exchangers, and high-pressure pumps span 0.5–0.9 across the Turton, Towler &amp; Sinnott, and Aspen methods, while the Los Alamos National Laboratory (LANL) 5,000 m³/day techno-economic analysis — the only large-scale SCWO cost model in the open literature — uses bare-module correlations with exponents of 0.51–0.70 for exactly the exotic-alloy heat exchangers and separators that dominate SCWO capital [^V2D1-10^][^V2D1-3^]. The US National Energy Technology Laboratory (NETL) capital-cost scaling methodology, derived from vendor quotations, is the authoritative statement of the approach [^V2D1-11^]. At n = 0.6, a 10× scale-up cuts capital cost per unit of capacity by ~60%.</w:t>
      </w:r>
    </w:p>
    <w:p>
      <w:pPr>
        <w:pStyle w:val="BodyText"/>
      </w:pPr>
      <w:r>
        <w:t xml:space="preserve">Two SCWO-specific effects erode that ideal. First, the industry does not build one giant 250-bar reactor; it parallels containerized modules. Aquarden scales by</w:t>
      </w:r>
      <w:r>
        <w:t xml:space="preserve"> </w:t>
      </w:r>
      <w:r>
        <w:t xml:space="preserve">“</w:t>
      </w:r>
      <w:r>
        <w:t xml:space="preserve">parallelization of reactors</w:t>
      </w:r>
      <w:r>
        <w:t xml:space="preserve">”</w:t>
      </w:r>
      <w:r>
        <w:t xml:space="preserve"> </w:t>
      </w:r>
      <w:r>
        <w:t xml:space="preserve">at ≤12 m³/day each, and 374Water’s AirSCWO Nix30 is three 40-foot containers operated in parallel — an architecture that duplicates reactors, pumps, and exchangers and blends the effective plant-level exponent toward 0.85–0.9 at large scale [^V2D1-7^][^V2D1-16^]. Second, 374Water’s own published site-capital figures — $1.5–2.0M, $4.5–6.0M, and $7.5–10.0M for its 1, 6, and 30 t/d units — imply an early-ladder exponent of only 0.32–0.40, because the first scale steps share one pre/post-treatment train and facility before duplication dominates [^V2D1-2^]. The practical reading: early scale-up is steeply de-bottlenecked, then the curve flattens. Every business case above ~100 m³/day should therefore be priced on the pessimistic exponent, not the optimistic one.</w:t>
      </w:r>
    </w:p>
    <w:bookmarkEnd w:id="133"/>
    <w:bookmarkStart w:id="134" w:name="X690f61a6695779bbd43d9dd0ec7848f283884d4"/>
    <w:p>
      <w:pPr>
        <w:pStyle w:val="Heading3"/>
      </w:pPr>
      <w:r>
        <w:t xml:space="preserve">11.1.2 Heat integration: gross duty is fixed at ~866 kWh_th/m³; net demand falls across the ladder</w:t>
      </w:r>
    </w:p>
    <w:p>
      <w:pPr>
        <w:pStyle w:val="FirstParagraph"/>
      </w:pPr>
      <w:r>
        <w:t xml:space="preserve">The physics is scale-invariant; only the recovery effectiveness improves. Heating one cubic meter of water from 25 °C to 400 °C at 25 MPa requires ≈ 866 kWh_th/m³, and pumping to 250 bar adds ~9 kWh_e/m³; the base module’s 180–228 kWh/m³ nameplate (Chapter 1) already implies 74–79% effective heat recovery [^V2D1-3^][^V2D1-32^]. What scale buys is heat-exchanger area: pinch-analysis logic means a 1,900 m³/day plant rationally purchases lower approach temperatures, because each 5-point recovery improvement is worth ~$0.8M/yr at that throughput versus ~$3.7/m³ at module scale [^V2D1-33^]. On dilute, non-autothermal feeds the realistic net demand falls from ~130–250 kWh/m³ at 10 m³/day (consistent with the 294 kWh/m³ documented in AirSCWO field operation on a weak concentrate) through ~80–160 kWh/m³ at 100 m³/day to ~45–110 kWh/m³ at 1,000 m³/day — the LANL base case of 55.8 kWh_e/m³ at 5,000 m³/day without power recovery brackets the low end [^V2D1-32^][^V2D1-3^]. The implication for deployment strategy is direct: energy cost, the module’s largest operating line, is a solvable engineering problem at hub scale even before feed strength enters the picture.</w:t>
      </w:r>
    </w:p>
    <w:bookmarkEnd w:id="134"/>
    <w:bookmarkStart w:id="135" w:name="X4d19a61985ab7504f5198bfeec145302fce7a23"/>
    <w:p>
      <w:pPr>
        <w:pStyle w:val="Heading3"/>
      </w:pPr>
      <w:r>
        <w:t xml:space="preserve">11.1.3 Physical limits: pressure code and metallurgy favor parallelization — and nothing above ~306 t/d has ever operated</w:t>
      </w:r>
    </w:p>
    <w:p>
      <w:pPr>
        <w:pStyle w:val="FirstParagraph"/>
      </w:pPr>
      <w:r>
        <w:t xml:space="preserve">Honesty about scale-up risk is a competitive requirement, not a concession. At 25 MPa (3,625 psi) every pressure-retaining component sits above ASME Section VIII Division 1’s customary range and inside Division 2 design-by-analysis practice — mandatory fatigue evaluation, PE-stamped analysis, and elevated documentation cost — approaching Division 3 high-pressure territory [^V2D1-34^]. Wall thickness at fixed pressure grows ~linearly with diameter (</w:t>
      </w:r>
      <m:oMath>
        <m:r>
          <m:t>t</m:t>
        </m:r>
        <m:r>
          <m:rPr>
            <m:sty m:val="p"/>
          </m:rPr>
          <m:t>≈</m:t>
        </m:r>
        <m:r>
          <m:t>P</m:t>
        </m:r>
        <m:r>
          <m:t>R</m:t>
        </m:r>
        <m:r>
          <m:rPr>
            <m:sty m:val="p"/>
          </m:rPr>
          <m:t>/</m:t>
        </m:r>
        <m:r>
          <m:t>S</m:t>
        </m:r>
      </m:oMath>
      <w:r>
        <w:t xml:space="preserve">), so a 0.5 m internal-diameter shell in Inconel 625 needs roughly 70–105 mm of nickel alloy, and beyond ~1 m, forging and shop-fabrication limits bite — a structural reason vendors parallelize at ≤12–30 m³/day per reactor rather than scale vessel diameter [^V2D1-38^][^V2D1-35^][^V2D1-7^]. Most sobering of all: the largest single-train SCWO plant ever reported in the European refiners’ technology review processed 306 t/d, and every larger concept — including the LANL 5,000 m³/day design anchoring this chapter’s upper rung — is a design study, not an operating plant; the historical full-scale plants that did run (Harlingen 150 t/d; Hanwha) were ultimately shut down by corrosion and salt plugging, not by capacity physics [^V2D1-26^][^V2D1-17^]. Pumping, by contrast, is solved: commercial plunger pumps deliver ~360 m³/day each at 250–300 bar, so a 1,900 m³/day hub needs only six to eight machines [^V2D1-37^]. The scale-up risk therefore concentrates in the reactor train, which is precisely why the parallel-modular path — accepting the weaker exponent in exchange for replicated, proven pressure envelopes — is the de-risked and more honest cost basis for the upper ladder.</w:t>
      </w:r>
    </w:p>
    <w:bookmarkEnd w:id="135"/>
    <w:bookmarkEnd w:id="136"/>
    <w:bookmarkStart w:id="138" w:name="the-cost-model-by-class"/>
    <w:p>
      <w:pPr>
        <w:pStyle w:val="Heading2"/>
      </w:pPr>
      <w:r>
        <w:t xml:space="preserve">11.2 The Cost Model by Class</w:t>
      </w:r>
    </w:p>
    <w:bookmarkStart w:id="137" w:name="X5b44099da48ae18f08ef297f26780dea52d2959"/>
    <w:p>
      <w:pPr>
        <w:pStyle w:val="Heading3"/>
      </w:pPr>
      <w:r>
        <w:t xml:space="preserve">11.2.1 Four rungs, priced on explicit assumptions</w:t>
      </w:r>
    </w:p>
    <w:p>
      <w:pPr>
        <w:pStyle w:val="FirstParagraph"/>
      </w:pPr>
      <w:r>
        <w:t xml:space="preserve">The table below prices the ladder on a dilute aqueous feed (COD 5–20 g/L, non-autothermal base case), 330 operating days/yr, electricity at $0.086/kWh, a capital recovery factor of 10.2% (8%, 20 yr) plus 4% fixed O&amp;M, oxidant and consumables at ~$6/m³, and labor of 2/4/12/20 FTE at $120k fully loaded. Capital is anchored at $3.0–4.5M for the 10 m³/day module and scaled at n = 0.60 (single-train ideal, LANL-consistent) to n = 0.85 (modular parallel, industry practice) — the two branches that define each range [^V2D1-2^][^V2D1-3^][^V2D1-11^].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w:t>
            </w:r>
          </w:p>
        </w:tc>
        <w:tc>
          <w:tcPr/>
          <w:p>
            <w:pPr>
              <w:pStyle w:val="Compact"/>
              <w:jc w:val="left"/>
            </w:pPr>
            <w:r>
              <w:t xml:space="preserve">100 m³/d</w:t>
            </w:r>
          </w:p>
        </w:tc>
        <w:tc>
          <w:tcPr/>
          <w:p>
            <w:pPr>
              <w:pStyle w:val="Compact"/>
              <w:jc w:val="left"/>
            </w:pPr>
            <w:r>
              <w:t xml:space="preserve">1,000 m³/d</w:t>
            </w:r>
          </w:p>
        </w:tc>
        <w:tc>
          <w:tcPr/>
          <w:p>
            <w:pPr>
              <w:pStyle w:val="Compact"/>
              <w:jc w:val="left"/>
            </w:pPr>
            <w:r>
              <w:t xml:space="preserve">1,900 m³/d (500k gpd)</w:t>
            </w:r>
          </w:p>
        </w:tc>
      </w:tr>
      <w:tr>
        <w:tc>
          <w:tcPr/>
          <w:p>
            <w:pPr>
              <w:pStyle w:val="Compact"/>
              <w:jc w:val="left"/>
            </w:pPr>
            <w:r>
              <w:t xml:space="preserve">CapEx range</w:t>
            </w:r>
          </w:p>
        </w:tc>
        <w:tc>
          <w:tcPr/>
          <w:p>
            <w:pPr>
              <w:pStyle w:val="Compact"/>
              <w:jc w:val="left"/>
            </w:pPr>
            <w:r>
              <w:t xml:space="preserve">$3.0–4.5M [^V2D1-2^]</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w:t>
            </w:r>
          </w:p>
        </w:tc>
      </w:tr>
      <w:tr>
        <w:tc>
          <w:tcPr/>
          <w:p>
            <w:pPr>
              <w:pStyle w:val="Compact"/>
              <w:jc w:val="left"/>
            </w:pPr>
            <w:r>
              <w:t xml:space="preserve">CapEx per m³/d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w:t>
            </w:r>
          </w:p>
        </w:tc>
      </w:tr>
      <w:tr>
        <w:tc>
          <w:tcPr/>
          <w:p>
            <w:pPr>
              <w:pStyle w:val="Compact"/>
              <w:jc w:val="left"/>
            </w:pPr>
            <w:r>
              <w:t xml:space="preserve">Net energy, dilute feed (kWh/m³)</w:t>
            </w:r>
          </w:p>
        </w:tc>
        <w:tc>
          <w:tcPr/>
          <w:p>
            <w:pPr>
              <w:pStyle w:val="Compact"/>
              <w:jc w:val="left"/>
            </w:pPr>
            <w:r>
              <w:t xml:space="preserve">130–250 [^V2D1-32^]</w:t>
            </w:r>
          </w:p>
        </w:tc>
        <w:tc>
          <w:tcPr/>
          <w:p>
            <w:pPr>
              <w:pStyle w:val="Compact"/>
              <w:jc w:val="left"/>
            </w:pPr>
            <w:r>
              <w:t xml:space="preserve">80–160</w:t>
            </w:r>
          </w:p>
        </w:tc>
        <w:tc>
          <w:tcPr/>
          <w:p>
            <w:pPr>
              <w:pStyle w:val="Compact"/>
              <w:jc w:val="left"/>
            </w:pPr>
            <w:r>
              <w:t xml:space="preserve">45–110 [^V2D1-3^]</w:t>
            </w:r>
          </w:p>
        </w:tc>
        <w:tc>
          <w:tcPr/>
          <w:p>
            <w:pPr>
              <w:pStyle w:val="Compact"/>
              <w:jc w:val="left"/>
            </w:pPr>
            <w:r>
              <w:t xml:space="preserve">35–88</w:t>
            </w:r>
          </w:p>
        </w:tc>
      </w:tr>
      <w:tr>
        <w:tc>
          <w:tcPr/>
          <w:p>
            <w:pPr>
              <w:pStyle w:val="Compact"/>
              <w:jc w:val="left"/>
            </w:pPr>
            <w:r>
              <w:t xml:space="preserve">Energy cost @</w:t>
            </w:r>
            <w:r>
              <w:t xml:space="preserve"> </w:t>
            </w:r>
            <m:oMath>
              <m:r>
                <m:t>0.086</m:t>
              </m:r>
              <m:r>
                <m:rPr>
                  <m:sty m:val="p"/>
                </m:rPr>
                <m:t>/</m:t>
              </m:r>
              <m:r>
                <m:t>k</m:t>
              </m:r>
              <m:r>
                <m:t>W</m:t>
              </m:r>
              <m:r>
                <m:t>h</m:t>
              </m:r>
              <m:r>
                <m:rPr>
                  <m:sty m:val="p"/>
                </m:rPr>
                <m:t>(</m:t>
              </m:r>
            </m:oMath>
            <w:r>
              <w:t xml:space="preserve">/m³)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w:t>
            </w:r>
          </w:p>
        </w:tc>
      </w:tr>
      <w:tr>
        <w:tc>
          <w:tcPr/>
          <w:p>
            <w:pPr>
              <w:pStyle w:val="Compact"/>
              <w:jc w:val="left"/>
            </w:pPr>
            <w:r>
              <w:t xml:space="preserve">Capital charge + fixed O&amp;M (</w:t>
            </w:r>
            <m:oMath>
              <m:r>
                <m:rPr>
                  <m:sty m:val="p"/>
                </m:rPr>
                <m:t>/</m:t>
              </m:r>
              <m:r>
                <m:t>m</m:t>
              </m:r>
              <m:r>
                <m:rPr>
                  <m:sty m:val="p"/>
                </m:rPr>
                <m:t>³</m:t>
              </m:r>
              <m:r>
                <m:rPr>
                  <m:sty m:val="p"/>
                </m:rPr>
                <m:t>)</m:t>
              </m:r>
              <m:d>
                <m:dPr>
                  <m:begChr m:val="|"/>
                  <m:endChr m:val="|"/>
                  <m:sepChr m:val=""/>
                  <m:grow/>
                </m:dPr>
                <m:e>
                  <m:r>
                    <m:t>129</m:t>
                  </m:r>
                  <m:r>
                    <m:rPr>
                      <m:sty m:val="p"/>
                    </m:rPr>
                    <m:t>–</m:t>
                  </m:r>
                  <m:r>
                    <m:t>193</m:t>
                  </m:r>
                </m:e>
              </m:d>
              <m:r>
                <m:t>51</m:t>
              </m:r>
              <m:r>
                <m:rPr>
                  <m:sty m:val="p"/>
                </m:rPr>
                <m:t>–</m:t>
              </m:r>
              <m:r>
                <m:t>137</m:t>
              </m:r>
              <m:d>
                <m:dPr>
                  <m:begChr m:val="|"/>
                  <m:endChr m:val="|"/>
                  <m:sepChr m:val=""/>
                  <m:grow/>
                </m:dPr>
                <m:e>
                  <m:r>
                    <m:t>20</m:t>
                  </m:r>
                  <m:r>
                    <m:rPr>
                      <m:sty m:val="p"/>
                    </m:rPr>
                    <m:t>–</m:t>
                  </m:r>
                  <m:r>
                    <m:t>97</m:t>
                  </m:r>
                </m:e>
              </m:d>
              <m:r>
                <m:t>16</m:t>
              </m:r>
              <m:r>
                <m:rPr>
                  <m:sty m:val="p"/>
                </m:rPr>
                <m:t>–</m:t>
              </m:r>
              <m:r>
                <m:t>88</m:t>
              </m:r>
              <m:d>
                <m:dPr>
                  <m:begChr m:val="|"/>
                  <m:endChr m:val="|"/>
                  <m:sepChr m:val=""/>
                  <m:grow/>
                </m:dPr>
                <m:e/>
              </m:d>
              <m:r>
                <m:t>L</m:t>
              </m:r>
              <m:r>
                <m:t>a</m:t>
              </m:r>
              <m:r>
                <m:t>b</m:t>
              </m:r>
              <m:r>
                <m:t>o</m:t>
              </m:r>
              <m:r>
                <m:t>r</m:t>
              </m:r>
              <m:r>
                <m:rPr>
                  <m:sty m:val="p"/>
                </m:rPr>
                <m:t>(</m:t>
              </m:r>
            </m:oMath>
            <w:r>
              <w:t xml:space="preserve">/m³)</w:t>
            </w:r>
          </w:p>
        </w:tc>
        <w:tc>
          <w:tcPr/>
          <w:p>
            <w:pPr>
              <w:pStyle w:val="Compact"/>
              <w:jc w:val="left"/>
            </w:pPr>
            <w:r>
              <w:t xml:space="preserve">73</w:t>
            </w:r>
          </w:p>
        </w:tc>
        <w:tc>
          <w:tcPr/>
          <w:p>
            <w:pPr>
              <w:pStyle w:val="Compact"/>
              <w:jc w:val="left"/>
            </w:pPr>
            <w:r>
              <w:t xml:space="preserve">15</w:t>
            </w:r>
          </w:p>
        </w:tc>
        <w:tc>
          <w:tcPr/>
          <w:p>
            <w:pPr>
              <w:pStyle w:val="Compact"/>
              <w:jc w:val="left"/>
            </w:pPr>
            <w:r>
              <w:t xml:space="preserve">4.4</w:t>
            </w:r>
          </w:p>
        </w:tc>
        <w:tc>
          <w:tcPr/>
          <w:p>
            <w:pPr>
              <w:pStyle w:val="Compact"/>
              <w:jc w:val="left"/>
            </w:pPr>
            <w:r>
              <w:t xml:space="preserve">3.8</w:t>
            </w:r>
          </w:p>
        </w:tc>
      </w:tr>
      <w:tr>
        <w:tc>
          <w:tcPr/>
          <w:p>
            <w:pPr>
              <w:pStyle w:val="Compact"/>
              <w:jc w:val="left"/>
            </w:pPr>
            <w:r>
              <w:rPr>
                <w:bCs/>
                <w:b/>
              </w:rPr>
              <w:t xml:space="preserve">Fully loaded cost ($/m³)</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t xml:space="preserve">**~</w:t>
            </w:r>
            <m:oMath>
              <m:r>
                <m:t>28</m:t>
              </m:r>
              <m:r>
                <m:rPr>
                  <m:sty m:val="p"/>
                </m:rPr>
                <m:t>–</m:t>
              </m:r>
              <m:r>
                <m:t>110</m:t>
              </m:r>
              <m:r>
                <m:rPr>
                  <m:sty m:val="p"/>
                </m:rPr>
                <m:t>*</m:t>
              </m:r>
              <m:r>
                <m:rPr>
                  <m:sty m:val="p"/>
                </m:rPr>
                <m:t>*</m:t>
              </m:r>
              <m:d>
                <m:dPr>
                  <m:begChr m:val="|"/>
                  <m:endChr m:val="|"/>
                  <m:sepChr m:val=""/>
                  <m:grow/>
                </m:dPr>
                <m:e/>
              </m:d>
              <m:r>
                <m:t>M</m:t>
              </m:r>
              <m:r>
                <m:t>i</m:t>
              </m:r>
              <m:r>
                <m:t>d</m:t>
              </m:r>
              <m:r>
                <m:rPr>
                  <m:sty m:val="p"/>
                </m:rPr>
                <m:t>−</m:t>
              </m:r>
              <m:r>
                <m:t>c</m:t>
              </m:r>
              <m:r>
                <m:t>a</m:t>
              </m:r>
              <m:r>
                <m:t>s</m:t>
              </m:r>
              <m:r>
                <m:t>e</m:t>
              </m:r>
              <m:r>
                <m:rPr>
                  <m:sty m:val="p"/>
                </m:rPr>
                <m:t>(</m:t>
              </m:r>
            </m:oMath>
            <w:r>
              <w:t xml:space="preserve">/m³)</w:t>
            </w:r>
          </w:p>
        </w:tc>
      </w:tr>
      <w:tr>
        <w:tc>
          <w:tcPr/>
          <w:p>
            <w:pPr>
              <w:pStyle w:val="Compact"/>
              <w:jc w:val="left"/>
            </w:pPr>
            <w:r>
              <w:t xml:space="preserve">Independent cross-check</w:t>
            </w:r>
          </w:p>
        </w:tc>
        <w:tc>
          <w:tcPr/>
          <w:p>
            <w:pPr>
              <w:pStyle w:val="Compact"/>
              <w:jc w:val="left"/>
            </w:pPr>
            <w:r>
              <w:t xml:space="preserve">AirSCWO 6 ≈ $5.2M @ ~25 m³/d [^V2D1-14^]</w:t>
            </w:r>
          </w:p>
        </w:tc>
        <w:tc>
          <w:tcPr/>
          <w:p>
            <w:pPr>
              <w:pStyle w:val="Compact"/>
              <w:jc w:val="left"/>
            </w:pPr>
            <w:r>
              <w:t xml:space="preserve">~$50/wet t @ 30 t/d (vendor) [^V2D1-20^]</w:t>
            </w:r>
          </w:p>
        </w:tc>
        <w:tc>
          <w:tcPr/>
          <w:p>
            <w:pPr>
              <w:pStyle w:val="Compact"/>
              <w:jc w:val="left"/>
            </w:pPr>
            <w:r>
              <w:t xml:space="preserve">Chematur ~$105/tDS @ 168 m³/d [^V2D1-17^]</w:t>
            </w:r>
          </w:p>
        </w:tc>
        <w:tc>
          <w:tcPr/>
          <w:p>
            <w:pPr>
              <w:pStyle w:val="Compact"/>
              <w:jc w:val="left"/>
            </w:pPr>
            <w:r>
              <w:t xml:space="preserve">LANL $2–3/m³ @ 5,000 m³/d [^V2D1-3^]</w:t>
            </w:r>
          </w:p>
        </w:tc>
      </w:tr>
    </w:tbl>
    <w:p>
      <w:pPr>
        <w:pStyle w:val="BodyText"/>
      </w:pPr>
      <w:r>
        <w:rPr>
          <w:bCs/>
          <w:b/>
        </w:rPr>
        <w:t xml:space="preserve">Reading the ladder.</w:t>
      </w:r>
      <w:r>
        <w:t xml:space="preserve"> </w:t>
      </w:r>
      <w:r>
        <w:t xml:space="preserve">Three features of the table carry the strategic weight. First, the module’s ~$215–310/m³ fully loaded cost is not a failure of the technology — it is the arithmetic of a $300k+/m³-d capital intensity amortized over 3,300 m³/yr, which is why Part I positioned the module only under destruction-priced umbrellas ($1.63–4.88/gal PFAS-concentrate incumbents), never against treatment-priced ones. Second, the 100 m³/d rung is where HCSP crosses into treatment-market territory: ~$76–180/m³ overlaps the hazardous-waste and biosolids disposal bands and matches the vendor’s own $50/wet-ton projection at 30 t/d [^V2D1-20^]. Third, the 1,900 m³/d band is deliberately wide ($28–110/m³) because it spans the design fork that dominates hub economics — a custom single-train plant at n ≈ 0.6 is roughly 3× cheaper per cubic meter than ~75 parallel containers at n ≈ 0.85, but no train above ~306 t/d has ever operated, so the cheap branch carries first-of-kind execution risk [^V2D1-26^]. Note that even the optimistic hub case does not reach LANL’s $2–3/m³ on dilute feed: that figure requires an autothermal, hydrocarbon-rich feed with power recovery and CO₂ credits under favorable financing (FCR 7%, 25-yr life), and should be treated as an optimistic bound, not a market price [^V2D1-3^]. The capital charge, not energy, dominates the dilute-feed cost stack at every rung — which is what makes the next section’s feed-strength crossover so consequential: it is the only lever that moves energy from cost to revenue.</w:t>
      </w:r>
    </w:p>
    <w:bookmarkEnd w:id="137"/>
    <w:bookmarkEnd w:id="138"/>
    <w:bookmarkStart w:id="143" w:name="the-energy-crossover"/>
    <w:p>
      <w:pPr>
        <w:pStyle w:val="Heading2"/>
      </w:pPr>
      <w:r>
        <w:t xml:space="preserve">11.3 The Energy Crossover</w:t>
      </w:r>
    </w:p>
    <w:bookmarkStart w:id="142" w:name="X258ab295fee539d3e4a8b5bd38ca8d4b0d28b6f"/>
    <w:p>
      <w:pPr>
        <w:pStyle w:val="Heading3"/>
      </w:pPr>
      <w:r>
        <w:t xml:space="preserve">11.3.1 Net-zero at ~35–40 g/L COD; meaningful export from ~60 g/L — the crossover, not the ladder, decides which verticals pay</w:t>
      </w:r>
    </w:p>
    <w:p>
      <w:pPr>
        <w:pStyle w:val="FirstParagraph"/>
      </w:pPr>
      <w:r>
        <w:t xml:space="preserve">The single most important number in this chapter is not a cost; it is a feed concentration. LANL’s integrated SCWO-desalination model shows net electricity falling from +18 kWh_e/m³ imported to −60 kWh_e/m³ exported as feed hydrocarbon content rises from 0 to 53 g/L (≈0–160 g/L COD), crossing zero at ~35–40 g/L COD with a reheat-Rankine power cycle converting 37.8% of recovered heat [^V2D1-4^]. Independent constraints bracket the same line from both sides: heat self-sufficiency is demonstrated experimentally above 60 g/L COD, electricity generation is judged possible above 100 g/L COD in the European refiners’ review, and the theoretical autothermal floor sits near 20–30 g/L organics depending on heat-recovery assumptions [^V2D1-25^][^V2D1-26^][^V2D1-13^][^V2D1-22^]. A fair consolidated statement: net-zero at ~35–40 g/L COD, meaningful export (≥10 kWh_e/m³) from ~60 g/L, and large export (~60 kWh_e/m³, worth ~$5/m³ at $0.086/kWh) at ~150 g/L [^V2D1-4^][^V2D1-3^]. Sludge-fed plants corroborate the export ceiling: the Australian water utilities’ review rates SCWO at 10% dry solids a net energy producer with 3.0–3.5 MWh/tDS recoverable [^V2D1-27^].</w:t>
      </w:r>
    </w:p>
    <w:p>
      <w:pPr>
        <w:pStyle w:val="CaptionedFigure"/>
      </w:pPr>
      <w:r>
        <w:drawing>
          <wp:inline>
            <wp:extent cx="5334000" cy="3635114"/>
            <wp:effectExtent b="0" l="0" r="0" t="0"/>
            <wp:docPr descr="SCWO net energy vs. feed COD at module, hub, and regional-hub scale; net-zero at ~35–40 g/L COD and power export shaded above ~60 g/L. Source: LANL/OSTI 1990108 and 3001291 anchor points; module/mid-scale lines are model interpolations." title="" id="140" name="Picture"/>
            <a:graphic>
              <a:graphicData uri="http://schemas.openxmlformats.org/drawingml/2006/picture">
                <pic:pic>
                  <pic:nvPicPr>
                    <pic:cNvPr descr="hcsp_sec11_energy_crossover.png" id="141" name="Picture"/>
                    <pic:cNvPicPr>
                      <a:picLocks noChangeArrowheads="1" noChangeAspect="1"/>
                    </pic:cNvPicPr>
                  </pic:nvPicPr>
                  <pic:blipFill>
                    <a:blip r:embed="rId139"/>
                    <a:stretch>
                      <a:fillRect/>
                    </a:stretch>
                  </pic:blipFill>
                  <pic:spPr bwMode="auto">
                    <a:xfrm>
                      <a:off x="0" y="0"/>
                      <a:ext cx="5334000" cy="3635114"/>
                    </a:xfrm>
                    <a:prstGeom prst="rect">
                      <a:avLst/>
                    </a:prstGeom>
                    <a:noFill/>
                    <a:ln w="9525">
                      <a:noFill/>
                      <a:headEnd/>
                      <a:tailEnd/>
                    </a:ln>
                  </pic:spPr>
                </pic:pic>
              </a:graphicData>
            </a:graphic>
          </wp:inline>
        </w:drawing>
      </w:r>
    </w:p>
    <w:p>
      <w:pPr>
        <w:pStyle w:val="ImageCaption"/>
      </w:pPr>
      <w:r>
        <w:t xml:space="preserve">SCWO net energy vs. feed COD at module, hub, and regional-hub scale; net-zero at ~35–40 g/L COD and power export shaded above ~60 g/L. Source: LANL/OSTI 1990108 and 3001291 anchor points; module/mid-scale lines are model interpolations.</w:t>
      </w:r>
    </w:p>
    <w:p>
      <w:pPr>
        <w:pStyle w:val="BodyText"/>
      </w:pPr>
      <w:r>
        <w:t xml:space="preserve">The chart makes the strategic asymmetry visible. Scale moves the</w:t>
      </w:r>
      <w:r>
        <w:t xml:space="preserve"> </w:t>
      </w:r>
      <w:r>
        <w:rPr>
          <w:iCs/>
          <w:i/>
        </w:rPr>
        <w:t xml:space="preserve">intercept</w:t>
      </w:r>
      <w:r>
        <w:t xml:space="preserve"> </w:t>
      </w:r>
      <w:r>
        <w:t xml:space="preserve">— how much a dilute stream costs to process — while feed strength moves the</w:t>
      </w:r>
      <w:r>
        <w:t xml:space="preserve"> </w:t>
      </w:r>
      <w:r>
        <w:rPr>
          <w:iCs/>
          <w:i/>
        </w:rPr>
        <w:t xml:space="preserve">slope</w:t>
      </w:r>
      <w:r>
        <w:t xml:space="preserve"> </w:t>
      </w:r>
      <w:r>
        <w:t xml:space="preserve">— whether the process is an energy consumer or producer at all. A 10 m³/day module without a power cycle can approach but not profitably cross the zero line; a hub with a Rankine or organic Rankine cycle (ORC) bottoming stage crosses at ~35–40 g/L and exports thereafter [^V2D1-4^][^V2D1-28^]. This is why the scale ladder and the feed-strength screen from Chapter 10 are complements, not alternatives: scale without concentration buys cheaper energy imports; concentration without scale forfeits the conversion hardware that turns oxidation heat into revenue.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Scale class</w:t>
            </w:r>
          </w:p>
        </w:tc>
        <w:tc>
          <w:tcPr/>
          <w:p>
            <w:pPr>
              <w:pStyle w:val="Compact"/>
              <w:jc w:val="left"/>
            </w:pPr>
            <w:r>
              <w:t xml:space="preserve">Typical configuration</w:t>
            </w:r>
          </w:p>
        </w:tc>
        <w:tc>
          <w:tcPr/>
          <w:p>
            <w:pPr>
              <w:pStyle w:val="Compact"/>
              <w:jc w:val="left"/>
            </w:pPr>
            <w:r>
              <w:t xml:space="preserve">Feed regime required</w:t>
            </w:r>
          </w:p>
        </w:tc>
        <w:tc>
          <w:tcPr/>
          <w:p>
            <w:pPr>
              <w:pStyle w:val="Compact"/>
              <w:jc w:val="left"/>
            </w:pPr>
            <w:r>
              <w:t xml:space="preserve">Best-fit verticals (measured feed COD)</w:t>
            </w:r>
          </w:p>
        </w:tc>
        <w:tc>
          <w:tcPr/>
          <w:p>
            <w:pPr>
              <w:pStyle w:val="Compact"/>
              <w:jc w:val="left"/>
            </w:pPr>
            <w:r>
              <w:t xml:space="preserve">Strategic role</w:t>
            </w:r>
          </w:p>
        </w:tc>
      </w:tr>
      <w:tr>
        <w:tc>
          <w:tcPr/>
          <w:p>
            <w:pPr>
              <w:pStyle w:val="Compact"/>
              <w:jc w:val="left"/>
            </w:pPr>
            <w:r>
              <w:t xml:space="preserve">10 m³/d module</w:t>
            </w:r>
          </w:p>
        </w:tc>
        <w:tc>
          <w:tcPr/>
          <w:p>
            <w:pPr>
              <w:pStyle w:val="Compact"/>
              <w:jc w:val="left"/>
            </w:pPr>
            <w:r>
              <w:t xml:space="preserve">One containerized train + upstream concentrator</w:t>
            </w:r>
          </w:p>
        </w:tc>
        <w:tc>
          <w:tcPr/>
          <w:p>
            <w:pPr>
              <w:pStyle w:val="Compact"/>
              <w:jc w:val="left"/>
            </w:pPr>
            <w:r>
              <w:t xml:space="preserve">20–150 g/L</w:t>
            </w:r>
            <w:r>
              <w:t xml:space="preserve"> </w:t>
            </w:r>
            <w:r>
              <w:rPr>
                <w:iCs/>
                <w:i/>
              </w:rPr>
              <w:t xml:space="preserve">after</w:t>
            </w:r>
            <w:r>
              <w:t xml:space="preserve"> </w:t>
            </w:r>
            <w:r>
              <w:t xml:space="preserve">concentration</w:t>
            </w:r>
          </w:p>
        </w:tc>
        <w:tc>
          <w:tcPr/>
          <w:p>
            <w:pPr>
              <w:pStyle w:val="Compact"/>
              <w:jc w:val="left"/>
            </w:pPr>
            <w:r>
              <w:t xml:space="preserve">PFAS/AFFF and leachate concentrates; pharma mother liquors and solvent-recovery bottoms (bulk pharma effluent 2–80 g/L [^D2-1^]); fab solvent/CMP side-streams (organic streams 0.5–5 g/L [^D3-6^])</w:t>
            </w:r>
          </w:p>
        </w:tc>
        <w:tc>
          <w:tcPr/>
          <w:p>
            <w:pPr>
              <w:pStyle w:val="Compact"/>
              <w:jc w:val="left"/>
            </w:pPr>
            <w:r>
              <w:t xml:space="preserve">Destruction-margin business; energy stays a cost line</w:t>
            </w:r>
          </w:p>
        </w:tc>
      </w:tr>
      <w:tr>
        <w:tc>
          <w:tcPr/>
          <w:p>
            <w:pPr>
              <w:pStyle w:val="Compact"/>
              <w:jc w:val="left"/>
            </w:pPr>
            <w:r>
              <w:t xml:space="preserve">100 m³/d industrial hub</w:t>
            </w:r>
          </w:p>
        </w:tc>
        <w:tc>
          <w:tcPr/>
          <w:p>
            <w:pPr>
              <w:pStyle w:val="Compact"/>
              <w:jc w:val="left"/>
            </w:pPr>
            <w:r>
              <w:t xml:space="preserve">4–10 parallel modules, shared utilities</w:t>
            </w:r>
          </w:p>
        </w:tc>
        <w:tc>
          <w:tcPr/>
          <w:p>
            <w:pPr>
              <w:pStyle w:val="Compact"/>
              <w:jc w:val="left"/>
            </w:pPr>
            <w:r>
              <w:t xml:space="preserve">30–100 g/L</w:t>
            </w:r>
          </w:p>
        </w:tc>
        <w:tc>
          <w:tcPr/>
          <w:p>
            <w:pPr>
              <w:pStyle w:val="Compact"/>
              <w:jc w:val="left"/>
            </w:pPr>
            <w:r>
              <w:t xml:space="preserve">Municipal biosolids (sludge COD &gt;70 g/L [^V2D1-19^]); pharma/API campuses; single distilleries (vinasse 100–160 g/L [^V2D3-22^])</w:t>
            </w:r>
          </w:p>
        </w:tc>
        <w:tc>
          <w:tcPr/>
          <w:p>
            <w:pPr>
              <w:pStyle w:val="Compact"/>
              <w:jc w:val="left"/>
            </w:pPr>
            <w:r>
              <w:t xml:space="preserve">First rung where autothermal operation + ORC bottoming pays</w:t>
            </w:r>
          </w:p>
        </w:tc>
      </w:tr>
      <w:tr>
        <w:tc>
          <w:tcPr/>
          <w:p>
            <w:pPr>
              <w:pStyle w:val="Compact"/>
              <w:jc w:val="left"/>
            </w:pPr>
            <w:r>
              <w:t xml:space="preserve">1,000 m³/d plant</w:t>
            </w:r>
          </w:p>
        </w:tc>
        <w:tc>
          <w:tcPr/>
          <w:p>
            <w:pPr>
              <w:pStyle w:val="Compact"/>
              <w:jc w:val="left"/>
            </w:pPr>
            <w:r>
              <w:t xml:space="preserve">Parallel-module farm or hybrid stick-built</w:t>
            </w:r>
          </w:p>
        </w:tc>
        <w:tc>
          <w:tcPr/>
          <w:p>
            <w:pPr>
              <w:pStyle w:val="Compact"/>
              <w:jc w:val="left"/>
            </w:pPr>
            <w:r>
              <w:t xml:space="preserve">60–160 g/L</w:t>
            </w:r>
          </w:p>
        </w:tc>
        <w:tc>
          <w:tcPr/>
          <w:p>
            <w:pPr>
              <w:pStyle w:val="Compact"/>
              <w:jc w:val="left"/>
            </w:pPr>
            <w:r>
              <w:t xml:space="preserve">India molasses-distillery clusters under zero-liquid-discharge mandate (270 molasses distilleries [^V2D3-28^][^V2D3-29^]); regional biosolids aggregations; island municipalities</w:t>
            </w:r>
          </w:p>
        </w:tc>
        <w:tc>
          <w:tcPr/>
          <w:p>
            <w:pPr>
              <w:pStyle w:val="Compact"/>
              <w:jc w:val="left"/>
            </w:pPr>
            <w:r>
              <w:t xml:space="preserve">Energy-neutral to net-export; feedstock for trigeneration (Ch. 12)</w:t>
            </w:r>
          </w:p>
        </w:tc>
      </w:tr>
      <w:tr>
        <w:tc>
          <w:tcPr/>
          <w:p>
            <w:pPr>
              <w:pStyle w:val="Compact"/>
              <w:jc w:val="left"/>
            </w:pPr>
            <w:r>
              <w:t xml:space="preserve">1,900 m³/d regional hub (500k gpd)</w:t>
            </w:r>
          </w:p>
        </w:tc>
        <w:tc>
          <w:tcPr/>
          <w:p>
            <w:pPr>
              <w:pStyle w:val="Compact"/>
              <w:jc w:val="left"/>
            </w:pPr>
            <w:r>
              <w:t xml:space="preserve">Custom single-train, LANL-style</w:t>
            </w:r>
          </w:p>
        </w:tc>
        <w:tc>
          <w:tcPr/>
          <w:p>
            <w:pPr>
              <w:pStyle w:val="Compact"/>
              <w:jc w:val="left"/>
            </w:pPr>
            <w:r>
              <w:t xml:space="preserve">Site-specific; design basis hydrocarbon-rich</w:t>
            </w:r>
          </w:p>
        </w:tc>
        <w:tc>
          <w:tcPr/>
          <w:p>
            <w:pPr>
              <w:pStyle w:val="Compact"/>
              <w:jc w:val="left"/>
            </w:pPr>
            <w:r>
              <w:t xml:space="preserve">Produced-water basins at LANL design loading [^V2D1-3^]; multi-plant vinasse aggregation (9–15 L vinasse per L ethanol [^V2D3-23^])</w:t>
            </w:r>
          </w:p>
        </w:tc>
        <w:tc>
          <w:tcPr/>
          <w:p>
            <w:pPr>
              <w:pStyle w:val="Compact"/>
              <w:jc w:val="left"/>
            </w:pPr>
            <w:r>
              <w:t xml:space="preserve">Design-study class; only rung where $2–3/m³ LCOW is reachable [^V2D1-3^]</w:t>
            </w:r>
          </w:p>
        </w:tc>
      </w:tr>
    </w:tbl>
    <w:p>
      <w:pPr>
        <w:pStyle w:val="BodyText"/>
      </w:pPr>
      <w:r>
        <w:rPr>
          <w:bCs/>
          <w:b/>
        </w:rPr>
        <w:t xml:space="preserve">Which streams sit above the line — and which never will.</w:t>
      </w:r>
      <w:r>
        <w:t xml:space="preserve"> </w:t>
      </w:r>
      <w:r>
        <w:t xml:space="preserve">Above the crossover: sugarcane and molasses vinasse at 100–160 g/L COD (Brazilian raw vinasse independently measured at 77 g/L), the strongest SCWO-native feed identified anywhere in this report’s vertical scan [^V2D3-22^][^V2D3-24^]; dewatered biosolids slurries above ~70 g/L [^V2D1-19^]; and the segregated strong streams of pharma — mother liquors and solvent bottoms well above the 2–80 g/L bulk-effluent range [^D2-1^]. Corn-ethanol stillage at ~27 g/L COD sits just below the line and needs blending or mild concentration [^V2D3-26^]. Structurally below it: brewery effluent at 2–6 g/L [^V2D3-27^], fab bulk effluent — 12,000–23,000 m³/day per fab of dilute stream treated conventionally at $0.5–2/m³, a 100–400× cost gap no SCWO configuration closes [^D3-7^] — produced water, whose organic loading in most basins is far below the LANL design assumption and whose salinity is an inorganic problem SCWO does not solve [^V2D1-3^][^D11-35^], and controlled-environment agriculture (CEA) runoff at ~99.8% water, two orders of magnitude below the autothermal threshold [^D1-15^]. The investment rule follows directly: at hub scale, HCSP should be sited where streams above ~60 g/L COD aggregate — distillery clusters, biosolids corridors, pharma campuses — because those sites convert the ladder’s falling costs into a rising energy credit, the exact configuration Chapters 12 and 13 monetize as trigeneration and backup power. Conversely, any hub-scale proposal whose feed assay sits below ~30 g/L is a dilute-stream plant with extra steps, and should be rejected at screening regardless of the volume on offer.</w:t>
      </w:r>
    </w:p>
    <w:bookmarkEnd w:id="142"/>
    <w:bookmarkEnd w:id="143"/>
    <w:bookmarkEnd w:id="144"/>
    <w:bookmarkStart w:id="160" w:name="trigeneration-water-power-and-cooling"/>
    <w:p>
      <w:pPr>
        <w:pStyle w:val="Heading1"/>
      </w:pPr>
      <w:r>
        <w:t xml:space="preserve">12. Trigeneration: Water, Power, and Cooling</w:t>
      </w:r>
    </w:p>
    <w:p>
      <w:pPr>
        <w:pStyle w:val="FirstParagraph"/>
      </w:pPr>
      <w:r>
        <w:rPr>
          <w:bCs/>
          <w:b/>
        </w:rPr>
        <w:t xml:space="preserve">Bottom line:</w:t>
      </w:r>
      <w:r>
        <w:t xml:space="preserve"> </w:t>
      </w:r>
      <w:r>
        <w:t xml:space="preserve">once a supercritical water oxidation (SCWO) plant crosses the autothermal threshold, it stops being a treatment cost center and starts behaving like a small utility — but only for concentrated feeds. On feed at or above roughly 100 grams per litre (g/L) of chemical oxygen demand (COD), a 1,000 m³/day HCSP plant exports 6.4–11.2 megawatts of thermal energy (MW_th) after covering its own preheating, convertible into about 1.4 MW of electricity plus 4.9 MW of absorption cooling alongside its distilled-water output.[^V2D2-66^][^V2D2-69^] The strategic implication is direct: trigeneration upgrades the economics of food-and-beverage (F&amp;B), biosolids, and distillery projects — the verticals with concentrated feeds and adjacent cooling or power demand — and it does nothing for dilute streams, which remain treatment-only sales. Buyers and investors should therefore treat trigeneration as a feed-screening criterion, not a bolt-on feature.</w:t>
      </w:r>
    </w:p>
    <w:bookmarkStart w:id="150" w:name="the-heat-allocation-model"/>
    <w:p>
      <w:pPr>
        <w:pStyle w:val="Heading2"/>
      </w:pPr>
      <w:r>
        <w:t xml:space="preserve">12.1 The Heat-Allocation Model</w:t>
      </w:r>
    </w:p>
    <w:bookmarkStart w:id="145" w:name="surplus-heat-at-scale"/>
    <w:p>
      <w:pPr>
        <w:pStyle w:val="Heading3"/>
      </w:pPr>
      <w:r>
        <w:t xml:space="preserve">12.1.1 Surplus heat at scale</w:t>
      </w:r>
    </w:p>
    <w:p>
      <w:pPr>
        <w:pStyle w:val="FirstParagraph"/>
      </w:pPr>
      <w:r>
        <w:t xml:space="preserve">The physics of surplus heat is a threshold phenomenon, and the threshold is COD concentration. Oxidation of organic matter releases approximately 13.88 kilojoules per gram of COD,[^V2D2-66^] so a 1,000 m³/day plant receives a chemical-energy inflow that scales linearly with feed strength. Against that inflow stands a roughly fixed outflow: preheating 41.7 tonnes per hour of feedwater from ambient to supercritical conditions (about 400 °C at 25 megapascals) demands approximately 32.3 MW_th gross, of which a well-designed economizer train recovers 70–85%.[^V2D2-66^][^V2D2-68^] Experimental SCWO systems have validated recovery at 78.8–79.0% and energy self-sufficiency above 60 g/L COD,[^V2D2-69^] and independent engineering analysis of integrated SCWO plants places the net-energy crossover at roughly 35–40 g/L COD — cross-validating the threshold from two directions.[^V2D1-4^]</w:t>
      </w:r>
    </w:p>
    <w:p>
      <w:pPr>
        <w:pStyle w:val="BodyText"/>
      </w:pPr>
      <w:r>
        <w:t xml:space="preserve">What this means in practice is that feed concentration decides whether there is anything to sell. At 60 g/L COD the plant releases about 9.6 MW_th of reaction heat and sits exactly at the autothermal line: depending on heat-integration quality it exports between zero and 4.8 MW_th.[^V2D2-66^][^V2D2-69^] At 100 g/L, reaction heat rises to about 16.1 MW_th and exportable surplus reaches 6.4–11.2 MW_th.[^V2D2-66^] At 200 g/L — the top of the 30–200 g/L economic window cited for SCWO feeds — surplus climbs to 22–27 MW_th, equivalent to as much as 16 MW of cooling through an absorption chiller.[^V2D2-67^] The University of Cádiz pilot, which recovered 118 kW (71% of feed chemical energy) from a 1 t/h oily-waste unit, scales to roughly 4.9 MW at the 1,000 m³/day plant size and lands inside the model’s 60 g/L band — a useful empirical sanity check that the arithmetic is not optimistic.[^V2D2-71^] The decision rule for project screening is therefore simple: below ~80 g/L COD, quote HCSP as a destruction system; at or above ~100 g/L, quote it as destruction plus a utility revenue stack.</w:t>
      </w:r>
    </w:p>
    <w:bookmarkEnd w:id="145"/>
    <w:bookmarkStart w:id="149" w:name="Xb7d8ae0ae8ab11985c4d204052550ba88887733"/>
    <w:p>
      <w:pPr>
        <w:pStyle w:val="Heading3"/>
      </w:pPr>
      <w:r>
        <w:t xml:space="preserve">12.1.2 The monetization hierarchy: power first, cooling second — unless chilled water is sold retail</w:t>
      </w:r>
    </w:p>
    <w:p>
      <w:pPr>
        <w:pStyle w:val="FirstParagraph"/>
      </w:pPr>
      <w:r>
        <w:t xml:space="preserve">Surplus heat is not equally valuable in every form, and the ranking determines plant configuration. At a representative industrial electricity price of $0.10/kWh, one megawatt-hour of surplus heat converted through a small steam turbine at 15–20% efficiency yields 0.15–0.20 MWh of electricity worth</w:t>
      </w:r>
      <w:r>
        <w:t xml:space="preserve"> </w:t>
      </w:r>
      <w:r>
        <w:rPr>
          <w:bCs/>
          <w:b/>
        </w:rPr>
        <w:t xml:space="preserve">$15–20 per MWh_th</w:t>
      </w:r>
      <w:r>
        <w:t xml:space="preserve">. The same heat fed to a single-effect absorption chiller (coefficient of performance, COP, of 0.6) delivers 0.6 MWh of cooling, which avoids only about 0.10 MWh of electric-chiller consumption — worth roughly</w:t>
      </w:r>
      <w:r>
        <w:t xml:space="preserve"> </w:t>
      </w:r>
      <w:r>
        <w:rPr>
          <w:bCs/>
          <w:b/>
        </w:rPr>
        <w:t xml:space="preserve">$10 per MWh_th</w:t>
      </w:r>
      <w:r>
        <w:t xml:space="preserve">, given modern electric chillers at 0.5–0.6 kW per refrigeration ton (RT).[^V2D2-59^] Cooling routed through heat thus monetizes at one-half to two-thirds the rate of power. The exception is decisive: where chilled water can be sold as a metered utility at district-cooling tariffs — the Singapore Marina Bay and Dubai Empower model — the same megawatt-hour of heat is worth</w:t>
      </w:r>
      <w:r>
        <w:t xml:space="preserve"> </w:t>
      </w:r>
      <w:r>
        <w:rPr>
          <w:bCs/>
          <w:b/>
        </w:rPr>
        <w:t xml:space="preserve">$30–48</w:t>
      </w:r>
      <w:r>
        <w:t xml:space="preserve">, and cooling leapfrogs power.[^V2D2-42^] Trigeneration economics are also dispatch-sensitive: academic analyses of combined cooling, heat and power (CCHP) find that the cooling-and-power mode can underperform separate production unless dispatch follows the tariff structure, so the value stack must be engineered into the operating strategy rather than assumed.[^V2D2-57^]</w:t>
      </w:r>
    </w:p>
    <w:p>
      <w:pPr>
        <w:pStyle w:val="BodyText"/>
      </w:pPr>
      <w:r>
        <w:t xml:space="preserve">Applying the hierarchy to the base-case plant (1,000 m³/day, 100 g/L COD, 80% heat recovery, 9.6 MW_th surplus) produces the optimal cascade shown in Figure 12.1: a back-pressure or extraction turbine takes the high-temperature slice for ~1.4 MW_e of power, and the remaining ~8.2 MW_th at 150–180 °C drives an ammonia-water absorption generator delivering ~4.9 MW of cooling (about 1,392 RT). This split is worth approximately $1.15 million per year at 8,000 operating hours — against ~$0.79 million per year if the entire surplus were committed to cooling alone. Cooling’s correct role is to harvest the low-temperature tail of the cascade, where power conversion efficiency collapses below 8–10%, not to claim the whole surplus.</w:t>
      </w:r>
    </w:p>
    <w:p>
      <w:pPr>
        <w:pStyle w:val="CaptionedFigure"/>
      </w:pPr>
      <w:r>
        <w:drawing>
          <wp:inline>
            <wp:extent cx="5334000" cy="3149599"/>
            <wp:effectExtent b="0" l="0" r="0" t="0"/>
            <wp:docPr descr="HCSP heat-allocation cascade for a 1,000 m³/day plant on 100 g/L COD feed: 16.1 MW_th gross reaction heat, 6.5 MW_th internal preheat duty, 9.6 MW_th exportable surplus split into 1.4 MW_e power and 4.9 MW_c cooling. Source: HCSP research dimensions 01–02 heat-allocation model." title="" id="147" name="Picture"/>
            <a:graphic>
              <a:graphicData uri="http://schemas.openxmlformats.org/drawingml/2006/picture">
                <pic:pic>
                  <pic:nvPicPr>
                    <pic:cNvPr descr="hcsp_sec12_heat_allocation.png" id="148" name="Picture"/>
                    <pic:cNvPicPr>
                      <a:picLocks noChangeArrowheads="1" noChangeAspect="1"/>
                    </pic:cNvPicPr>
                  </pic:nvPicPr>
                  <pic:blipFill>
                    <a:blip r:embed="rId146"/>
                    <a:stretch>
                      <a:fillRect/>
                    </a:stretch>
                  </pic:blipFill>
                  <pic:spPr bwMode="auto">
                    <a:xfrm>
                      <a:off x="0" y="0"/>
                      <a:ext cx="5334000" cy="3149599"/>
                    </a:xfrm>
                    <a:prstGeom prst="rect">
                      <a:avLst/>
                    </a:prstGeom>
                    <a:noFill/>
                    <a:ln w="9525">
                      <a:noFill/>
                      <a:headEnd/>
                      <a:tailEnd/>
                    </a:ln>
                  </pic:spPr>
                </pic:pic>
              </a:graphicData>
            </a:graphic>
          </wp:inline>
        </w:drawing>
      </w:r>
    </w:p>
    <w:p>
      <w:pPr>
        <w:pStyle w:val="ImageCaption"/>
      </w:pPr>
      <w:r>
        <w:t xml:space="preserve">HCSP heat-allocation cascade for a 1,000 m³/day plant on 100 g/L COD feed: 16.1 MW_th gross reaction heat, 6.5 MW_th internal preheat duty, 9.6 MW_th exportable surplus split into 1.4 MW_e power and 4.9 MW_c cooling. Source: HCSP research dimensions 01–02 heat-allocation model.</w:t>
      </w:r>
    </w:p>
    <w:p>
      <w:pPr>
        <w:pStyle w:val="BodyText"/>
      </w:pPr>
      <w:r>
        <w:rPr>
          <w:iCs/>
          <w:i/>
        </w:rPr>
        <w:t xml:space="preserve">Figure 12.1 — Heat-allocation cascade, base case (η = 0.80, NH₃–H₂O absorption at COP 0.6). The 6.4–11.2 MW_th band reflects heat-recovery efficiency of 70–85%.[^V2D2-68^][^V2D2-69^]</w:t>
      </w:r>
    </w:p>
    <w:p>
      <w:pPr>
        <w:pStyle w:val="BodyText"/>
      </w:pPr>
      <w:r>
        <w:t xml:space="preserve">The figure’s commercial message is that roughly 60% of gross reaction heat never leaves the plant — it is the price of autothermal operation — and that the deliverable output mix (1.4 MW_e + 4.9 MW_c + ~900 m³/day of recovered water) is a displacement stack, not a primary supply. Every downstream buyer contract should therefore be structured around avoided cost with backup, which is precisely how the cooling technology choice in the next section must be evaluated.</w:t>
      </w:r>
    </w:p>
    <w:bookmarkEnd w:id="149"/>
    <w:bookmarkEnd w:id="150"/>
    <w:bookmarkStart w:id="153" w:name="cooling-from-waste-heat"/>
    <w:p>
      <w:pPr>
        <w:pStyle w:val="Heading2"/>
      </w:pPr>
      <w:r>
        <w:t xml:space="preserve">12.2 Cooling From Waste Heat</w:t>
      </w:r>
    </w:p>
    <w:bookmarkStart w:id="151" w:name="X9cbc9ce14f0498ee39be11e70fe671688a4c697"/>
    <w:p>
      <w:pPr>
        <w:pStyle w:val="Heading3"/>
      </w:pPr>
      <w:r>
        <w:t xml:space="preserve">12.2.1 Two absorption chemistries, two different customers</w:t>
      </w:r>
    </w:p>
    <w:p>
      <w:pPr>
        <w:pStyle w:val="FirstParagraph"/>
      </w:pPr>
      <w:r>
        <w:t xml:space="preserve">The absorption chiller market offers exactly two mature working pairs, and they are not interchangeable. Selecting between lithium bromide–water (LiBr–H₂O) and ammonia–water (NH₃–H₂O) is a temperature-and-duty decision that should be made from the offtaker’s cooling specification, not from equipment availability.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LiBr–water (single-effect)</w:t>
            </w:r>
          </w:p>
        </w:tc>
        <w:tc>
          <w:tcPr/>
          <w:p>
            <w:pPr>
              <w:pStyle w:val="Compact"/>
              <w:jc w:val="left"/>
            </w:pPr>
            <w:r>
              <w:t xml:space="preserve">Ammonia–water (single-effect)</w:t>
            </w:r>
          </w:p>
        </w:tc>
      </w:tr>
      <w:tr>
        <w:tc>
          <w:tcPr/>
          <w:p>
            <w:pPr>
              <w:pStyle w:val="Compact"/>
              <w:jc w:val="left"/>
            </w:pPr>
            <w:r>
              <w:t xml:space="preserve">Cooling COP</w:t>
            </w:r>
          </w:p>
        </w:tc>
        <w:tc>
          <w:tcPr/>
          <w:p>
            <w:pPr>
              <w:pStyle w:val="Compact"/>
              <w:jc w:val="left"/>
            </w:pPr>
            <w:r>
              <w:t xml:space="preserve">0.7–0.8 [^V2D2-2^][^V2D2-5^]</w:t>
            </w:r>
          </w:p>
        </w:tc>
        <w:tc>
          <w:tcPr/>
          <w:p>
            <w:pPr>
              <w:pStyle w:val="Compact"/>
              <w:jc w:val="left"/>
            </w:pPr>
            <w:r>
              <w:t xml:space="preserve">0.4–0.6 literature; 0.6–0.75 design guide [^V2D2-2^][^V2D2-4^]</w:t>
            </w:r>
          </w:p>
        </w:tc>
      </w:tr>
      <w:tr>
        <w:tc>
          <w:tcPr/>
          <w:p>
            <w:pPr>
              <w:pStyle w:val="Compact"/>
              <w:jc w:val="left"/>
            </w:pPr>
            <w:r>
              <w:t xml:space="preserve">Drive temperature</w:t>
            </w:r>
          </w:p>
        </w:tc>
        <w:tc>
          <w:tcPr/>
          <w:p>
            <w:pPr>
              <w:pStyle w:val="Compact"/>
              <w:jc w:val="left"/>
            </w:pPr>
            <w:r>
              <w:t xml:space="preserve">70–120 °C hot water [^V2D2-5^]</w:t>
            </w:r>
          </w:p>
        </w:tc>
        <w:tc>
          <w:tcPr/>
          <w:p>
            <w:pPr>
              <w:pStyle w:val="Compact"/>
              <w:jc w:val="left"/>
            </w:pPr>
            <w:r>
              <w:t xml:space="preserve">95–180 °C (min. ~82 °C hot water / ~20 psig steam) [^V2D2-3^]</w:t>
            </w:r>
          </w:p>
        </w:tc>
      </w:tr>
      <w:tr>
        <w:tc>
          <w:tcPr/>
          <w:p>
            <w:pPr>
              <w:pStyle w:val="Compact"/>
              <w:jc w:val="left"/>
            </w:pPr>
            <w:r>
              <w:t xml:space="preserve">Evaporation floor</w:t>
            </w:r>
          </w:p>
        </w:tc>
        <w:tc>
          <w:tcPr/>
          <w:p>
            <w:pPr>
              <w:pStyle w:val="Compact"/>
              <w:jc w:val="left"/>
            </w:pPr>
            <w:r>
              <w:t xml:space="preserve">Above freezing only (~5 °C chilled water) [^V2D2-2^]</w:t>
            </w:r>
          </w:p>
        </w:tc>
        <w:tc>
          <w:tcPr/>
          <w:p>
            <w:pPr>
              <w:pStyle w:val="Compact"/>
              <w:jc w:val="left"/>
            </w:pPr>
            <w:r>
              <w:t xml:space="preserve">Sub-zero to −60 °C [^V2D2-21^][^V2D2-8^]</w:t>
            </w:r>
          </w:p>
        </w:tc>
      </w:tr>
      <w:tr>
        <w:tc>
          <w:tcPr/>
          <w:p>
            <w:pPr>
              <w:pStyle w:val="Compact"/>
              <w:jc w:val="left"/>
            </w:pPr>
            <w:r>
              <w:t xml:space="preserve">Best-fit duty</w:t>
            </w:r>
          </w:p>
        </w:tc>
        <w:tc>
          <w:tcPr/>
          <w:p>
            <w:pPr>
              <w:pStyle w:val="Compact"/>
              <w:jc w:val="left"/>
            </w:pPr>
            <w:r>
              <w:t xml:space="preserve">HVAC, data halls, campuses, district cooling</w:t>
            </w:r>
          </w:p>
        </w:tc>
        <w:tc>
          <w:tcPr/>
          <w:p>
            <w:pPr>
              <w:pStyle w:val="Compact"/>
              <w:jc w:val="left"/>
            </w:pPr>
            <w:r>
              <w:t xml:space="preserve">Cold storage, ice plants, food/dairy/meat process refrigeration [^V2D2-3^][^V2D2-24^]</w:t>
            </w:r>
          </w:p>
        </w:tc>
      </w:tr>
      <w:tr>
        <w:tc>
          <w:tcPr/>
          <w:p>
            <w:pPr>
              <w:pStyle w:val="Compact"/>
              <w:jc w:val="left"/>
            </w:pPr>
            <w:r>
              <w:t xml:space="preserve">Safety / siting</w:t>
            </w:r>
          </w:p>
        </w:tc>
        <w:tc>
          <w:tcPr/>
          <w:p>
            <w:pPr>
              <w:pStyle w:val="Compact"/>
              <w:jc w:val="left"/>
            </w:pPr>
            <w:r>
              <w:t xml:space="preserve">Non-toxic salt solution; building-safe [^V2D2-3^]</w:t>
            </w:r>
          </w:p>
        </w:tc>
        <w:tc>
          <w:tcPr/>
          <w:p>
            <w:pPr>
              <w:pStyle w:val="Compact"/>
              <w:jc w:val="left"/>
            </w:pPr>
            <w:r>
              <w:t xml:space="preserve">Toxic (IDLH 300 ppm); OSHA PSM / EPA RMP above 10,000 lb charge; IIAR 2 / ASHRAE 15 design codes [^V2D2-3^][^V2D2-24^]</w:t>
            </w:r>
          </w:p>
        </w:tc>
      </w:tr>
      <w:tr>
        <w:tc>
          <w:tcPr/>
          <w:p>
            <w:pPr>
              <w:pStyle w:val="Compact"/>
              <w:jc w:val="left"/>
            </w:pPr>
            <w:r>
              <w:t xml:space="preserve">Unit scale</w:t>
            </w:r>
          </w:p>
        </w:tc>
        <w:tc>
          <w:tcPr/>
          <w:p>
            <w:pPr>
              <w:pStyle w:val="Compact"/>
              <w:jc w:val="left"/>
            </w:pPr>
            <w:r>
              <w:t xml:space="preserve">50 RT to &gt;3,300 RT catalogue machines (Thermax, BROAD, YORK, Carrier) [^V2D2-7^][^V2D2-14^][^V2D2-16^]</w:t>
            </w:r>
          </w:p>
        </w:tc>
        <w:tc>
          <w:tcPr/>
          <w:p>
            <w:pPr>
              <w:pStyle w:val="Compact"/>
              <w:jc w:val="left"/>
            </w:pPr>
            <w:r>
              <w:t xml:space="preserve">~17–750 kW engineered-to-order units (Robur, Colibri, Energy Concepts) [^V2D2-22^]</w:t>
            </w:r>
          </w:p>
        </w:tc>
      </w:tr>
      <w:tr>
        <w:tc>
          <w:tcPr/>
          <w:p>
            <w:pPr>
              <w:pStyle w:val="Compact"/>
              <w:jc w:val="left"/>
            </w:pPr>
            <w:r>
              <w:t xml:space="preserve">Installed cost</w:t>
            </w:r>
          </w:p>
        </w:tc>
        <w:tc>
          <w:tcPr/>
          <w:p>
            <w:pPr>
              <w:pStyle w:val="Compact"/>
              <w:jc w:val="left"/>
            </w:pPr>
            <w:r>
              <w:t xml:space="preserve">$1,600–3,300/RT (two-stage DOE benchmark); market $1,000–3,000+/RT [^V2D2-25^][^V2D2-27^]</w:t>
            </w:r>
          </w:p>
        </w:tc>
        <w:tc>
          <w:tcPr/>
          <w:p>
            <w:pPr>
              <w:pStyle w:val="Compact"/>
              <w:jc w:val="left"/>
            </w:pPr>
            <w:r>
              <w:t xml:space="preserve">Top of or above that range; custom engineering premium [^V2D2-25^][^V2D2-27^]</w:t>
            </w:r>
          </w:p>
        </w:tc>
      </w:tr>
    </w:tbl>
    <w:p>
      <w:pPr>
        <w:pStyle w:val="BodyText"/>
      </w:pPr>
      <w:r>
        <w:t xml:space="preserve">The comparison yields a clear specification rule. For above-freezing chilled water — data centers, commercial campuses, district-cooling networks — LiBr is the better-matched machine on every axis: it runs on lower-grade heat (70–120 °C), delivers roughly a third more cooling per unit of heat, is available as catalogue equipment up to 12 MW, and carries no toxics siting burden.[^V2D2-2^][^V2D2-5^] Ammonia–water earns its place only where the duty is sub-zero — cold-storage warehouses at −21 °C, ice production, food and dairy process refrigeration — a niche LiBr physically cannot serve because its refrigerant is water.[^V2D2-21^][^V2D2-24^] This split also validates pairing HCSP’s ammonia-based cooling concept with industrial refrigeration customers rather than data halls: ammonia already holds over 95% of the US refrigerated-warehouse installed base, so the absorption variant plugs into a service ecosystem that already exists.[^V2D2-24^] The practical consequence for HCSP project design is that the chiller island should be specified per site after the cooling offtaker is identified — LiBr as the default, ammonia-water reserved for adjacent cold-chain or food-processing anchors.</w:t>
      </w:r>
    </w:p>
    <w:bookmarkEnd w:id="151"/>
    <w:bookmarkStart w:id="152" w:name="practical-limits-that-gate-deployment"/>
    <w:p>
      <w:pPr>
        <w:pStyle w:val="Heading3"/>
      </w:pPr>
      <w:r>
        <w:t xml:space="preserve">12.2.2 Practical limits that gate deployment</w:t>
      </w:r>
    </w:p>
    <w:p>
      <w:pPr>
        <w:pStyle w:val="FirstParagraph"/>
      </w:pPr>
      <w:r>
        <w:t xml:space="preserve">Three constraints discipline the cooling business case. First,</w:t>
      </w:r>
      <w:r>
        <w:t xml:space="preserve"> </w:t>
      </w:r>
      <w:r>
        <w:rPr>
          <w:bCs/>
          <w:b/>
        </w:rPr>
        <w:t xml:space="preserve">scale</w:t>
      </w:r>
      <w:r>
        <w:t xml:space="preserve">: industrial designers cite a minimum of ~500 RT of continuous load for viable ammonia-absorption applications, and commercial units run 150–750 kW each.[^V2D2-3^][^V2D2-22^] A 1,000 m³/day HCSP plant on 60 g/L feed yields only ~300–800 RT of cooling — below the threshold — while 100–150 g/L feeds (1,400–3,000 RT) sit comfortably inside it; this is the quantitative reason trigeneration is a concentrated-feed proposition. Second,</w:t>
      </w:r>
      <w:r>
        <w:t xml:space="preserve"> </w:t>
      </w:r>
      <w:r>
        <w:rPr>
          <w:bCs/>
          <w:b/>
        </w:rPr>
        <w:t xml:space="preserve">intermittency</w:t>
      </w:r>
      <w:r>
        <w:t xml:space="preserve">: SCWO output follows waste deliveries and maintenance cycles, while data halls and cold stores require 24/7 cooling with redundancy — absorption cooling is a displacement layer and full electric backup must be built regardless, which caps the creditable capex offset. Third,</w:t>
      </w:r>
      <w:r>
        <w:t xml:space="preserve"> </w:t>
      </w:r>
      <w:r>
        <w:rPr>
          <w:bCs/>
          <w:b/>
        </w:rPr>
        <w:t xml:space="preserve">real-world performance and balance of plant</w:t>
      </w:r>
      <w:r>
        <w:t xml:space="preserve">: field-measured ammonia-absorption COP on waste heat has come in at 0.28–0.45, versus the 0.6 design figure, cutting cooling value to roughly $7.7 per MWh_th;[^V2D2-23^] absorption machines also reject about 2.4 times the cooling load as heat, roughly doubling cooling-tower cost relative to electric chillers.[^V2D2-26^] None of these limits kills the concept — but together they mean cooling revenue should be underwritten at the conservative end (COP 0.45–0.6, backup capex not credited) and treated as an enhancer on an already-viable destruction business, never as the load-bearing revenue line.</w:t>
      </w:r>
    </w:p>
    <w:bookmarkEnd w:id="152"/>
    <w:bookmarkEnd w:id="153"/>
    <w:bookmarkStart w:id="159" w:name="the-dual-output-vertical-map"/>
    <w:p>
      <w:pPr>
        <w:pStyle w:val="Heading2"/>
      </w:pPr>
      <w:r>
        <w:t xml:space="preserve">12.3 The Dual-Output Vertical Map</w:t>
      </w:r>
    </w:p>
    <w:p>
      <w:pPr>
        <w:pStyle w:val="FirstParagraph"/>
      </w:pPr>
      <w:r>
        <w:t xml:space="preserve">Where do water, power, and cooling simultaneously command premium prices next to a concentrated organic feed? Scoring five candidate verticals on feed fit, price signals, incumbent economics, and regulatory pull produces a clear priority order.</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Vertical</w:t>
            </w:r>
          </w:p>
        </w:tc>
        <w:tc>
          <w:tcPr/>
          <w:p>
            <w:pPr>
              <w:pStyle w:val="Compact"/>
              <w:jc w:val="left"/>
            </w:pPr>
            <w:r>
              <w:t xml:space="preserve">Fit score (1–10)</w:t>
            </w:r>
          </w:p>
        </w:tc>
        <w:tc>
          <w:tcPr/>
          <w:p>
            <w:pPr>
              <w:pStyle w:val="Compact"/>
              <w:jc w:val="left"/>
            </w:pPr>
            <w:r>
              <w:t xml:space="preserve">Feed quality (COD)</w:t>
            </w:r>
          </w:p>
        </w:tc>
        <w:tc>
          <w:tcPr/>
          <w:p>
            <w:pPr>
              <w:pStyle w:val="Compact"/>
              <w:jc w:val="left"/>
            </w:pPr>
            <w:r>
              <w:t xml:space="preserve">Price signals (power / water)</w:t>
            </w:r>
          </w:p>
        </w:tc>
        <w:tc>
          <w:tcPr/>
          <w:p>
            <w:pPr>
              <w:pStyle w:val="Compact"/>
              <w:jc w:val="left"/>
            </w:pPr>
            <w:r>
              <w:t xml:space="preserve">Incumbent to displace</w:t>
            </w:r>
          </w:p>
        </w:tc>
        <w:tc>
          <w:tcPr/>
          <w:p>
            <w:pPr>
              <w:pStyle w:val="Compact"/>
              <w:jc w:val="left"/>
            </w:pPr>
            <w:r>
              <w:t xml:space="preserve">Regulatory driver</w:t>
            </w:r>
          </w:p>
        </w:tc>
        <w:tc>
          <w:tcPr/>
          <w:p>
            <w:pPr>
              <w:pStyle w:val="Compact"/>
              <w:jc w:val="left"/>
            </w:pPr>
            <w:r>
              <w:t xml:space="preserve">Rough SAM</w:t>
            </w:r>
          </w:p>
        </w:tc>
        <w:tc>
          <w:tcPr/>
          <w:p>
            <w:pPr>
              <w:pStyle w:val="Compact"/>
              <w:jc w:val="left"/>
            </w:pPr>
            <w:r>
              <w:t xml:space="preserve">First-entry wedge</w:t>
            </w:r>
          </w:p>
        </w:tc>
      </w:tr>
      <w:tr>
        <w:tc>
          <w:tcPr/>
          <w:p>
            <w:pPr>
              <w:pStyle w:val="Compact"/>
              <w:jc w:val="left"/>
            </w:pPr>
            <w:r>
              <w:t xml:space="preserve">Distillery / ethanol vinasse</w:t>
            </w:r>
          </w:p>
        </w:tc>
        <w:tc>
          <w:tcPr/>
          <w:p>
            <w:pPr>
              <w:pStyle w:val="Compact"/>
              <w:jc w:val="left"/>
            </w:pPr>
            <w:r>
              <w:rPr>
                <w:bCs/>
                <w:b/>
              </w:rPr>
              <w:t xml:space="preserve">7</w:t>
            </w:r>
          </w:p>
        </w:tc>
        <w:tc>
          <w:tcPr/>
          <w:p>
            <w:pPr>
              <w:pStyle w:val="Compact"/>
              <w:jc w:val="left"/>
            </w:pPr>
            <w:r>
              <w:t xml:space="preserve">100–160 g/L — autothermal [^V2D3-22^]</w:t>
            </w:r>
          </w:p>
        </w:tc>
        <w:tc>
          <w:tcPr/>
          <w:p>
            <w:pPr>
              <w:pStyle w:val="Compact"/>
              <w:jc w:val="left"/>
            </w:pPr>
            <w:r>
              <w:t xml:space="preserve">Process steam + fermentation cooling on-site</w:t>
            </w:r>
          </w:p>
        </w:tc>
        <w:tc>
          <w:tcPr/>
          <w:p>
            <w:pPr>
              <w:pStyle w:val="Compact"/>
              <w:jc w:val="left"/>
            </w:pPr>
            <w:r>
              <w:t xml:space="preserve">MEE evaporation + boiler incineration (energy-consuming)</w:t>
            </w:r>
          </w:p>
        </w:tc>
        <w:tc>
          <w:tcPr/>
          <w:p>
            <w:pPr>
              <w:pStyle w:val="Compact"/>
              <w:jc w:val="left"/>
            </w:pPr>
            <w:r>
              <w:t xml:space="preserve">India CPCB zero-liquid-discharge mandate, closure risk [^V2D3-28^]</w:t>
            </w:r>
          </w:p>
        </w:tc>
        <w:tc>
          <w:tcPr/>
          <w:p>
            <w:pPr>
              <w:pStyle w:val="Compact"/>
              <w:jc w:val="left"/>
            </w:pPr>
            <w:r>
              <w:t xml:space="preserve">$2–5B</w:t>
            </w:r>
          </w:p>
        </w:tc>
        <w:tc>
          <w:tcPr/>
          <w:p>
            <w:pPr>
              <w:pStyle w:val="Compact"/>
              <w:jc w:val="left"/>
            </w:pPr>
            <w:r>
              <w:t xml:space="preserve">~270 Indian molasses distilleries [^V2D3-29^]</w:t>
            </w:r>
          </w:p>
        </w:tc>
      </w:tr>
      <w:tr>
        <w:tc>
          <w:tcPr/>
          <w:p>
            <w:pPr>
              <w:pStyle w:val="Compact"/>
              <w:jc w:val="left"/>
            </w:pPr>
            <w:r>
              <w:t xml:space="preserve">Islands / resorts</w:t>
            </w:r>
          </w:p>
        </w:tc>
        <w:tc>
          <w:tcPr/>
          <w:p>
            <w:pPr>
              <w:pStyle w:val="Compact"/>
              <w:jc w:val="left"/>
            </w:pPr>
            <w:r>
              <w:rPr>
                <w:bCs/>
                <w:b/>
              </w:rPr>
              <w:t xml:space="preserve">6</w:t>
            </w:r>
          </w:p>
        </w:tc>
        <w:tc>
          <w:tcPr/>
          <w:p>
            <w:pPr>
              <w:pStyle w:val="Compact"/>
              <w:jc w:val="left"/>
            </w:pPr>
            <w:r>
              <w:t xml:space="preserve">Dilute sludge; needs FOG/food-waste blending</w:t>
            </w:r>
          </w:p>
        </w:tc>
        <w:tc>
          <w:tcPr/>
          <w:p>
            <w:pPr>
              <w:pStyle w:val="Compact"/>
              <w:jc w:val="left"/>
            </w:pPr>
            <w:r>
              <w:t xml:space="preserve">$0.30–0.52/kWh; desal $2–5/m³ [^V2D3-36^][^V2D3-37^][^V2D3-38^]</w:t>
            </w:r>
          </w:p>
        </w:tc>
        <w:tc>
          <w:tcPr/>
          <w:p>
            <w:pPr>
              <w:pStyle w:val="Compact"/>
              <w:jc w:val="left"/>
            </w:pPr>
            <w:r>
              <w:t xml:space="preserve">Diesel gensets + SWRO + sludge barging</w:t>
            </w:r>
          </w:p>
        </w:tc>
        <w:tc>
          <w:tcPr/>
          <w:p>
            <w:pPr>
              <w:pStyle w:val="Compact"/>
              <w:jc w:val="left"/>
            </w:pPr>
            <w:r>
              <w:t xml:space="preserve">No sludge outlet; landfill/outfall constraints</w:t>
            </w:r>
          </w:p>
        </w:tc>
        <w:tc>
          <w:tcPr/>
          <w:p>
            <w:pPr>
              <w:pStyle w:val="Compact"/>
              <w:jc w:val="left"/>
            </w:pPr>
            <w:r>
              <w:t xml:space="preserve">$0.5–1.5B</w:t>
            </w:r>
          </w:p>
        </w:tc>
        <w:tc>
          <w:tcPr/>
          <w:p>
            <w:pPr>
              <w:pStyle w:val="Compact"/>
              <w:jc w:val="left"/>
            </w:pPr>
            <w:r>
              <w:t xml:space="preserve">Caribbean / Hawaii / USVI resort clusters</w:t>
            </w:r>
          </w:p>
        </w:tc>
      </w:tr>
      <w:tr>
        <w:tc>
          <w:tcPr/>
          <w:p>
            <w:pPr>
              <w:pStyle w:val="Compact"/>
              <w:jc w:val="left"/>
            </w:pPr>
            <w:r>
              <w:t xml:space="preserve">CAFO manure</w:t>
            </w:r>
          </w:p>
        </w:tc>
        <w:tc>
          <w:tcPr/>
          <w:p>
            <w:pPr>
              <w:pStyle w:val="Compact"/>
              <w:jc w:val="left"/>
            </w:pPr>
            <w:r>
              <w:rPr>
                <w:bCs/>
                <w:b/>
              </w:rPr>
              <w:t xml:space="preserve">4</w:t>
            </w:r>
          </w:p>
        </w:tc>
        <w:tc>
          <w:tcPr/>
          <w:p>
            <w:pPr>
              <w:pStyle w:val="Compact"/>
              <w:jc w:val="left"/>
            </w:pPr>
            <w:r>
              <w:t xml:space="preserve">Huge volume (1.4 B t/yr US) but 85–92% water [^V2D3-12^]</w:t>
            </w:r>
          </w:p>
        </w:tc>
        <w:tc>
          <w:tcPr/>
          <w:p>
            <w:pPr>
              <w:pStyle w:val="Compact"/>
              <w:jc w:val="left"/>
            </w:pPr>
            <w:r>
              <w:t xml:space="preserve">Moderate farm load; water value in stressed dairy belts</w:t>
            </w:r>
          </w:p>
        </w:tc>
        <w:tc>
          <w:tcPr/>
          <w:p>
            <w:pPr>
              <w:pStyle w:val="Compact"/>
              <w:jc w:val="left"/>
            </w:pPr>
            <w:r>
              <w:t xml:space="preserve">Anaerobic digestion + LCFS/RIN credit stack [^V2D3-17^][^V2D3-18^]</w:t>
            </w:r>
          </w:p>
        </w:tc>
        <w:tc>
          <w:tcPr/>
          <w:p>
            <w:pPr>
              <w:pStyle w:val="Compact"/>
              <w:jc w:val="left"/>
            </w:pPr>
            <w:r>
              <w:t xml:space="preserve">NPDES agronomic land-base limits (~0.8 ha/cow) [^V2D3-16^]</w:t>
            </w:r>
          </w:p>
        </w:tc>
        <w:tc>
          <w:tcPr/>
          <w:p>
            <w:pPr>
              <w:pStyle w:val="Compact"/>
              <w:jc w:val="left"/>
            </w:pPr>
            <w:r>
              <w:t xml:space="preserve">$1.0–3.0B</w:t>
            </w:r>
          </w:p>
        </w:tc>
        <w:tc>
          <w:tcPr/>
          <w:p>
            <w:pPr>
              <w:pStyle w:val="Compact"/>
              <w:jc w:val="left"/>
            </w:pPr>
            <w:r>
              <w:t xml:space="preserve">Land-constrained CA/TX/ID dairies; lagoon closures</w:t>
            </w:r>
          </w:p>
        </w:tc>
      </w:tr>
      <w:tr>
        <w:tc>
          <w:tcPr/>
          <w:p>
            <w:pPr>
              <w:pStyle w:val="Compact"/>
              <w:jc w:val="left"/>
            </w:pPr>
            <w:r>
              <w:t xml:space="preserve">Mining / remote camps</w:t>
            </w:r>
          </w:p>
        </w:tc>
        <w:tc>
          <w:tcPr/>
          <w:p>
            <w:pPr>
              <w:pStyle w:val="Compact"/>
              <w:jc w:val="left"/>
            </w:pPr>
            <w:r>
              <w:rPr>
                <w:bCs/>
                <w:b/>
              </w:rPr>
              <w:t xml:space="preserve">4</w:t>
            </w:r>
          </w:p>
        </w:tc>
        <w:tc>
          <w:tcPr/>
          <w:p>
            <w:pPr>
              <w:pStyle w:val="Compact"/>
              <w:jc w:val="left"/>
            </w:pPr>
            <w:r>
              <w:t xml:space="preserve">Small: camp sewage + oily wastes only (AMD is inorganic) [^V2D3-34^]</w:t>
            </w:r>
          </w:p>
        </w:tc>
        <w:tc>
          <w:tcPr/>
          <w:p>
            <w:pPr>
              <w:pStyle w:val="Compact"/>
              <w:jc w:val="left"/>
            </w:pPr>
            <w:r>
              <w:t xml:space="preserve">Diesel $0.30–1.10/kWh [^V2D3-32^]</w:t>
            </w:r>
          </w:p>
        </w:tc>
        <w:tc>
          <w:tcPr/>
          <w:p>
            <w:pPr>
              <w:pStyle w:val="Compact"/>
              <w:jc w:val="left"/>
            </w:pPr>
            <w:r>
              <w:t xml:space="preserve">Diesel gensets + waste haul/lagoons</w:t>
            </w:r>
          </w:p>
        </w:tc>
        <w:tc>
          <w:tcPr/>
          <w:p>
            <w:pPr>
              <w:pStyle w:val="Compact"/>
              <w:jc w:val="left"/>
            </w:pPr>
            <w:r>
              <w:t xml:space="preserve">Haul-cost and water-scarcity pressure</w:t>
            </w:r>
          </w:p>
        </w:tc>
        <w:tc>
          <w:tcPr/>
          <w:p>
            <w:pPr>
              <w:pStyle w:val="Compact"/>
              <w:jc w:val="left"/>
            </w:pPr>
            <w:r>
              <w:t xml:space="preserve">$0.3–0.8B</w:t>
            </w:r>
          </w:p>
        </w:tc>
        <w:tc>
          <w:tcPr/>
          <w:p>
            <w:pPr>
              <w:pStyle w:val="Compact"/>
              <w:jc w:val="left"/>
            </w:pPr>
            <w:r>
              <w:t xml:space="preserve">Chile / Australia / Nunavut permanent camps</w:t>
            </w:r>
          </w:p>
        </w:tc>
      </w:tr>
      <w:tr>
        <w:tc>
          <w:tcPr/>
          <w:p>
            <w:pPr>
              <w:pStyle w:val="Compact"/>
              <w:jc w:val="left"/>
            </w:pPr>
            <w:r>
              <w:t xml:space="preserve">Data centers (direct)</w:t>
            </w:r>
          </w:p>
        </w:tc>
        <w:tc>
          <w:tcPr/>
          <w:p>
            <w:pPr>
              <w:pStyle w:val="Compact"/>
              <w:jc w:val="left"/>
            </w:pPr>
            <w:r>
              <w:rPr>
                <w:bCs/>
                <w:b/>
              </w:rPr>
              <w:t xml:space="preserve">3</w:t>
            </w:r>
          </w:p>
        </w:tc>
        <w:tc>
          <w:tcPr/>
          <w:p>
            <w:pPr>
              <w:pStyle w:val="Compact"/>
              <w:jc w:val="left"/>
            </w:pPr>
            <w:r>
              <w:t xml:space="preserve">Negligible organic feed; blowdown is inorganic [^V2D3-7^]</w:t>
            </w:r>
          </w:p>
        </w:tc>
        <w:tc>
          <w:tcPr/>
          <w:p>
            <w:pPr>
              <w:pStyle w:val="Compact"/>
              <w:jc w:val="left"/>
            </w:pPr>
            <w:r>
              <w:t xml:space="preserve">Cooling = 30–40% of facility energy; 4–7-yr grid queues [^V2D2-29^][^V2D3-3^]</w:t>
            </w:r>
          </w:p>
        </w:tc>
        <w:tc>
          <w:tcPr/>
          <w:p>
            <w:pPr>
              <w:pStyle w:val="Compact"/>
              <w:jc w:val="left"/>
            </w:pPr>
            <w:r>
              <w:t xml:space="preserve">Grid power + electric chillers; BTM gas</w:t>
            </w:r>
          </w:p>
        </w:tc>
        <w:tc>
          <w:tcPr/>
          <w:p>
            <w:pPr>
              <w:pStyle w:val="Compact"/>
              <w:jc w:val="left"/>
            </w:pPr>
            <w:r>
              <w:t xml:space="preserve">Queue/tariff constraints, not waste rules</w:t>
            </w:r>
          </w:p>
        </w:tc>
        <w:tc>
          <w:tcPr/>
          <w:p>
            <w:pPr>
              <w:pStyle w:val="Compact"/>
              <w:jc w:val="left"/>
            </w:pPr>
            <w:r>
              <w:t xml:space="preserve">$0.05–0.15B direct</w:t>
            </w:r>
          </w:p>
        </w:tc>
        <w:tc>
          <w:tcPr/>
          <w:p>
            <w:pPr>
              <w:pStyle w:val="Compact"/>
              <w:jc w:val="left"/>
            </w:pPr>
            <w:r>
              <w:t xml:space="preserve">Offtaker of adjacent HCSP hosts, not a buyer</w:t>
            </w:r>
          </w:p>
        </w:tc>
      </w:tr>
    </w:tbl>
    <w:bookmarkStart w:id="154" w:name="X8db6fc89264d07b8413392bd431264994c27a4a"/>
    <w:p>
      <w:pPr>
        <w:pStyle w:val="Heading3"/>
      </w:pPr>
      <w:r>
        <w:t xml:space="preserve">12.3.1 Distillery and ethanol vinasse: the strongest trigeneration vertical</w:t>
      </w:r>
    </w:p>
    <w:p>
      <w:pPr>
        <w:pStyle w:val="FirstParagraph"/>
      </w:pPr>
      <w:r>
        <w:t xml:space="preserve">Distillery spent wash is the only stream in this set where the feed matches the physics without conditioning: molasses vinasse carries COD of 100,000–160,000 mg/L — squarely in the autothermal band — at 9–15 litres per litre of ethanol produced.[^V2D3-22^][^V2D3-23^] India’s Central Pollution Control Board mandates zero liquid discharge (ZLD) for all molasses-based distilleries, with the accepted compliance route being biomethanation, multi-effect evaporation (MEE) to 45–60% solids, and boiler incineration — an energy-consuming thermal train that HCSP directly replaces while exporting steam, power, and fermentation-grade cooling instead of consuming fuel.[^V2D3-28^] With ~270 molasses distilleries under the mandate and national capacity expanding under the E20 blending program, this is a captive, compliance-driven market worth roughly $2–5 billion.[^V2D3-29^] The action: prioritize distillery vinasse as the beachhead for the full trigeneration product — it is the one vertical where destruction, water reuse, and energy export all clear economic hurdles simultaneously.</w:t>
      </w:r>
    </w:p>
    <w:bookmarkEnd w:id="154"/>
    <w:bookmarkStart w:id="155" w:name="X3da92597e6c5bd315bdfe20fa0457a304b0befb"/>
    <w:p>
      <w:pPr>
        <w:pStyle w:val="Heading3"/>
      </w:pPr>
      <w:r>
        <w:t xml:space="preserve">12.3.2 Islands and resorts: maximum prices, minimum feed concentration</w:t>
      </w:r>
    </w:p>
    <w:p>
      <w:pPr>
        <w:pStyle w:val="FirstParagraph"/>
      </w:pPr>
      <w:r>
        <w:t xml:space="preserve">Islands are the only vertical where all three HCSP outputs are priced at or near global maximums — diesel power at $0.30–0.52/kWh (Hawaii’s residential tariff reached 52¢/kWh in 2026; USVI commercial runs $0.40–0.47), small-scale desalination at $2–5/m³, and no economic sludge outlet at all.[^V2D3-36^][^V2D3-37^][^V2D3-38^] The catch is feed strength: resort and municipal sludge is dilute, so autothermal operation requires blending with grease-trap waste, food waste, and fats-oils-grease (FOG) streams that islands independently struggle to dispose of. Fit score 6/10, SAM $0.5–1.5 billion. The sales motion is an integrated utility replacement — one machine substituting for a diesel genset, a desalination unit, and a sludge-barging contract — targeted at Caribbean and Pacific resort clusters where procurement can be anchored by a single hospitality group.</w:t>
      </w:r>
    </w:p>
    <w:bookmarkEnd w:id="155"/>
    <w:bookmarkStart w:id="156" w:name="Xa46323aca5db3bb934da87511a6b2dc87734671"/>
    <w:p>
      <w:pPr>
        <w:pStyle w:val="Heading3"/>
      </w:pPr>
      <w:r>
        <w:t xml:space="preserve">12.3.3 CAFO manure: a compliance wedge against a subsidized incumbent</w:t>
      </w:r>
    </w:p>
    <w:p>
      <w:pPr>
        <w:pStyle w:val="FirstParagraph"/>
      </w:pPr>
      <w:r>
        <w:t xml:space="preserve">US livestock generate about 1.4 billion tons of manure annually, but the incumbent — anaerobic digestion monetized through California Low Carbon Fuel Standard (LCFS) credits historically exceeding $50/MMBtu — is financed, scaled, and policy-subsidized in ways SCWO cannot currently match, because LCFS rewards methane avoidance in transport fuel, not in power.[^V2D3-12^][^V2D3-17^][^V2D3-18^] HCSP’s wedge is narrower and regulatory: digesters still leave digestate that must be land-applied at agronomic rates (~0.8 hectares per cow), so in land-constrained, water-stressed dairy belts — California’s Central Valley, the Texas Panhandle, Idaho — digestate elimination plus water recovery is a compliance sale, not an energy sale.[^V2D3-16^] Fit score 4/10, SAM $1.0–3.0 billion contingent on nutrient-regulation trajectory. Enter only where lagoon-closure consent decrees or land-base shortfalls make elimination mandatory.</w:t>
      </w:r>
    </w:p>
    <w:bookmarkEnd w:id="156"/>
    <w:bookmarkStart w:id="157" w:name="X71ddc3a3721506f69722978456c3e9e80dd977d"/>
    <w:p>
      <w:pPr>
        <w:pStyle w:val="Heading3"/>
      </w:pPr>
      <w:r>
        <w:t xml:space="preserve">12.3.4 Mining and remote camps: high value per unit, small volumes</w:t>
      </w:r>
    </w:p>
    <w:p>
      <w:pPr>
        <w:pStyle w:val="FirstParagraph"/>
      </w:pPr>
      <w:r>
        <w:t xml:space="preserve">Remote camps pay $0.30–1.10/kWh for diesel power and extreme per-gallon costs to haul waste out, so an HCSP unit destroying camp sewage and oily wastes while offsetting diesel stacks three revenue lines at once.[^V2D3-32^] The boundary condition matters: acid mine drainage and tailings water are inorganic and sit outside SCWO’s destruction envelope entirely — only camp sewage, food waste, and oily streams qualify, and a 2,000-person camp generates volumes at the small end of autothermal economics.[^V2D3-34^] Fit score 4/10, SAM $0.3–0.8 billion; pursue only large permanent camps in diesel-and-water-stressed jurisdictions (Chilean copper belt, Pilbara, Canadian Arctic).</w:t>
      </w:r>
    </w:p>
    <w:bookmarkEnd w:id="157"/>
    <w:bookmarkStart w:id="158" w:name="data-centers-an-offtaker-not-a-customer"/>
    <w:p>
      <w:pPr>
        <w:pStyle w:val="Heading3"/>
      </w:pPr>
      <w:r>
        <w:t xml:space="preserve">12.3.5 Data centers: an offtaker, not a customer</w:t>
      </w:r>
    </w:p>
    <w:p>
      <w:pPr>
        <w:pStyle w:val="FirstParagraph"/>
      </w:pPr>
      <w:r>
        <w:t xml:space="preserve">Data centers fail the feed test: their dominant liquid stream is cooling-tower blowdown — high-TDS, inorganic, a membrane problem rather than an oxidation problem — and even a gigawatt campus generates trivial domestic sewage.[^V2D3-7^][^V2D3-8^] Yet the demand side is extraordinary: cooling consumes 30–40% of facility energy, grid interconnection queues run 4–7 years, and US data-center electricity demand is forecast to nearly triple to 134 GW by 2030.[^V2D2-29^][^V2D2-30^][^V2D3-1^][^V2D3-3^] The resolution is inversion, with precedent: Microsoft’s Cheyenne</w:t>
      </w:r>
      <w:r>
        <w:t xml:space="preserve"> </w:t>
      </w:r>
      <w:r>
        <w:t xml:space="preserve">“</w:t>
      </w:r>
      <w:r>
        <w:t xml:space="preserve">Data Plant</w:t>
      </w:r>
      <w:r>
        <w:t xml:space="preserve">”</w:t>
      </w:r>
      <w:r>
        <w:t xml:space="preserve"> </w:t>
      </w:r>
      <w:r>
        <w:t xml:space="preserve">co-located a fuel-cell data center at a wastewater facility to buy its biogas power.[^V2D3-9^] HCSP should replicate that pattern in reverse — site units at adjacent WWTP, distillery, or F&amp;B hosts and sell the data center power, LiBr-driven cooling, and reclaimed water as a creditworthy anchor offtake that de-risks project finance in the stronger verticals. Direct-sales fit score 3/10; strategic value as a demand anchor, considerably higher. Whether an HCSP plant sells destruction alone or the full water-power-cooling stack, however, its revenue depends on an unattended 250-bar system riding through outages and restarting safely — which makes backup-power architecture the final capability question, addressed in Chapter 13.</w:t>
      </w:r>
    </w:p>
    <w:bookmarkEnd w:id="158"/>
    <w:bookmarkEnd w:id="159"/>
    <w:bookmarkEnd w:id="160"/>
    <w:bookmarkStart w:id="168" w:name="backup-and-off-grid-power-architecture"/>
    <w:p>
      <w:pPr>
        <w:pStyle w:val="Heading1"/>
      </w:pPr>
      <w:r>
        <w:t xml:space="preserve">13. Backup and Off-Grid Power Architecture</w:t>
      </w:r>
    </w:p>
    <w:p>
      <w:pPr>
        <w:pStyle w:val="FirstParagraph"/>
      </w:pPr>
      <w:r>
        <w:rPr>
          <w:bCs/>
          <w:b/>
        </w:rPr>
        <w:t xml:space="preserve">Conclusion first: lithium iron phosphate (LFP) is the default battery for HCSP’s black-start and controls ride-through duty on every unit; nickel-iron (NiFe, the</w:t>
      </w:r>
      <w:r>
        <w:rPr>
          <w:bCs/>
          <w:b/>
        </w:rPr>
        <w:t xml:space="preserve"> </w:t>
      </w:r>
      <w:r>
        <w:rPr>
          <w:bCs/>
          <w:b/>
        </w:rPr>
        <w:t xml:space="preserve">“</w:t>
      </w:r>
      <w:r>
        <w:rPr>
          <w:bCs/>
          <w:b/>
        </w:rPr>
        <w:t xml:space="preserve">Edison</w:t>
      </w:r>
      <w:r>
        <w:rPr>
          <w:bCs/>
          <w:b/>
        </w:rPr>
        <w:t xml:space="preserve">”</w:t>
      </w:r>
      <w:r>
        <w:rPr>
          <w:bCs/>
          <w:b/>
        </w:rPr>
        <w:t xml:space="preserve"> </w:t>
      </w:r>
      <w:r>
        <w:rPr>
          <w:bCs/>
          <w:b/>
        </w:rPr>
        <w:t xml:space="preserve">battery) earns a specified role only in daily-cycled, extreme-temperature, multi-decade remote deployments — and in those deployments it is genuinely the best choice available.</w:t>
      </w:r>
      <w:r>
        <w:t xml:space="preserve"> </w:t>
      </w:r>
      <w:r>
        <w:t xml:space="preserve">The Edison-battery concept behind this chapter is therefore validated, but as a niche specification with a clear trigger rule, not as a universal default. This chapter gives engineering and sales the decision rule and indicative sizing.</w:t>
      </w:r>
    </w:p>
    <w:bookmarkStart w:id="161" w:name="why-backup-architecture-matters-for-hcsp"/>
    <w:p>
      <w:pPr>
        <w:pStyle w:val="Heading2"/>
      </w:pPr>
      <w:r>
        <w:t xml:space="preserve">13.1 Why Backup Architecture Matters for HCSP</w:t>
      </w:r>
    </w:p>
    <w:p>
      <w:pPr>
        <w:pStyle w:val="FirstParagraph"/>
      </w:pPr>
      <w:r>
        <w:t xml:space="preserve">An HCSP module is an unattended 250-bar plant: its battery system exists to guarantee a safe, controlled shutdown and restart, not to run the process. Two duties define the architecture. First,</w:t>
      </w:r>
      <w:r>
        <w:t xml:space="preserve"> </w:t>
      </w:r>
      <w:r>
        <w:rPr>
          <w:bCs/>
          <w:b/>
        </w:rPr>
        <w:t xml:space="preserve">standby ride-through and black-start</w:t>
      </w:r>
      <w:r>
        <w:t xml:space="preserve">: on loss of site power, the battery must hold the programmable logic controller (PLC), instrumentation, safing valves, and lube/seal systems alive through an orderly depressurization, then supply the start sequence (feed pump, igniters, air systems) on recovery — a duty characterized by infrequent discharge and months of idle readiness. Second, for</w:t>
      </w:r>
      <w:r>
        <w:t xml:space="preserve"> </w:t>
      </w:r>
      <w:r>
        <w:rPr>
          <w:bCs/>
          <w:b/>
        </w:rPr>
        <w:t xml:space="preserve">remote and off-grid variants</w:t>
      </w:r>
      <w:r>
        <w:t xml:space="preserve"> </w:t>
      </w:r>
      <w:r>
        <w:t xml:space="preserve">(mine sites, island installations, military forward bases), the battery shifts to daily-cycled energy storage, buffering solar or genset power every day. These two duties reward opposite battery properties: standby duty punishes self-discharge above all, while cycling duty rewards cycle life, deep-discharge tolerance, and calendar life. Any chemistry recommendation that ignores this split will be wrong for half the installed base.</w:t>
      </w:r>
    </w:p>
    <w:bookmarkEnd w:id="161"/>
    <w:bookmarkStart w:id="164" w:name="the-contenders"/>
    <w:p>
      <w:pPr>
        <w:pStyle w:val="Heading2"/>
      </w:pPr>
      <w:r>
        <w:t xml:space="preserve">13.2 The Contenders</w:t>
      </w:r>
    </w:p>
    <w:bookmarkStart w:id="162" w:name="X21a2f16e64cc8880ad2a0bec781f3c279422301"/>
    <w:p>
      <w:pPr>
        <w:pStyle w:val="Heading3"/>
      </w:pPr>
      <w:r>
        <w:t xml:space="preserve">13.2.1 Nickel-Iron (Edison): Real Strengths, Real Limits</w:t>
      </w:r>
    </w:p>
    <w:p>
      <w:pPr>
        <w:pStyle w:val="FirstParagraph"/>
      </w:pPr>
      <w:r>
        <w:t xml:space="preserve">NiFe’s durability reputation is verified, not folklore. Calendar life of 30–50 years is well attested — century-old Edison cells still function because the electrolyte, not the electrodes, is the wear item — and MIT’s 2024 analysis for the U.S. Department of Defense cites lifetimes</w:t>
      </w:r>
      <w:r>
        <w:t xml:space="preserve"> </w:t>
      </w:r>
      <w:r>
        <w:t xml:space="preserve">“</w:t>
      </w:r>
      <w:r>
        <w:t xml:space="preserve">potentially 30 years</w:t>
      </w:r>
      <w:r>
        <w:t xml:space="preserve">”</w:t>
      </w:r>
      <w:r>
        <w:t xml:space="preserve"> </w:t>
      </w:r>
      <w:r>
        <w:t xml:space="preserve">with proper maintenance.[^V2D4-1^][^V2D4-19^] The chemistry tolerates 100% depth-of-discharge cycling with no capacity fade, survives overcharge, over-discharge, and freezing, operates across a −40 to +60 °C specified envelope, and has no thermal-runaway mechanism.[^V2D4-1^][^V2D4-5^][^V2D4-13^] One important caveat on marketing: vendor claims of 10,000–30,000 cycles[^V2D4-17^][^V2D4-18^] exceed independent academic data for commodity pocket-plate cells, which support 2,000–4,000 cycles at C/5 rates.[^V2D4-2^] For HCSP purposes the distinction rarely matters — calendar life, not cycle count, is the binding constraint — but procurement should test commodity cells against the independent figure.</w:t>
      </w:r>
    </w:p>
    <w:p>
      <w:pPr>
        <w:pStyle w:val="BodyText"/>
      </w:pPr>
      <w:r>
        <w:t xml:space="preserve">The limits are equally well quantified and are disqualifying for standby duty. Self-discharge of 20–30% per month means an NiFe bank left uncharged for six to eight weeks — precisely the dark-site scenario a black-start battery exists for — arrives at the emergency partially or fully flat.[^V2D4-1^][^V2D4-19^][^V2D4-31^] Round-trip efficiency of 60–75% (the iron electrode’s low hydrogen overvoltage causes parasitic water electrolysis during charge) makes float charging expensive and continuous.[^V2D4-5^][^V2D4-26^] Discharge rates above 0.2–0.25C collapse delivered capacity.[^V2D4-2^][^V2D4-33^] Cells gas hydrogen whenever charging, mandating ventilated, H₂-monitored enclosures under OSHA and NFPA battery-room rules.[^V2D4-23^][^V2D4-24^] Cost is 5–10× LFP per nameplate kWh: roughly $400–1,000/kWh[^V2D4-19^][^V2D4-35^] against $70–81/kWh for stationary LFP packs in BloombergNEF’s December 2025 survey.[^V2D4-20^][^V2D4-21^] Finally, supply maturity is weak: Iron Edison, the dominant U.S. vendor, declared bankruptcy in June 2023, and the de facto supply base is now Chinese manufacturers (Henan Hengming, Taihang/Xintaihang, Sichuan Changhong) selling IEC 60623-certified cell banks that an integrator must engineer into a DC system.[^V2D4-6^][^V2D4-7^][^V2D4-12^] A UCLA-led nanostructured NiFe prototype (recharge in seconds, &gt;12,000 cycles, published in</w:t>
      </w:r>
      <w:r>
        <w:t xml:space="preserve"> </w:t>
      </w:r>
      <w:r>
        <w:rPr>
          <w:iCs/>
          <w:i/>
        </w:rPr>
        <w:t xml:space="preserve">Small</w:t>
      </w:r>
      <w:r>
        <w:t xml:space="preserve">, February 2026) signals a credible revival path for backup duty but is a lab prototype — a 5–10-year watch item, not a procurable option.[^V2D4-9^][^V2D4-22^]</w:t>
      </w:r>
    </w:p>
    <w:bookmarkEnd w:id="162"/>
    <w:bookmarkStart w:id="163" w:name="lfp-lead-acid-and-flow"/>
    <w:p>
      <w:pPr>
        <w:pStyle w:val="Heading3"/>
      </w:pPr>
      <w:r>
        <w:t xml:space="preserve">13.2.2 LFP, Lead-Acid, and Flow</w:t>
      </w:r>
    </w:p>
    <w:p>
      <w:pPr>
        <w:pStyle w:val="FirstParagraph"/>
      </w:pPr>
      <w:r>
        <w:rPr>
          <w:bCs/>
          <w:b/>
        </w:rPr>
        <w:t xml:space="preserve">LFP</w:t>
      </w:r>
      <w:r>
        <w:t xml:space="preserve"> </w:t>
      </w:r>
      <w:r>
        <w:t xml:space="preserve">is the benchmark and the default: 4,000–6,000 cycles at 80–100% depth of discharge, 90–95% round-trip efficiency, ~1–3% monthly self-discharge, 10–15-year service life, no maintenance beyond the battery-management system, and a dominant, oversupplied supply chain with falling prices.[^V2D4-20^][^V2D4-25^][^V2D4-26^] Its two weaknesses — thermal-runaway risk (onset ~270 °C, the lowest of any lithium chemistry) and inability to charge below 0 °C without heating — are manageable inside a conditioned skid.[^V2D4-25^][^V2D4-26^]</w:t>
      </w:r>
    </w:p>
    <w:p>
      <w:pPr>
        <w:pStyle w:val="BodyText"/>
      </w:pPr>
      <w:r>
        <w:rPr>
          <w:bCs/>
          <w:b/>
        </w:rPr>
        <w:t xml:space="preserve">Lead-acid (valve-regulated, VRLA)</w:t>
      </w:r>
      <w:r>
        <w:t xml:space="preserve"> </w:t>
      </w:r>
      <w:r>
        <w:t xml:space="preserve">is the incumbent in conventional UPS service and remains the cheapest credible standby option at ~$150–200/kWh, with low self-discharge (~2–4%/month) and no thermal-runaway mechanism.[^V2D4-26^][^V2D4-28^][^V2D4-40^] But real-world UPS life is 3–5 years regardless of 10-year design ratings, usable depth of discharge is only 30–50%, and life halves for every 8–10 °C above 25 °C — making it a false economy on an unattended plant with a 20-year design horizon.[^V2D4-26^][^V2D4-27^]</w:t>
      </w:r>
    </w:p>
    <w:p>
      <w:pPr>
        <w:pStyle w:val="BodyText"/>
      </w:pPr>
      <w:r>
        <w:rPr>
          <w:bCs/>
          <w:b/>
        </w:rPr>
        <w:t xml:space="preserve">Vanadium redox flow (VRFB)</w:t>
      </w:r>
      <w:r>
        <w:t xml:space="preserve"> </w:t>
      </w:r>
      <w:r>
        <w:t xml:space="preserve">offers effectively unlimited cycle life, near-zero self-discharge in the tanks, and no thermal runaway, but at 16–35 Wh/L it is far too bulky for a containerized skid, its ~10–40 °C electrolyte window is the narrowest of the four, and its economics (~$300–750/kWh installed) only close at multi-hour utility-scale durations that a 95 kW module does not need.[^V2D4-37^][^V2D4-38^][^V2D4-42^] It is a utility-storage answer, not a skid-mounted backup answer.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NiFe (Edison)</w:t>
            </w:r>
          </w:p>
        </w:tc>
        <w:tc>
          <w:tcPr/>
          <w:p>
            <w:pPr>
              <w:pStyle w:val="Compact"/>
              <w:jc w:val="left"/>
            </w:pPr>
            <w:r>
              <w:t xml:space="preserve">LFP lithium</w:t>
            </w:r>
          </w:p>
        </w:tc>
        <w:tc>
          <w:tcPr/>
          <w:p>
            <w:pPr>
              <w:pStyle w:val="Compact"/>
              <w:jc w:val="left"/>
            </w:pPr>
            <w:r>
              <w:t xml:space="preserve">Lead-acid (VRLA)</w:t>
            </w:r>
          </w:p>
        </w:tc>
        <w:tc>
          <w:tcPr/>
          <w:p>
            <w:pPr>
              <w:pStyle w:val="Compact"/>
              <w:jc w:val="left"/>
            </w:pPr>
            <w:r>
              <w:t xml:space="preserve">Vanadium redox flow</w:t>
            </w:r>
          </w:p>
        </w:tc>
      </w:tr>
      <w:tr>
        <w:tc>
          <w:tcPr/>
          <w:p>
            <w:pPr>
              <w:pStyle w:val="Compact"/>
              <w:jc w:val="left"/>
            </w:pPr>
            <w:r>
              <w:t xml:space="preserve">Cycle life</w:t>
            </w:r>
          </w:p>
        </w:tc>
        <w:tc>
          <w:tcPr/>
          <w:p>
            <w:pPr>
              <w:pStyle w:val="Compact"/>
              <w:jc w:val="left"/>
            </w:pPr>
            <w:r>
              <w:t xml:space="preserve">2,000–4,000 commodity; 11,000–15,000 claimed premium [^V2D4-2^][^V2D4-17^]</w:t>
            </w:r>
          </w:p>
        </w:tc>
        <w:tc>
          <w:tcPr/>
          <w:p>
            <w:pPr>
              <w:pStyle w:val="Compact"/>
              <w:jc w:val="left"/>
            </w:pPr>
            <w:r>
              <w:t xml:space="preserve">4,000–6,000 @ 80–100% DoD [^V2D4-25^][^V2D4-26^]</w:t>
            </w:r>
          </w:p>
        </w:tc>
        <w:tc>
          <w:tcPr/>
          <w:p>
            <w:pPr>
              <w:pStyle w:val="Compact"/>
              <w:jc w:val="left"/>
            </w:pPr>
            <w:r>
              <w:t xml:space="preserve">300–800 @ 80% DoD [^V2D4-26^][^V2D4-39^]</w:t>
            </w:r>
          </w:p>
        </w:tc>
        <w:tc>
          <w:tcPr/>
          <w:p>
            <w:pPr>
              <w:pStyle w:val="Compact"/>
              <w:jc w:val="left"/>
            </w:pPr>
            <w:r>
              <w:t xml:space="preserve">&gt;10,000; effectively unlimited [^V2D4-37^][^V2D4-39^]</w:t>
            </w:r>
          </w:p>
        </w:tc>
      </w:tr>
      <w:tr>
        <w:tc>
          <w:tcPr/>
          <w:p>
            <w:pPr>
              <w:pStyle w:val="Compact"/>
              <w:jc w:val="left"/>
            </w:pPr>
            <w:r>
              <w:t xml:space="preserve">Calendar life</w:t>
            </w:r>
          </w:p>
        </w:tc>
        <w:tc>
          <w:tcPr/>
          <w:p>
            <w:pPr>
              <w:pStyle w:val="Compact"/>
              <w:jc w:val="left"/>
            </w:pPr>
            <w:r>
              <w:rPr>
                <w:bCs/>
                <w:b/>
              </w:rPr>
              <w:t xml:space="preserve">30–50 yr</w:t>
            </w:r>
            <w:r>
              <w:t xml:space="preserve"> </w:t>
            </w:r>
            <w:r>
              <w:t xml:space="preserve">(electrolyte refresh ~10 yr) [^V2D4-1^][^V2D4-29^]</w:t>
            </w:r>
          </w:p>
        </w:tc>
        <w:tc>
          <w:tcPr/>
          <w:p>
            <w:pPr>
              <w:pStyle w:val="Compact"/>
              <w:jc w:val="left"/>
            </w:pPr>
            <w:r>
              <w:t xml:space="preserve">10–15 yr [^V2D4-26^]</w:t>
            </w:r>
          </w:p>
        </w:tc>
        <w:tc>
          <w:tcPr/>
          <w:p>
            <w:pPr>
              <w:pStyle w:val="Compact"/>
              <w:jc w:val="left"/>
            </w:pPr>
            <w:r>
              <w:t xml:space="preserve">3–5 yr real UPS life [^V2D4-27^]</w:t>
            </w:r>
          </w:p>
        </w:tc>
        <w:tc>
          <w:tcPr/>
          <w:p>
            <w:pPr>
              <w:pStyle w:val="Compact"/>
              <w:jc w:val="left"/>
            </w:pPr>
            <w:r>
              <w:t xml:space="preserve">~12–25 yr (stack ~12 yr) [^V2D4-37^]</w:t>
            </w:r>
          </w:p>
        </w:tc>
      </w:tr>
      <w:tr>
        <w:tc>
          <w:tcPr/>
          <w:p>
            <w:pPr>
              <w:pStyle w:val="Compact"/>
              <w:jc w:val="left"/>
            </w:pPr>
            <w:r>
              <w:t xml:space="preserve">Self-discharge (%/month)</w:t>
            </w:r>
          </w:p>
        </w:tc>
        <w:tc>
          <w:tcPr/>
          <w:p>
            <w:pPr>
              <w:pStyle w:val="Compact"/>
              <w:jc w:val="left"/>
            </w:pPr>
            <w:r>
              <w:rPr>
                <w:bCs/>
                <w:b/>
              </w:rPr>
              <w:t xml:space="preserve">20–30</w:t>
            </w:r>
            <w:r>
              <w:t xml:space="preserve"> </w:t>
            </w:r>
            <w:r>
              <w:t xml:space="preserve">[^V2D4-1^][^V2D4-19^]</w:t>
            </w:r>
          </w:p>
        </w:tc>
        <w:tc>
          <w:tcPr/>
          <w:p>
            <w:pPr>
              <w:pStyle w:val="Compact"/>
              <w:jc w:val="left"/>
            </w:pPr>
            <w:r>
              <w:t xml:space="preserve">~1–3 [^V2D4-25^][^V2D4-26^]</w:t>
            </w:r>
          </w:p>
        </w:tc>
        <w:tc>
          <w:tcPr/>
          <w:p>
            <w:pPr>
              <w:pStyle w:val="Compact"/>
              <w:jc w:val="left"/>
            </w:pPr>
            <w:r>
              <w:t xml:space="preserve">~2–4 [^V2D4-28^][^V2D4-40^]</w:t>
            </w:r>
          </w:p>
        </w:tc>
        <w:tc>
          <w:tcPr/>
          <w:p>
            <w:pPr>
              <w:pStyle w:val="Compact"/>
              <w:jc w:val="left"/>
            </w:pPr>
            <w:r>
              <w:t xml:space="preserve">Near-zero in tanks [^V2D4-37^]</w:t>
            </w:r>
          </w:p>
        </w:tc>
      </w:tr>
      <w:tr>
        <w:tc>
          <w:tcPr/>
          <w:p>
            <w:pPr>
              <w:pStyle w:val="Compact"/>
              <w:jc w:val="left"/>
            </w:pPr>
            <w:r>
              <w:t xml:space="preserve">Round-trip efficiency</w:t>
            </w:r>
          </w:p>
        </w:tc>
        <w:tc>
          <w:tcPr/>
          <w:p>
            <w:pPr>
              <w:pStyle w:val="Compact"/>
              <w:jc w:val="left"/>
            </w:pPr>
            <w:r>
              <w:t xml:space="preserve">60–75% [^V2D4-1^][^V2D4-5^]</w:t>
            </w:r>
          </w:p>
        </w:tc>
        <w:tc>
          <w:tcPr/>
          <w:p>
            <w:pPr>
              <w:pStyle w:val="Compact"/>
              <w:jc w:val="left"/>
            </w:pPr>
            <w:r>
              <w:t xml:space="preserve">90–95% [^V2D4-26^]</w:t>
            </w:r>
          </w:p>
        </w:tc>
        <w:tc>
          <w:tcPr/>
          <w:p>
            <w:pPr>
              <w:pStyle w:val="Compact"/>
              <w:jc w:val="left"/>
            </w:pPr>
            <w:r>
              <w:t xml:space="preserve">75–85% [^V2D4-26^][^V2D4-39^]</w:t>
            </w:r>
          </w:p>
        </w:tc>
        <w:tc>
          <w:tcPr/>
          <w:p>
            <w:pPr>
              <w:pStyle w:val="Compact"/>
              <w:jc w:val="left"/>
            </w:pPr>
            <w:r>
              <w:t xml:space="preserve">~65–75% [^V2D4-37^]</w:t>
            </w:r>
          </w:p>
        </w:tc>
      </w:tr>
      <w:tr>
        <w:tc>
          <w:tcPr/>
          <w:p>
            <w:pPr>
              <w:pStyle w:val="Compact"/>
              <w:jc w:val="left"/>
            </w:pPr>
            <w:r>
              <w:t xml:space="preserve">Cost ($/kWh, 2025)</w:t>
            </w:r>
          </w:p>
        </w:tc>
        <w:tc>
          <w:tcPr/>
          <w:p>
            <w:pPr>
              <w:pStyle w:val="Compact"/>
              <w:jc w:val="left"/>
            </w:pPr>
            <w:r>
              <w:t xml:space="preserve">~400–1,000 [^V2D4-19^][^V2D4-35^]</w:t>
            </w:r>
          </w:p>
        </w:tc>
        <w:tc>
          <w:tcPr/>
          <w:p>
            <w:pPr>
              <w:pStyle w:val="Compact"/>
              <w:jc w:val="left"/>
            </w:pPr>
            <w:r>
              <w:t xml:space="preserve">70–81 pack; 200–400 small installed [^V2D4-20^][^V2D4-21^][^V2D4-41^]</w:t>
            </w:r>
          </w:p>
        </w:tc>
        <w:tc>
          <w:tcPr/>
          <w:p>
            <w:pPr>
              <w:pStyle w:val="Compact"/>
              <w:jc w:val="left"/>
            </w:pPr>
            <w:r>
              <w:t xml:space="preserve">~150–200 [^V2D4-26^]</w:t>
            </w:r>
          </w:p>
        </w:tc>
        <w:tc>
          <w:tcPr/>
          <w:p>
            <w:pPr>
              <w:pStyle w:val="Compact"/>
              <w:jc w:val="left"/>
            </w:pPr>
            <w:r>
              <w:t xml:space="preserve">~300–750 installed [^V2D4-37^][^V2D4-42^]</w:t>
            </w:r>
          </w:p>
        </w:tc>
      </w:tr>
      <w:tr>
        <w:tc>
          <w:tcPr/>
          <w:p>
            <w:pPr>
              <w:pStyle w:val="Compact"/>
              <w:jc w:val="left"/>
            </w:pPr>
            <w:r>
              <w:t xml:space="preserve">Energy density</w:t>
            </w:r>
          </w:p>
        </w:tc>
        <w:tc>
          <w:tcPr/>
          <w:p>
            <w:pPr>
              <w:pStyle w:val="Compact"/>
              <w:jc w:val="left"/>
            </w:pPr>
            <w:r>
              <w:t xml:space="preserve">19–25 Wh/kg; ~30 Wh/L [^V2D4-1^]</w:t>
            </w:r>
          </w:p>
        </w:tc>
        <w:tc>
          <w:tcPr/>
          <w:p>
            <w:pPr>
              <w:pStyle w:val="Compact"/>
              <w:jc w:val="left"/>
            </w:pPr>
            <w:r>
              <w:t xml:space="preserve">90–160 Wh/kg; 220–357 Wh/L [^V2D4-25^][^V2D4-26^]</w:t>
            </w:r>
          </w:p>
        </w:tc>
        <w:tc>
          <w:tcPr/>
          <w:p>
            <w:pPr>
              <w:pStyle w:val="Compact"/>
              <w:jc w:val="left"/>
            </w:pPr>
            <w:r>
              <w:t xml:space="preserve">30–50 Wh/kg [^V2D4-26^]</w:t>
            </w:r>
          </w:p>
        </w:tc>
        <w:tc>
          <w:tcPr/>
          <w:p>
            <w:pPr>
              <w:pStyle w:val="Compact"/>
              <w:jc w:val="left"/>
            </w:pPr>
            <w:r>
              <w:t xml:space="preserve">16–35 Wh/L (very bulky) [^V2D4-37^]</w:t>
            </w:r>
          </w:p>
        </w:tc>
      </w:tr>
      <w:tr>
        <w:tc>
          <w:tcPr/>
          <w:p>
            <w:pPr>
              <w:pStyle w:val="Compact"/>
              <w:jc w:val="left"/>
            </w:pPr>
            <w:r>
              <w:t xml:space="preserve">Safety</w:t>
            </w:r>
          </w:p>
        </w:tc>
        <w:tc>
          <w:tcPr/>
          <w:p>
            <w:pPr>
              <w:pStyle w:val="Compact"/>
              <w:jc w:val="left"/>
            </w:pPr>
            <w:r>
              <w:t xml:space="preserve">No thermal runaway;</w:t>
            </w:r>
            <w:r>
              <w:t xml:space="preserve"> </w:t>
            </w:r>
            <w:r>
              <w:rPr>
                <w:bCs/>
                <w:b/>
              </w:rPr>
              <w:t xml:space="preserve">continuous H₂ gassing — ventilation mandatory</w:t>
            </w:r>
            <w:r>
              <w:t xml:space="preserve"> </w:t>
            </w:r>
            <w:r>
              <w:t xml:space="preserve">[^V2D4-23^][^V2D4-24^]</w:t>
            </w:r>
          </w:p>
        </w:tc>
        <w:tc>
          <w:tcPr/>
          <w:p>
            <w:pPr>
              <w:pStyle w:val="Compact"/>
              <w:jc w:val="left"/>
            </w:pPr>
            <w:r>
              <w:t xml:space="preserve">Thermal runaway possible (~270 °C onset; lowest-risk Li-ion) [^V2D4-26^]</w:t>
            </w:r>
          </w:p>
        </w:tc>
        <w:tc>
          <w:tcPr/>
          <w:p>
            <w:pPr>
              <w:pStyle w:val="Compact"/>
              <w:jc w:val="left"/>
            </w:pPr>
            <w:r>
              <w:t xml:space="preserve">No thermal runaway; H₂ on overcharge; acid spill [^V2D4-23^][^V2D4-28^]</w:t>
            </w:r>
          </w:p>
        </w:tc>
        <w:tc>
          <w:tcPr/>
          <w:p>
            <w:pPr>
              <w:pStyle w:val="Compact"/>
              <w:jc w:val="left"/>
            </w:pPr>
            <w:r>
              <w:t xml:space="preserve">No thermal runaway; corrosive electrolyte; pumps/valves</w:t>
            </w:r>
          </w:p>
        </w:tc>
      </w:tr>
      <w:tr>
        <w:tc>
          <w:tcPr/>
          <w:p>
            <w:pPr>
              <w:pStyle w:val="Compact"/>
              <w:jc w:val="left"/>
            </w:pPr>
            <w:r>
              <w:t xml:space="preserve">Supplier maturity (2026)</w:t>
            </w:r>
          </w:p>
        </w:tc>
        <w:tc>
          <w:tcPr/>
          <w:p>
            <w:pPr>
              <w:pStyle w:val="Compact"/>
              <w:jc w:val="left"/>
            </w:pPr>
            <w:r>
              <w:rPr>
                <w:bCs/>
                <w:b/>
              </w:rPr>
              <w:t xml:space="preserve">Weak:</w:t>
            </w:r>
            <w:r>
              <w:t xml:space="preserve"> </w:t>
            </w:r>
            <w:r>
              <w:t xml:space="preserve">US leader bankrupt 2023; Chinese niche vendors only [^V2D4-6^][^V2D4-7^][^V2D4-12^]</w:t>
            </w:r>
          </w:p>
        </w:tc>
        <w:tc>
          <w:tcPr/>
          <w:p>
            <w:pPr>
              <w:pStyle w:val="Compact"/>
              <w:jc w:val="left"/>
            </w:pPr>
            <w:r>
              <w:t xml:space="preserve">Dominant, oversupplied, falling prices [^V2D4-20^]</w:t>
            </w:r>
          </w:p>
        </w:tc>
        <w:tc>
          <w:tcPr/>
          <w:p>
            <w:pPr>
              <w:pStyle w:val="Compact"/>
              <w:jc w:val="left"/>
            </w:pPr>
            <w:r>
              <w:t xml:space="preserve">Mature, commoditized</w:t>
            </w:r>
          </w:p>
        </w:tc>
        <w:tc>
          <w:tcPr/>
          <w:p>
            <w:pPr>
              <w:pStyle w:val="Compact"/>
              <w:jc w:val="left"/>
            </w:pPr>
            <w:r>
              <w:t xml:space="preserve">Niche-commercial, utility-scale [^V2D4-38^]</w:t>
            </w:r>
          </w:p>
        </w:tc>
      </w:tr>
    </w:tbl>
    <w:p>
      <w:pPr>
        <w:pStyle w:val="BodyText"/>
      </w:pPr>
      <w:r>
        <w:t xml:space="preserve">The table resolves the apparent paradox in NiFe’s reputation: it wins outright on only two rows — calendar life and (by extension of its abuse tolerance) safety from thermal runaway — and those two rows happen to be the ones that dominate lifecycle cost in remote, decades-long deployments. Every row that governs standby duty (self-discharge, round-trip efficiency, cost, supplier maturity) favors LFP, most by an order of magnitude. The standout outlier is self-discharge: NiFe loses in 30 days roughly what LFP loses in a year, which is why the standby/cycling duty split, not any single specification, must drive selection. Lead-acid’s apparent mid-table competence masks its 3–5-year replacement cadence, which multiplies logistics cost at exactly the remote sites where NiFe is attractive. Flow batteries are excluded from skid duty on volumetric grounds alone. The practical read: specify LFP unless the site profile triggers the NiFe conditions in §13.3.</w:t>
      </w:r>
    </w:p>
    <w:bookmarkEnd w:id="163"/>
    <w:bookmarkEnd w:id="164"/>
    <w:bookmarkStart w:id="167" w:name="the-decision-rule"/>
    <w:p>
      <w:pPr>
        <w:pStyle w:val="Heading2"/>
      </w:pPr>
      <w:r>
        <w:t xml:space="preserve">13.3 The Decision Rule</w:t>
      </w:r>
    </w:p>
    <w:bookmarkStart w:id="165" w:name="when-to-specify-each-chemistry"/>
    <w:p>
      <w:pPr>
        <w:pStyle w:val="Heading3"/>
      </w:pPr>
      <w:r>
        <w:t xml:space="preserve">13.3.1 When to Specify Each Chemistry</w:t>
      </w:r>
    </w:p>
    <w:p>
      <w:pPr>
        <w:pStyle w:val="FirstParagraph"/>
      </w:pPr>
      <w:r>
        <w:t xml:space="preserve">Specify</w:t>
      </w:r>
      <w:r>
        <w:t xml:space="preserve"> </w:t>
      </w:r>
      <w:r>
        <w:rPr>
          <w:bCs/>
          <w:b/>
        </w:rPr>
        <w:t xml:space="preserve">LFP as the standard UPS/black-start battery on every HCSP unit</w:t>
      </w:r>
      <w:r>
        <w:t xml:space="preserve"> </w:t>
      </w:r>
      <w:r>
        <w:t xml:space="preserve">— this is the default bill of materials, not a site option. Standby readiness (~1%/month self-discharge vs 20–30%), 90–95% round-trip efficiency, 10× lower weight, roughly 15× smaller footprint, 3–6× lower capex, and a bankable supply chain all point the same way.[^V2D4-1^][^V2D4-20^][^V2D4-25^] Specify</w:t>
      </w:r>
      <w:r>
        <w:t xml:space="preserve"> </w:t>
      </w:r>
      <w:r>
        <w:rPr>
          <w:bCs/>
          <w:b/>
        </w:rPr>
        <w:t xml:space="preserve">NiFe only when most of the following hold</w:t>
      </w:r>
      <w:r>
        <w:t xml:space="preserve">: (1) the site is off-grid and the battery cycles daily on solar/genset, making self-discharge irrelevant; (2) ambient extremes (charging below −20 °C without heated enclosures, or sustained &gt;45 °C) would force thermal management on LFP and kill VRLA young; (3) replacement logistics dominate lifecycle cost — shipping three to five successor LFP/VRLA sets over 20–30 years exceeds NiFe’s 5–10× capex premium; and (4) the buyer accepts Chinese-sourced, IEC 60623-certified hardware with incoming capacity verification against the independent 2,000–4,000-cycle benchmark.[^V2D4-2^][^V2D4-12^][^V2D4-13^][^V2D4-19^][^V2D4-27^] The qualifying archetypes are mining camps, island installations, and military forward bases. Where NiFe qualifies, the recommended architecture is</w:t>
      </w:r>
      <w:r>
        <w:t xml:space="preserve"> </w:t>
      </w:r>
      <w:r>
        <w:rPr>
          <w:bCs/>
          <w:b/>
        </w:rPr>
        <w:t xml:space="preserve">hybrid</w:t>
      </w:r>
      <w:r>
        <w:t xml:space="preserve">: a small LFP string for instant black-start readiness plus an NiFe bulk bank for daily cycling — each chemistry on the duty it is actually good at.</w:t>
      </w:r>
    </w:p>
    <w:bookmarkEnd w:id="165"/>
    <w:bookmarkStart w:id="166" w:name="X92dbc6ac44819c31c7fb0e33840cd7c28800125"/>
    <w:p>
      <w:pPr>
        <w:pStyle w:val="Heading3"/>
      </w:pPr>
      <w:r>
        <w:t xml:space="preserve">13.3.2 HCSP-Specific Synergies and Indicative Sizing</w:t>
      </w:r>
    </w:p>
    <w:p>
      <w:pPr>
        <w:pStyle w:val="FirstParagraph"/>
      </w:pPr>
      <w:r>
        <w:t xml:space="preserve">Two design features make NiFe unusually cheap to integrate on HCSP relative to other hosts. First, the SCWO water-recovery loop produces distilled-quality water on-site — exactly the consumable NiFe electrolyte top-ups require (top-up water must be distilled or deionized), eliminating shipped-in battery water at remote sites.[^V2D4-29^][^V2D4-30^] Second, HCSP is already engineered for hydrogen service — detection, ventilation, hazardous-area classification — so the OSHA/NFPA-ventilated enclosure NiFe mandates is absorbed at near-zero marginal engineering cost rather than added as standalone scope.[^V2D4-23^][^V2D4-24^]</w:t>
      </w:r>
    </w:p>
    <w:p>
      <w:pPr>
        <w:pStyle w:val="BodyText"/>
      </w:pPr>
      <w:r>
        <w:t xml:space="preserve">For a 95 kW module, indicative black-start plus controls ride-through sizing assumes a 20 kW critical load (PLC/SCADA, safing valves, lube/seal systems) for 30 minutes plus a 10 kW, 10-minute start sequence — about 12.3 kWh of DC energy. With depth-of-discharge, aging, and rate margins, this yields a</w:t>
      </w:r>
      <w:r>
        <w:t xml:space="preserve"> </w:t>
      </w:r>
      <w:r>
        <w:rPr>
          <w:bCs/>
          <w:b/>
        </w:rPr>
        <w:t xml:space="preserve">~20 kWh NiFe nameplate bank</w:t>
      </w:r>
      <w:r>
        <w:t xml:space="preserve"> </w:t>
      </w:r>
      <w:r>
        <w:t xml:space="preserve">(48 V × 400 Ah, roughly 0.8–1 tonne, ~1.5–2 m² including racking and ventilation clearances,</w:t>
      </w:r>
      <w:r>
        <w:t xml:space="preserve"> </w:t>
      </w:r>
      <w:r>
        <w:rPr>
          <w:bCs/>
          <w:b/>
        </w:rPr>
        <w:t xml:space="preserve">$8,000–20,000</w:t>
      </w:r>
      <w:r>
        <w:t xml:space="preserve"> </w:t>
      </w:r>
      <w:r>
        <w:t xml:space="preserve">installed) versus a</w:t>
      </w:r>
      <w:r>
        <w:t xml:space="preserve"> </w:t>
      </w:r>
      <w:r>
        <w:rPr>
          <w:bCs/>
          <w:b/>
        </w:rPr>
        <w:t xml:space="preserve">~15 kWh LFP system</w:t>
      </w:r>
      <w:r>
        <w:t xml:space="preserve"> </w:t>
      </w:r>
      <w:r>
        <w:t xml:space="preserve">(~95 kg, one 19-inch rack,</w:t>
      </w:r>
      <w:r>
        <w:t xml:space="preserve"> </w:t>
      </w:r>
      <w:r>
        <w:rPr>
          <w:bCs/>
          <w:b/>
        </w:rPr>
        <w:t xml:space="preserve">$3,000–6,000</w:t>
      </w:r>
      <w:r>
        <w:t xml:space="preserve">).[^V2D4-1^][^V2D4-19^][^V2D4-25^][^V2D4-35^] The 0.25C start pulse sits at the upper edge of NiFe’s rate capability but is acceptable.[^V2D4-33^][^V2D4-34^] The commercial meaning is unambiguous: LFP ships in every standard unit; NiFe appears on the options list for the remote, daily-cycled, extreme-environment deployments where its 30-year, one-purchase-for-the-plant’s-life economics and the distilled-water and hydrogen-service synergies convert its weaknesses into line items HCSP is uniquely positioned to absorb.</w:t>
      </w:r>
    </w:p>
    <w:bookmarkEnd w:id="166"/>
    <w:bookmarkEnd w:id="167"/>
    <w:bookmarkEnd w:id="168"/>
    <w:bookmarkStart w:id="187" w:name="references"/>
    <w:p>
      <w:pPr>
        <w:pStyle w:val="Heading1"/>
      </w:pPr>
      <w:r>
        <w:t xml:space="preserve">References</w:t>
      </w:r>
    </w:p>
    <w:bookmarkStart w:id="169" w:name="d1"/>
    <w:p>
      <w:pPr>
        <w:pStyle w:val="Heading2"/>
      </w:pPr>
      <w:r>
        <w:t xml:space="preserve">D1</w:t>
      </w:r>
    </w:p>
    <w:p>
      <w:pPr>
        <w:pStyle w:val="FirstParagraph"/>
      </w:pPr>
      <w:r>
        <w:t xml:space="preserve">[D1-29] California State Water Resources Control Board,</w:t>
      </w:r>
      <w:r>
        <w:t xml:space="preserve"> </w:t>
      </w:r>
      <w:r>
        <w:t xml:space="preserve">“</w:t>
      </w:r>
      <w:r>
        <w:t xml:space="preserve">Cannabis Policy Update — Response to Comments</w:t>
      </w:r>
      <w:r>
        <w:t xml:space="preserve">”</w:t>
      </w:r>
      <w:r>
        <w:t xml:space="preserve"> </w:t>
      </w:r>
      <w:r>
        <w:t xml:space="preserve">— (Order WQ 2023-0102-DWQ, readopted 2023-11-07). Board unaware of any indoor operation demonstrating zero-waste full treatment; policy can be updated if such technology is demonstrated — explicit regulatory invitation. https://www.waterboards.ca.gov/water_issues/programs/cannabis/docs/cannabis_update_response_to_comments.pdf</w:t>
      </w:r>
    </w:p>
    <w:p>
      <w:pPr>
        <w:pStyle w:val="BodyText"/>
      </w:pPr>
      <w:r>
        <w:t xml:space="preserve">[D1-9] Ganjapreneur / Vangst–Whitney Economics Jobs Report — 2025 (2024 data). US state-legal cannabis sales $30.1B in 2024; only 27.3% of US cannabis operators profitable. https://ganjapreneur.com/report-u-s-cannabis-sales-reached-30-1-billion-in-2024/</w:t>
      </w:r>
    </w:p>
    <w:p>
      <w:pPr>
        <w:pStyle w:val="BodyText"/>
      </w:pPr>
      <w:r>
        <w:t xml:space="preserve">[D1-15] Resource Recovery Systems (evaporator.com),</w:t>
      </w:r>
      <w:r>
        <w:t xml:space="preserve"> </w:t>
      </w:r>
      <w:r>
        <w:t xml:space="preserve">“</w:t>
      </w:r>
      <w:r>
        <w:t xml:space="preserve">4 Wastewater Disposal Options for Cannabis Cultivation Facilities</w:t>
      </w:r>
      <w:r>
        <w:t xml:space="preserve">”</w:t>
      </w:r>
      <w:r>
        <w:t xml:space="preserve"> </w:t>
      </w:r>
      <w:r>
        <w:t xml:space="preserve">— undated (accessed 2026). Cannabis/hydroponic wastewater &gt;99.8% water; hauling $0.40–2.50/gal ($146k–912k/yr per 1,000 gpd); sewer discharge 200–300× cheaper. Basis for the CEA savings-ladder rung (#6). https://www.evaporator.com/news/4-wastewater-disposal-options-for-cannabis-cultivation-facilities</w:t>
      </w:r>
    </w:p>
    <w:p>
      <w:pPr>
        <w:pStyle w:val="BodyText"/>
      </w:pPr>
      <w:r>
        <w:t xml:space="preserve">[D1-40] iGrow News,</w:t>
      </w:r>
      <w:r>
        <w:t xml:space="preserve"> </w:t>
      </w:r>
      <w:r>
        <w:t xml:space="preserve">“</w:t>
      </w:r>
      <w:r>
        <w:t xml:space="preserve">Inside the 2025 Indoor Farming Bankruptcies</w:t>
      </w:r>
      <w:r>
        <w:t xml:space="preserve">”</w:t>
      </w:r>
      <w:r>
        <w:t xml:space="preserve"> </w:t>
      </w:r>
      <w:r>
        <w:t xml:space="preserve">— 2025. 14 CEA bankruptcies in 2025; indoor-farming VC funding down 91% YoY (PitchBook). https://igrownews.com/inside-the-2025-indoor-farming-bankruptcies-capital-intensity-meets-reality/</w:t>
      </w:r>
    </w:p>
    <w:p>
      <w:pPr>
        <w:pStyle w:val="BodyText"/>
      </w:pPr>
      <w:r>
        <w:t xml:space="preserve">[D1-5] USDA NASS,</w:t>
      </w:r>
      <w:r>
        <w:t xml:space="preserve"> </w:t>
      </w:r>
      <w:r>
        <w:t xml:space="preserve">“</w:t>
      </w:r>
      <w:r>
        <w:t xml:space="preserve">2024 Census of Horticultural Specialties,</w:t>
      </w:r>
      <w:r>
        <w:t xml:space="preserve">”</w:t>
      </w:r>
      <w:r>
        <w:t xml:space="preserve"> </w:t>
      </w:r>
      <w:r>
        <w:t xml:space="preserve">Table 15 — released December 2025. 3,731 US operations growing food crops under protection; $1.01B sales (+44% vs 2019). https://primarynewssource.org/wp-content/uploads/HORTIC.pdf</w:t>
      </w:r>
    </w:p>
    <w:p>
      <w:pPr>
        <w:pStyle w:val="BodyText"/>
      </w:pPr>
      <w:r>
        <w:t xml:space="preserve">[D1-8] CRB Monitor,</w:t>
      </w:r>
      <w:r>
        <w:t xml:space="preserve"> </w:t>
      </w:r>
      <w:r>
        <w:t xml:space="preserve">“</w:t>
      </w:r>
      <w:r>
        <w:t xml:space="preserve">2024 Cannabis Business Licensing Activity Review</w:t>
      </w:r>
      <w:r>
        <w:t xml:space="preserve">”</w:t>
      </w:r>
      <w:r>
        <w:t xml:space="preserve"> </w:t>
      </w:r>
      <w:r>
        <w:t xml:space="preserve">— 2025-02-17. 17,243 active US cannabis cultivation licenses at end-2024. https://news.crbmonitor.com/2025/02/2024-cannabis-business-licensing-activity-review/</w:t>
      </w:r>
    </w:p>
    <w:p>
      <w:pPr>
        <w:pStyle w:val="BodyText"/>
      </w:pPr>
      <w:r>
        <w:t xml:space="preserve">[D1-10] Flowhub,</w:t>
      </w:r>
      <w:r>
        <w:t xml:space="preserve"> </w:t>
      </w:r>
      <w:r>
        <w:t xml:space="preserve">“</w:t>
      </w:r>
      <w:r>
        <w:t xml:space="preserve">Cannabis Industry Statistics</w:t>
      </w:r>
      <w:r>
        <w:t xml:space="preserve">”</w:t>
      </w:r>
      <w:r>
        <w:t xml:space="preserve"> </w:t>
      </w:r>
      <w:r>
        <w:t xml:space="preserve">(Whitney Economics Dec-2025 forecast) — 2026-01-07. 2025 revenue projected $29.1–29.6B — first-ever annual decline. https://www.flowhub.com/cannabis-industry-statistics</w:t>
      </w:r>
    </w:p>
    <w:p>
      <w:pPr>
        <w:pStyle w:val="BodyText"/>
      </w:pPr>
      <w:r>
        <w:t xml:space="preserve">[D1-19] Wageningen University &amp; Research, AGRINUPES BMP Use Case: Westland — ~2020. Netherlands bans open soilless systems; near-zero N discharge mandatory by 2027. https://edepot.wur.nl/539764</w:t>
      </w:r>
    </w:p>
    <w:p>
      <w:pPr>
        <w:pStyle w:val="BodyText"/>
      </w:pPr>
      <w:r>
        <w:t xml:space="preserve">[D1-21] World Economic Forum,</w:t>
      </w:r>
      <w:r>
        <w:t xml:space="preserve"> </w:t>
      </w:r>
      <w:r>
        <w:t xml:space="preserve">“</w:t>
      </w:r>
      <w:r>
        <w:t xml:space="preserve">How vertical farming can save water</w:t>
      </w:r>
      <w:r>
        <w:t xml:space="preserve">”</w:t>
      </w:r>
      <w:r>
        <w:t xml:space="preserve"> </w:t>
      </w:r>
      <w:r>
        <w:t xml:space="preserve">— 2023. Vertical farms recirculate 90–98% of irrigation water. https://www.weforum.org/stories/2023/06/how-vertical-farming-can-save-water-and-support-food-security/</w:t>
      </w:r>
    </w:p>
    <w:p>
      <w:pPr>
        <w:pStyle w:val="BodyText"/>
      </w:pPr>
      <w:r>
        <w:t xml:space="preserve">[D1-25] Santa Ana Watershed Project Authority (SAWPA),</w:t>
      </w:r>
      <w:r>
        <w:t xml:space="preserve"> </w:t>
      </w:r>
      <w:r>
        <w:t xml:space="preserve">“</w:t>
      </w:r>
      <w:r>
        <w:t xml:space="preserve">Cannabis Program BMP Task Force</w:t>
      </w:r>
      <w:r>
        <w:t xml:space="preserve">”</w:t>
      </w:r>
      <w:r>
        <w:t xml:space="preserve"> </w:t>
      </w:r>
      <w:r>
        <w:t xml:space="preserve">presentation — 2018. Indoor-grow effluent commonly TDS ~2,000 mg/L, nitrate ~340 mg/L; POTWs near TDS/N limits may refuse cultivation discharge. https://www.sawpa.gov/wp-content/uploads/2018/09/Cannabis-Program_BMPTF_20180814.pdf</w:t>
      </w:r>
    </w:p>
    <w:p>
      <w:pPr>
        <w:pStyle w:val="BodyText"/>
      </w:pPr>
      <w:r>
        <w:t xml:space="preserve">[D1-34] Terrapin,</w:t>
      </w:r>
      <w:r>
        <w:t xml:space="preserve"> </w:t>
      </w:r>
      <w:r>
        <w:t xml:space="preserve">“</w:t>
      </w:r>
      <w:r>
        <w:t xml:space="preserve">2026 Cost Guide: Indoor Cannabis Cultivation Facility Buildout</w:t>
      </w:r>
      <w:r>
        <w:t xml:space="preserve">”</w:t>
      </w:r>
      <w:r>
        <w:t xml:space="preserve"> </w:t>
      </w:r>
      <w:r>
        <w:t xml:space="preserve">— 2026. RO system CapEx $15k–40k per facility. https://terrapincg.com/news/2026-cost-guide-indoor-cannabis-cultivation-facility-buildout</w:t>
      </w:r>
    </w:p>
    <w:p>
      <w:pPr>
        <w:pStyle w:val="BodyText"/>
      </w:pPr>
      <w:r>
        <w:t xml:space="preserve">[D1-41] PitchBook News,</w:t>
      </w:r>
      <w:r>
        <w:t xml:space="preserve"> </w:t>
      </w:r>
      <w:r>
        <w:t xml:space="preserve">“</w:t>
      </w:r>
      <w:r>
        <w:t xml:space="preserve">Wilted greens: How a leaf-eating pathogen, failed deals brought down Bowery Farming</w:t>
      </w:r>
      <w:r>
        <w:t xml:space="preserve">”</w:t>
      </w:r>
      <w:r>
        <w:t xml:space="preserve"> </w:t>
      </w:r>
      <w:r>
        <w:t xml:space="preserve">— 2024-11-08. Phytophthora outbreak propagated through integrated recirculating water systems across Bowery facilities. https://pitchbook.com/news/articles/bowery-farming-collapse-leaf-eating-pathogen-failed-acquisition</w:t>
      </w:r>
    </w:p>
    <w:p>
      <w:pPr>
        <w:pStyle w:val="BodyText"/>
      </w:pPr>
      <w:r>
        <w:t xml:space="preserve">[D1-43] VerticalFarming.blog,</w:t>
      </w:r>
      <w:r>
        <w:t xml:space="preserve"> </w:t>
      </w:r>
      <w:r>
        <w:t xml:space="preserve">“</w:t>
      </w:r>
      <w:r>
        <w:t xml:space="preserve">Why Vertical Farming Fails — And What Actually Works</w:t>
      </w:r>
      <w:r>
        <w:t xml:space="preserve">”</w:t>
      </w:r>
      <w:r>
        <w:t xml:space="preserve"> </w:t>
      </w:r>
      <w:r>
        <w:t xml:space="preserve">— 2026-05-03. Indoor-farming VC investment down 91% YoY (PitchBook data). https://verticalfarming.blog/why-vertical-farming-fails/</w:t>
      </w:r>
    </w:p>
    <w:p>
      <w:pPr>
        <w:pStyle w:val="BodyText"/>
      </w:pPr>
      <w:r>
        <w:t xml:space="preserve">[D1-48] CannaBusinessPlans,</w:t>
      </w:r>
      <w:r>
        <w:t xml:space="preserve"> </w:t>
      </w:r>
      <w:r>
        <w:t xml:space="preserve">“</w:t>
      </w:r>
      <w:r>
        <w:t xml:space="preserve">How Much Does It Cost to Grow Cannabis Indoor?</w:t>
      </w:r>
      <w:r>
        <w:t xml:space="preserve">”</w:t>
      </w:r>
      <w:r>
        <w:t xml:space="preserve"> </w:t>
      </w:r>
      <w:r>
        <w:t xml:space="preserve">— Documented grow with entire water cost of ~$700/yr; water/sewer a minor line item vs electricity and labor. https://cannabusinessplans.com/much-cost-grow-cannabis-indoor/</w:t>
      </w:r>
    </w:p>
    <w:bookmarkEnd w:id="169"/>
    <w:bookmarkStart w:id="170" w:name="d2"/>
    <w:p>
      <w:pPr>
        <w:pStyle w:val="Heading2"/>
      </w:pPr>
      <w:r>
        <w:t xml:space="preserve">D2</w:t>
      </w:r>
    </w:p>
    <w:p>
      <w:pPr>
        <w:pStyle w:val="FirstParagraph"/>
      </w:pPr>
      <w:r>
        <w:t xml:space="preserve">[D2-8] Altiras,</w:t>
      </w:r>
      <w:r>
        <w:t xml:space="preserve"> </w:t>
      </w:r>
      <w:r>
        <w:t xml:space="preserve">“</w:t>
      </w:r>
      <w:r>
        <w:t xml:space="preserve">The True Cost of Solvent Disposal in Pharmaceutical Manufacturing</w:t>
      </w:r>
      <w:r>
        <w:t xml:space="preserve">”</w:t>
      </w:r>
      <w:r>
        <w:t xml:space="preserve"> </w:t>
      </w:r>
      <w:r>
        <w:t xml:space="preserve">— (2026-01). Pharma solvent disposal $1.50–2.00/gal; $180,000–$1.2M annual disposal cost per site. https://altiras.com/the-true-cost-of-solvent-disposal-in-pharmaceutical-manufacturing/</w:t>
      </w:r>
    </w:p>
    <w:p>
      <w:pPr>
        <w:pStyle w:val="BodyText"/>
      </w:pPr>
      <w:r>
        <w:t xml:space="preserve">[D2-24] Bluefield Research,</w:t>
      </w:r>
      <w:r>
        <w:t xml:space="preserve"> </w:t>
      </w:r>
      <w:r>
        <w:t xml:space="preserve">“</w:t>
      </w:r>
      <w:r>
        <w:t xml:space="preserve">Why the Future of Pharma Depends on Smarter Water Management</w:t>
      </w:r>
      <w:r>
        <w:t xml:space="preserve">”</w:t>
      </w:r>
      <w:r>
        <w:t xml:space="preserve"> </w:t>
      </w:r>
      <w:r>
        <w:t xml:space="preserve">— 2025-08. Revised EU Urban Waste Water Treatment Directive requires pharma/cosmetics to cover ≥80% of advanced micropollutant-treatment costs under extended producer responsibility. https://www.bluefieldresearch.com/why-the-future-of-pharma-depends-on-smarter-water-management/</w:t>
      </w:r>
    </w:p>
    <w:p>
      <w:pPr>
        <w:pStyle w:val="BodyText"/>
      </w:pPr>
      <w:r>
        <w:t xml:space="preserve">[D2-47] 374Water investor presentation (MZ filed) — 2025-11. Benchmark for modeled pharma paybacks of 0.9–2.5 years against a $1.50–3.00/gal avoided-cost baseline. (Vendor source; medium confidence.) https://api.mziq.com/mzfilemanager/v2/d/47fa8169-1c47-46b2-8577-e01b8d233478/447fc6a7-120f-dcce-65ef-699eac5114c7</w:t>
      </w:r>
    </w:p>
    <w:p>
      <w:pPr>
        <w:pStyle w:val="BodyText"/>
      </w:pPr>
      <w:r>
        <w:t xml:space="preserve">[D2-1] Optima Water,</w:t>
      </w:r>
      <w:r>
        <w:t xml:space="preserve"> </w:t>
      </w:r>
      <w:r>
        <w:t xml:space="preserve">“</w:t>
      </w:r>
      <w:r>
        <w:t xml:space="preserve">Effluent Treatment Plant for Pharma Industry India</w:t>
      </w:r>
      <w:r>
        <w:t xml:space="preserve">”</w:t>
      </w:r>
      <w:r>
        <w:t xml:space="preserve"> </w:t>
      </w:r>
      <w:r>
        <w:t xml:space="preserve">— (2026-06). Pharma effluent COD 2,000–80,000 mg/L; residual solvents 100–5,000 mg/L. Medium-High confidence. https://optimawater.co.in/blog/effluent-treatment-plant-pharma-india/</w:t>
      </w:r>
    </w:p>
    <w:p>
      <w:pPr>
        <w:pStyle w:val="BodyText"/>
      </w:pPr>
      <w:r>
        <w:t xml:space="preserve">[D2-4] Spans Envirotech SBR guide; Reynolds Bauhm high-organic pharma page — (2026). COD 2,000–15,000 mg/L; TDS to 80,000 mg/L; GMP IQ/OQ/PQ documentation expected. Medium confidence. https://spans.co.in/sbr-for-pharma-wastewater/ ; https://reynoldsbauhm.co.uk/nl/pharma-high-organic</w:t>
      </w:r>
    </w:p>
    <w:p>
      <w:pPr>
        <w:pStyle w:val="BodyText"/>
      </w:pPr>
      <w:r>
        <w:t xml:space="preserve">[D2-6] Veolia Southeast Asia case study, Singapore Tuas API facility — (accessed 2026). 132 m³/day wastewater; segregated halogenated/non-halogenated streams for off-site disposal. High confidence. https://www.southeastasia.veolia.com/global-case-studies/sustainable-wastewater-solutions-pharmaceutical-api-facility-singapore</w:t>
      </w:r>
    </w:p>
    <w:p>
      <w:pPr>
        <w:pStyle w:val="BodyText"/>
      </w:pPr>
      <w:r>
        <w:t xml:space="preserve">[D2-7] Gannett Fleming,</w:t>
      </w:r>
      <w:r>
        <w:t xml:space="preserve"> </w:t>
      </w:r>
      <w:r>
        <w:t xml:space="preserve">“</w:t>
      </w:r>
      <w:r>
        <w:t xml:space="preserve">R. Steven Biggs Regional Wastewater Pretreatment Facility</w:t>
      </w:r>
      <w:r>
        <w:t xml:space="preserve">”</w:t>
      </w:r>
      <w:r>
        <w:t xml:space="preserve"> </w:t>
      </w:r>
      <w:r>
        <w:t xml:space="preserve">— (2026-05). $40M, 450,000 gpd pretreatment facility supporting Novo Nordisk Clayton NC API expansion. High confidence. https://www.gftinc.com/project/r-steven-biggs-regional-wastewater-pretreatment-facility/</w:t>
      </w:r>
    </w:p>
    <w:p>
      <w:pPr>
        <w:pStyle w:val="BodyText"/>
      </w:pPr>
      <w:r>
        <w:t xml:space="preserve">[D2-19] WHO,</w:t>
      </w:r>
      <w:r>
        <w:t xml:space="preserve"> </w:t>
      </w:r>
      <w:r>
        <w:t xml:space="preserve">“</w:t>
      </w:r>
      <w:r>
        <w:t xml:space="preserve">Guidance on wastewater and solid waste management for manufacturing of antibiotics</w:t>
      </w:r>
      <w:r>
        <w:t xml:space="preserve">”</w:t>
      </w:r>
      <w:r>
        <w:t xml:space="preserve"> </w:t>
      </w:r>
      <w:r>
        <w:t xml:space="preserve">— (2024). First global guidance; antibiotic pollution from manufacturing</w:t>
      </w:r>
      <w:r>
        <w:t xml:space="preserve"> </w:t>
      </w:r>
      <w:r>
        <w:t xml:space="preserve">“</w:t>
      </w:r>
      <w:r>
        <w:t xml:space="preserve">largely unregulated.</w:t>
      </w:r>
      <w:r>
        <w:t xml:space="preserve">”</w:t>
      </w:r>
      <w:r>
        <w:t xml:space="preserve"> </w:t>
      </w:r>
      <w:r>
        <w:t xml:space="preserve">High confidence. https://iris.who.int/server/api/core/bitstreams/0786ae95-e9ba-4fb4-b6ac-94cf2cea9423/content</w:t>
      </w:r>
    </w:p>
    <w:p>
      <w:pPr>
        <w:pStyle w:val="BodyText"/>
      </w:pPr>
      <w:r>
        <w:t xml:space="preserve">[D2-21] AMR Industry Alliance,</w:t>
      </w:r>
      <w:r>
        <w:t xml:space="preserve"> </w:t>
      </w:r>
      <w:r>
        <w:t xml:space="preserve">“</w:t>
      </w:r>
      <w:r>
        <w:t xml:space="preserve">Responsible Manufacturing</w:t>
      </w:r>
      <w:r>
        <w:t xml:space="preserve">”</w:t>
      </w:r>
      <w:r>
        <w:t xml:space="preserve"> </w:t>
      </w:r>
      <w:r>
        <w:t xml:space="preserve">— (2026-04). Standard updated May 2025 to align with WHO 2024; BSI certified 60+ antibiotic products across 15 geographies. High confidence. https://www.amrindustryalliance.org/shared-goals/responsible-manufacturing/</w:t>
      </w:r>
    </w:p>
    <w:p>
      <w:pPr>
        <w:pStyle w:val="BodyText"/>
      </w:pPr>
      <w:r>
        <w:t xml:space="preserve">[D2-25] PMC12297009,</w:t>
      </w:r>
      <w:r>
        <w:t xml:space="preserve"> </w:t>
      </w:r>
      <w:r>
        <w:t xml:space="preserve">“</w:t>
      </w:r>
      <w:r>
        <w:t xml:space="preserve">Advancing a strategy for Europe</w:t>
      </w:r>
      <w:r>
        <w:t xml:space="preserve">”</w:t>
      </w:r>
      <w:r>
        <w:t xml:space="preserve"> </w:t>
      </w:r>
      <w:r>
        <w:t xml:space="preserve">— (2024-04). Proposed EU pharma legislation requires lifecycle ERA incl. manufacturing waste streams. High confidence. https://pmc.ncbi.nlm.nih.gov/articles/PMC12297009/</w:t>
      </w:r>
    </w:p>
    <w:p>
      <w:pPr>
        <w:pStyle w:val="BodyText"/>
      </w:pPr>
      <w:r>
        <w:t xml:space="preserve">[D2-26] US EPA,</w:t>
      </w:r>
      <w:r>
        <w:t xml:space="preserve"> </w:t>
      </w:r>
      <w:r>
        <w:t xml:space="preserve">“</w:t>
      </w:r>
      <w:r>
        <w:t xml:space="preserve">Pharmaceutical Manufacturing Effluent Guidelines</w:t>
      </w:r>
      <w:r>
        <w:t xml:space="preserve">”</w:t>
      </w:r>
      <w:r>
        <w:t xml:space="preserve"> </w:t>
      </w:r>
      <w:r>
        <w:t xml:space="preserve">(40 CFR 439) — (accessed 2026). Promulgated 1976; amended 1983/1998/2003; no API-specific limits. High confidence. https://www.epa.gov/eg/pharmaceutical-manufacturing-effluent-guidelines</w:t>
      </w:r>
    </w:p>
    <w:p>
      <w:pPr>
        <w:pStyle w:val="BodyText"/>
      </w:pPr>
      <w:r>
        <w:t xml:space="preserve">[D2-32] SwedWatch report; PMC11894946 — (2020/2022). India: 10,000+ units, 3,000+ pharma companies, ~40 large API plants. High confidence. https://swedwatch.org/wp-content/uploads/2021/01/pharma-reportfinal200219-ab-fin-enkelsidor.pdf ; https://pmc.ncbi.nlm.nih.gov/articles/PMC11894946/</w:t>
      </w:r>
    </w:p>
    <w:p>
      <w:pPr>
        <w:pStyle w:val="BodyText"/>
      </w:pPr>
      <w:r>
        <w:t xml:space="preserve">[D2-34] US EPA,</w:t>
      </w:r>
      <w:r>
        <w:t xml:space="preserve"> </w:t>
      </w:r>
      <w:r>
        <w:t xml:space="preserve">“</w:t>
      </w:r>
      <w:r>
        <w:t xml:space="preserve">Class I Industrial and Municipal Waste Disposal Wells</w:t>
      </w:r>
      <w:r>
        <w:t xml:space="preserve">”</w:t>
      </w:r>
      <w:r>
        <w:t xml:space="preserve"> </w:t>
      </w:r>
      <w:r>
        <w:t xml:space="preserve">— (accessed 2026). ~800 operational Class I wells; pharmaceutical production a listed user industry. High confidence. https://www.epa.gov/uic/class-i-industrial-and-municipal-waste-disposal-wells</w:t>
      </w:r>
    </w:p>
    <w:p>
      <w:pPr>
        <w:pStyle w:val="BodyText"/>
      </w:pPr>
      <w:r>
        <w:t xml:space="preserve">[D2-39] Hannah et al., Bio/Technology (Nature), vol. 6, pp. 1423–1427 — (1988-12). MODAR SCWO destroyed pharmaceutical/biopharmaceutical wastes to CO₂ and inorganics. High confidence. https://www.nature.com/articles/nbt1288-1423.pdf</w:t>
      </w:r>
    </w:p>
    <w:p>
      <w:pPr>
        <w:pStyle w:val="BodyText"/>
      </w:pPr>
      <w:r>
        <w:t xml:space="preserve">[D2-40] Polish Journal of Environmental Studies (2014),</w:t>
      </w:r>
      <w:r>
        <w:t xml:space="preserve"> </w:t>
      </w:r>
      <w:r>
        <w:t xml:space="preserve">“</w:t>
      </w:r>
      <w:r>
        <w:t xml:space="preserve">Effective Pharmaceutical Wastewater Treatment by SCWO</w:t>
      </w:r>
      <w:r>
        <w:t xml:space="preserve">”</w:t>
      </w:r>
      <w:r>
        <w:t xml:space="preserve"> </w:t>
      </w:r>
      <w:r>
        <w:t xml:space="preserve">— 97.8% COD removal from real pharmaceutical wastewater. High confidence. https://www.pjoes.com/pdf-50823-23328?filename=Effective%20Pharmaceutical.pdf</w:t>
      </w:r>
    </w:p>
    <w:p>
      <w:pPr>
        <w:pStyle w:val="BodyText"/>
      </w:pPr>
      <w:r>
        <w:t xml:space="preserve">[D2-45] California CII Task Force Water Use BMP Report (citing US Census of Manufacturers) — (2007 Census data). US pharma/biotech manufacturing establishments: 2,010. Medium-High confidence (dated; used as conservative denominator). https://cawaterlibrary.net/wp-content/uploads/2024/02/3of3-CII-Task-Force-Report-Volume-2.pdf</w:t>
      </w:r>
    </w:p>
    <w:p>
      <w:pPr>
        <w:pStyle w:val="BodyText"/>
      </w:pPr>
      <w:r>
        <w:t xml:space="preserve">[D2-16] CHIWATEC industry guide (2026-05, citing market projection) — global pharma wastewater treatment market ~$3.8B by 2030 (single-source; medium confidence). https://cnchiwatec.com/what-are-the-methods-of-physical-treatment-of-wastewater-in-the-pharmaceutical-industry.html</w:t>
      </w:r>
    </w:p>
    <w:bookmarkEnd w:id="170"/>
    <w:bookmarkStart w:id="171" w:name="d3"/>
    <w:p>
      <w:pPr>
        <w:pStyle w:val="Heading2"/>
      </w:pPr>
      <w:r>
        <w:t xml:space="preserve">D3</w:t>
      </w:r>
    </w:p>
    <w:p>
      <w:pPr>
        <w:pStyle w:val="FirstParagraph"/>
      </w:pPr>
      <w:r>
        <w:t xml:space="preserve">[D3-45] Altiras,</w:t>
      </w:r>
      <w:r>
        <w:t xml:space="preserve"> </w:t>
      </w:r>
      <w:r>
        <w:t xml:space="preserve">“</w:t>
      </w:r>
      <w:r>
        <w:t xml:space="preserve">Solvent Waste Costs: What It’s Really Costing Semiconductor Manufacturers</w:t>
      </w:r>
      <w:r>
        <w:t xml:space="preserve">”</w:t>
      </w:r>
      <w:r>
        <w:t xml:space="preserve"> </w:t>
      </w:r>
      <w:r>
        <w:t xml:space="preserve">— (2026-01-12). Fab solvent (IPA/PGMEA/NMP) disposal $1.80–4.00/gal. https://altiras.com/solvent-waste-costs-what-its-really-costing-semiconductor-manufacturers/</w:t>
      </w:r>
    </w:p>
    <w:p>
      <w:pPr>
        <w:pStyle w:val="BodyText"/>
      </w:pPr>
      <w:r>
        <w:t xml:space="preserve">[D3-33] Syracuse.com — Sustain CNY guest opinion on Micron’s Clay, NY treatment plant — 2026-07-17. Public/contested PFAS discharge scrutiny of Micron’s New York fab wastewater permitting. https://www.syracuse.com/opinion/2026/07/microns-wastewater-poses-a-real-risk-to-our-environment-guest-opinion-by-sustain-cny.html</w:t>
      </w:r>
    </w:p>
    <w:p>
      <w:pPr>
        <w:pStyle w:val="BodyText"/>
      </w:pPr>
      <w:r>
        <w:t xml:space="preserve">[D3-47] jeez-semicon, CMP slurry recycling economics guide — 2026-07-16. CMP slurry disposal $0.50–2/L (~$1.9–7.6/gal); slurry spend &gt;$50M/yr at large advanced-node fabs. https://jeez-semicon.com/blog/oxide-cmp-slurry-recycling-sustainability-fab-implementation-guide/</w:t>
      </w:r>
    </w:p>
    <w:p>
      <w:pPr>
        <w:pStyle w:val="BodyText"/>
      </w:pPr>
      <w:r>
        <w:t xml:space="preserve">[D3-7] Engineering comment letter on Micron Draft Scope — (2024). Fab effluents 12,000–23,000 m³/day; PFAS removal at final effluent</w:t>
      </w:r>
      <w:r>
        <w:t xml:space="preserve"> </w:t>
      </w:r>
      <w:r>
        <w:t xml:space="preserve">“</w:t>
      </w:r>
      <w:r>
        <w:t xml:space="preserve">very expensive and, in some cases, infeasible</w:t>
      </w:r>
      <w:r>
        <w:t xml:space="preserve">”</w:t>
      </w:r>
      <w:r>
        <w:t xml:space="preserve">; intercept at low-flow, high-concentration sources. High confidence. https://ongoved.com/wp-content/uploads/2024/05/Micron-Draft-Scope-email-letter-comments.pdf</w:t>
      </w:r>
    </w:p>
    <w:p>
      <w:pPr>
        <w:pStyle w:val="BodyText"/>
      </w:pPr>
      <w:r>
        <w:t xml:space="preserve">[D3-15] DataCenterDynamics,</w:t>
      </w:r>
      <w:r>
        <w:t xml:space="preserve"> </w:t>
      </w:r>
      <w:r>
        <w:t xml:space="preserve">“</w:t>
      </w:r>
      <w:r>
        <w:t xml:space="preserve">TSMC breaks ground on water reclamation project in Phoenix</w:t>
      </w:r>
      <w:r>
        <w:t xml:space="preserve">”</w:t>
      </w:r>
      <w:r>
        <w:t xml:space="preserve"> </w:t>
      </w:r>
      <w:r>
        <w:t xml:space="preserve">— (2025-09-05). Three fabs to require 17.2 MGD; IRWP. High confidence. https://www.datacenterdynamics.com/en/news/tsmc-breaks-ground-on-water-reclamation-project-in-phoenix-arizona/</w:t>
      </w:r>
    </w:p>
    <w:p>
      <w:pPr>
        <w:pStyle w:val="BodyText"/>
      </w:pPr>
      <w:r>
        <w:t xml:space="preserve">[D3-16] AZ Tech Council/inBusiness PHX,</w:t>
      </w:r>
      <w:r>
        <w:t xml:space="preserve"> </w:t>
      </w:r>
      <w:r>
        <w:t xml:space="preserve">“</w:t>
      </w:r>
      <w:r>
        <w:t xml:space="preserve">TSMC breaks ground on near-zero discharge water plant</w:t>
      </w:r>
      <w:r>
        <w:t xml:space="preserve">”</w:t>
      </w:r>
      <w:r>
        <w:t xml:space="preserve"> </w:t>
      </w:r>
      <w:r>
        <w:t xml:space="preserve">— (2025-09-05). Near-ZLD; 85% recycling at 2028 start-up, 90%+ planned. High confidence. https://aztechcouncil.org/tsmc-breaks-ground-on-near-zero-discharge-water-plant-to-back-fabs/</w:t>
      </w:r>
    </w:p>
    <w:p>
      <w:pPr>
        <w:pStyle w:val="BodyText"/>
      </w:pPr>
      <w:r>
        <w:t xml:space="preserve">[D3-20] NY Rural Water Association / syracuse.com — (2026). Micron Clay NY: 48 MGD water need; 30.8 MGD discharge. High confidence. https://www.nyruralwater.org/news/micron%E2%80%99s-unmatched-environmental-impact-clay-chip-fabs-doubles-latest-estimates</w:t>
      </w:r>
    </w:p>
    <w:p>
      <w:pPr>
        <w:pStyle w:val="BodyText"/>
      </w:pPr>
      <w:r>
        <w:t xml:space="preserve">[D3-21] ForeverChemicals NY (permit analysis citing SIA 2025 survey; Taiwan studies) — (2026-06-19). Fab effluent averaging 840 ng/L PFAS (~210× 4 ppt MCL); Taiwan enforceable limits; PFOS 6,930 ng/L treated / 130,000 ng/L raw. Medium-High confidence (advocacy framing; underlying data verifiable). https://foreverchemicalsny.com/</w:t>
      </w:r>
    </w:p>
    <w:p>
      <w:pPr>
        <w:pStyle w:val="BodyText"/>
      </w:pPr>
      <w:r>
        <w:t xml:space="preserve">[D3-23] iScience/PMC,</w:t>
      </w:r>
      <w:r>
        <w:t xml:space="preserve"> </w:t>
      </w:r>
      <w:r>
        <w:t xml:space="preserve">“</w:t>
      </w:r>
      <w:r>
        <w:t xml:space="preserve">Climate-change water stress &amp; semiconductor supply chains</w:t>
      </w:r>
      <w:r>
        <w:t xml:space="preserve">”</w:t>
      </w:r>
      <w:r>
        <w:t xml:space="preserve"> </w:t>
      </w:r>
      <w:r>
        <w:t xml:space="preserve">— (2024). ~1,390 semiconductor facilities; 40–49% of fabs announced since 2021 in high/extremely-high water-stress basins. High confidence (peer-reviewed). https://pmc.ncbi.nlm.nih.gov/articles/PMC10826299/</w:t>
      </w:r>
    </w:p>
    <w:p>
      <w:pPr>
        <w:pStyle w:val="BodyText"/>
      </w:pPr>
      <w:r>
        <w:t xml:space="preserve">[D3-31] ESIA, PFAS consultation submission (Jacob et al. ES&amp;T 2021 data) — (2023-09-21). 133 distinct PFAS in fab wastewater; diluted effluent 376–623 ng/L. High confidence. https://www.eusemiconductors.eu/sites/default/files/uploads/20230921_FinalESIASubmission-PFASConsultation.pdf</w:t>
      </w:r>
    </w:p>
    <w:p>
      <w:pPr>
        <w:pStyle w:val="BodyText"/>
      </w:pPr>
      <w:r>
        <w:t xml:space="preserve">[D3-32] Cornell CNF / Jacob &amp; Helbling — (2023). Photolithography wastewater AOF 126.7–6,976.7 µg/L; 80–99% organofluorine</w:t>
      </w:r>
      <w:r>
        <w:t xml:space="preserve"> </w:t>
      </w:r>
      <w:r>
        <w:t xml:space="preserve">“</w:t>
      </w:r>
      <w:r>
        <w:t xml:space="preserve">dark PFAS.</w:t>
      </w:r>
      <w:r>
        <w:t xml:space="preserve">”</w:t>
      </w:r>
      <w:r>
        <w:t xml:space="preserve"> </w:t>
      </w:r>
      <w:r>
        <w:t xml:space="preserve">High confidence. https://www.cnf.cornell.edu/sites/default/files/2023-RA/2023cnfRA_PG34.pdf</w:t>
      </w:r>
    </w:p>
    <w:p>
      <w:pPr>
        <w:pStyle w:val="BodyText"/>
      </w:pPr>
      <w:r>
        <w:t xml:space="preserve">[D3-37] European Parliament study PE 778.581,</w:t>
      </w:r>
      <w:r>
        <w:t xml:space="preserve"> </w:t>
      </w:r>
      <w:r>
        <w:t xml:space="preserve">“</w:t>
      </w:r>
      <w:r>
        <w:t xml:space="preserve">PFAS &amp; EU industrial competitiveness</w:t>
      </w:r>
      <w:r>
        <w:t xml:space="preserve">”</w:t>
      </w:r>
      <w:r>
        <w:t xml:space="preserve"> </w:t>
      </w:r>
      <w:r>
        <w:t xml:space="preserve">— (2025-12-05). EU PFAS restriction RO3: conditional use under strict emission limits for semiconductors. High confidence. https://www.europarl.europa.eu/RegData/etudes/STUD/2025/778581/ECTI_STU(2025)778581_EN.pdf</w:t>
      </w:r>
    </w:p>
    <w:p>
      <w:pPr>
        <w:pStyle w:val="BodyText"/>
      </w:pPr>
      <w:r>
        <w:t xml:space="preserve">[D3-40] Book118 SCWO review (Killilea/Modar data) — (2019). SCWO treatment cost $0.75/gal at 5,000–100,000 gal/d (GNI Deer Park). Medium confidence. https://max.book118.com/html/2019/0910/5231141200002124.shtm</w:t>
      </w:r>
    </w:p>
    <w:p>
      <w:pPr>
        <w:pStyle w:val="BodyText"/>
      </w:pPr>
      <w:r>
        <w:t xml:space="preserve">[D3-41] Advanced Oxidation Processes for Wastewater Treatment (2018, citing Vadillo 2011) — SCWO cost ~€109/t for 1 m³/h flammable wastewater plant. Medium confidence. https://www.abpsoil.com/images/Books/Advanced-oxidation-processes-for-wastewater-treatment-2018.pdf</w:t>
      </w:r>
    </w:p>
    <w:p>
      <w:pPr>
        <w:pStyle w:val="BodyText"/>
      </w:pPr>
      <w:r>
        <w:t xml:space="preserve">[D3-48] Bhojwani et al., Science of the Total Environment (2019) — Desalination unit costs $0.3–2.8/m³ (SWRO/BWRO/MSF/MED) — proxy for fab bulk treatment economics. High confidence. https://par.nsf.gov/servlets/purl/10113252</w:t>
      </w:r>
    </w:p>
    <w:p>
      <w:pPr>
        <w:pStyle w:val="BodyText"/>
      </w:pPr>
      <w:r>
        <w:t xml:space="preserve">[D3-49] Data Insights Reports,</w:t>
      </w:r>
      <w:r>
        <w:t xml:space="preserve"> </w:t>
      </w:r>
      <w:r>
        <w:t xml:space="preserve">“</w:t>
      </w:r>
      <w:r>
        <w:t xml:space="preserve">Global Semiconductor Wastewater Treatment Market</w:t>
      </w:r>
      <w:r>
        <w:t xml:space="preserve">”</w:t>
      </w:r>
      <w:r>
        <w:t xml:space="preserve"> </w:t>
      </w:r>
      <w:r>
        <w:t xml:space="preserve">— (2026-07-19). $2.94B (2023) → $7.29B (2034), 8.5% CAGR. Medium confidence. https://www.datainsightsreports.com/reports/global-semiconductor-wastewater-treatment-market-32590</w:t>
      </w:r>
    </w:p>
    <w:p>
      <w:pPr>
        <w:pStyle w:val="BodyText"/>
      </w:pPr>
      <w:r>
        <w:t xml:space="preserve">[D3-51] Strategic Market Research,</w:t>
      </w:r>
      <w:r>
        <w:t xml:space="preserve"> </w:t>
      </w:r>
      <w:r>
        <w:t xml:space="preserve">“</w:t>
      </w:r>
      <w:r>
        <w:t xml:space="preserve">Semiconductor Liquid Waste Treatment</w:t>
      </w:r>
      <w:r>
        <w:t xml:space="preserve">”</w:t>
      </w:r>
      <w:r>
        <w:t xml:space="preserve"> </w:t>
      </w:r>
      <w:r>
        <w:t xml:space="preserve">— $2.9B (2024) → $4.8B (2030), 8.7% CAGR; ZLD fastest-growing segment. Medium confidence. https://www.strategicmarketresearch.com/market-report/semiconductor-liquid-waste-treatment-market</w:t>
      </w:r>
    </w:p>
    <w:p>
      <w:pPr>
        <w:pStyle w:val="BodyText"/>
      </w:pPr>
      <w:r>
        <w:t xml:space="preserve">[D3-56] Revive Environmental,</w:t>
      </w:r>
      <w:r>
        <w:t xml:space="preserve"> </w:t>
      </w:r>
      <w:r>
        <w:t xml:space="preserve">“</w:t>
      </w:r>
      <w:r>
        <w:t xml:space="preserve">Supercritical Water Oxidation</w:t>
      </w:r>
      <w:r>
        <w:t xml:space="preserve">”</w:t>
      </w:r>
      <w:r>
        <w:t xml:space="preserve"> </w:t>
      </w:r>
      <w:r>
        <w:t xml:space="preserve">— PFAS Annihilator SCWO positioned for semiconductor &amp; electronics waste. Medium confidence.</w:t>
      </w:r>
      <w:r>
        <w:t xml:space="preserve"> </w:t>
      </w:r>
      <w:r>
        <w:rPr>
          <w:iCs/>
          <w:i/>
        </w:rPr>
        <w:t xml:space="preserve">Chapter 5 companion reference list. No supplementary ([^S-N^]) sources were added. All figures nominal USD as cited in the source dimension reports; market-research figures carry vendor-estimate uncertainty.</w:t>
      </w:r>
      <w:r>
        <w:t xml:space="preserve"> </w:t>
      </w:r>
      <w:r>
        <w:t xml:space="preserve">https://revive-environmental.com/supercritical-water-oxidation/</w:t>
      </w:r>
    </w:p>
    <w:p>
      <w:pPr>
        <w:pStyle w:val="BodyText"/>
      </w:pPr>
      <w:r>
        <w:t xml:space="preserve">[D3-50] SNS Insider (2025-10-03) — semiconductor liquid waste treatment market $2.72B → $4.92B. https://www.snsinsider.com/reports/semiconductor-liquid-waste-treatment-market-7013</w:t>
      </w:r>
    </w:p>
    <w:p>
      <w:pPr>
        <w:pStyle w:val="BodyText"/>
      </w:pPr>
      <w:r>
        <w:t xml:space="preserve">[D3-6] HydroChemiX,</w:t>
      </w:r>
      <w:r>
        <w:t xml:space="preserve"> </w:t>
      </w:r>
      <w:r>
        <w:t xml:space="preserve">“</w:t>
      </w:r>
      <w:r>
        <w:t xml:space="preserve">Semiconductor wastewater treatment</w:t>
      </w:r>
      <w:r>
        <w:t xml:space="preserve">”</w:t>
      </w:r>
      <w:r>
        <w:t xml:space="preserve"> </w:t>
      </w:r>
      <w:r>
        <w:t xml:space="preserve">(2026-08-06) — Fab wastewater stream segregation; organic solvent streams COD 500–5,000 mg/L. Confidence: High (with Micron engineering letter and iCert/USM paper). https://hydrochemix.com/en/semiconductor-wastewater-treatment/</w:t>
      </w:r>
    </w:p>
    <w:bookmarkEnd w:id="171"/>
    <w:bookmarkStart w:id="172" w:name="d4"/>
    <w:p>
      <w:pPr>
        <w:pStyle w:val="Heading2"/>
      </w:pPr>
      <w:r>
        <w:t xml:space="preserve">D4</w:t>
      </w:r>
    </w:p>
    <w:p>
      <w:pPr>
        <w:pStyle w:val="FirstParagraph"/>
      </w:pPr>
      <w:r>
        <w:t xml:space="preserve">[D4-26] Krishnan et al., PMC10428202 — SCWO for PFAS destruction review — Peer-reviewed SCWO/PFAS review; documents Michigan hazardous-landfill disposal of AFFF at $28/gal. https://pmc.ncbi.nlm.nih.gov/articles/PMC10428202/ (also cited as [^D11-12^])</w:t>
      </w:r>
    </w:p>
    <w:p>
      <w:pPr>
        <w:pStyle w:val="BodyText"/>
      </w:pPr>
      <w:r>
        <w:t xml:space="preserve">[D4-9] Waste Dive (2025-10-27), Environmental Business Journal survey — EBJ 30-yr PFAS market potential $132B (2025), downgraded from $230B (2024) on federal deregulation. https://www.wastedive.com/news/pfas-treatment-market-potential-132-million-estimate/803850/</w:t>
      </w:r>
    </w:p>
    <w:p>
      <w:pPr>
        <w:pStyle w:val="BodyText"/>
      </w:pPr>
      <w:r>
        <w:t xml:space="preserve">[D4-24] Sci-Bot comprehensive PFAS market assessment — PFAS concentrate/residual management segment $200–400M (2023) → $1–2B (2030); disposal-pathway cost compilation. (Aggregator-grade; flagged.) https://sci-bot.ru/conduct-comprehensive-market-assessment-of-578a (also cited as [^D11-7^]) (also cited as [^D5-44^])</w:t>
      </w:r>
    </w:p>
    <w:p>
      <w:pPr>
        <w:pStyle w:val="BodyText"/>
      </w:pPr>
      <w:r>
        <w:t xml:space="preserve">[D4-31] Alston &amp; Bird / Law360,</w:t>
      </w:r>
      <w:r>
        <w:t xml:space="preserve"> </w:t>
      </w:r>
      <w:r>
        <w:t xml:space="preserve">“</w:t>
      </w:r>
      <w:r>
        <w:t xml:space="preserve">New DoD Framework Offers Key Guidance</w:t>
      </w:r>
      <w:r>
        <w:t xml:space="preserve">”</w:t>
      </w:r>
      <w:r>
        <w:t xml:space="preserve"> </w:t>
      </w:r>
      <w:r>
        <w:t xml:space="preserve">— (Apr 2026). DoD memo (Feb 20–Mar 3, 2026) lifting the FY2022 NDAA PFAS incineration moratorium. https://www.alston.com/en/insights/publications/2026/04/new-dod-framework-offers-key-guidance</w:t>
      </w:r>
    </w:p>
    <w:p>
      <w:pPr>
        <w:pStyle w:val="BodyText"/>
      </w:pPr>
      <w:r>
        <w:t xml:space="preserve">[D4-33] Proactive Investors, coverage of USACE ERDC technical report — (2026). AirSCWO 6 achieved 99.9993% total PFAS destruction-and-removal efficiency on AFFF; Arcadis-validated. https://www.proactiveinvestors.co.uk/companies/news/1095936/</w:t>
      </w:r>
    </w:p>
    <w:p>
      <w:pPr>
        <w:pStyle w:val="BodyText"/>
      </w:pPr>
      <w:r>
        <w:t xml:space="preserve">[D4-37] Revive Environmental — WEF 2025 Innovative Technology Award — Operator of North America’s first fully permitted commercial-scale SCWO PFAS destruction system. https://revive-environmental.com/revive-environmental-wins-2025-weftec-innovative-technology-award-for-pfas-annihilator-scwo/</w:t>
      </w:r>
    </w:p>
    <w:p>
      <w:pPr>
        <w:pStyle w:val="BodyText"/>
      </w:pPr>
      <w:r>
        <w:t xml:space="preserve">[D4-48] 374Water investor profile (mziq) — AS6 WDS site capital $4.5–6.0M; claimed 1.5–2.5-yr payback; power cost $0.07–0.09/gal derivation for 75–95 kW skid. (Vendor source.) https://api.mziq.com/mzfilemanager/v2/d/47fa8169-1c47-46b2-8577-e01b8d233478/</w:t>
      </w:r>
    </w:p>
    <w:p>
      <w:pPr>
        <w:pStyle w:val="BodyText"/>
      </w:pPr>
      <w:r>
        <w:t xml:space="preserve">[D4-34] 374Water via Yahoo Finance — DIU/ESTCP demonstration (results April 2026): &gt;99.9% DRE on all four concentrated liquid PFAS streams. https://finance.yahoo.com/sectors/technology/articles/374water-destroys-over-99-9-123500154.html</w:t>
      </w:r>
    </w:p>
    <w:p>
      <w:pPr>
        <w:pStyle w:val="BodyText"/>
      </w:pPr>
      <w:r>
        <w:t xml:space="preserve">[D4-35] Revive Environmental — peer-reviewed ACS ES&amp;T Water field study (Sep 30, 2024): Battelle PFAS Annihilator ≥99.9% destruction across three AFFF formulations; fluoride mass balance confirms mineralization; salt precipitation noted as operational challenge. https://revive-environmental.com/peer-reviewed-study-confirms-pfas-annihilator-effectiveness-in-destroying-pfas-from-firefighting-foams/</w:t>
      </w:r>
    </w:p>
    <w:p>
      <w:pPr>
        <w:pStyle w:val="BodyText"/>
      </w:pPr>
      <w:r>
        <w:t xml:space="preserve">[D4-36] Waste Dive — DoD-funded PFAS destruction demonstration roundup; Battelle 2023 lab study 99.999% PFAS destruction in AFFF (Dec 2025). https://www.wastedive.com/news/dod-pfas-destruction-disposal-demos-waste/805991/ (also cited as [^D9-8^])</w:t>
      </w:r>
    </w:p>
    <w:p>
      <w:pPr>
        <w:pStyle w:val="BodyText"/>
      </w:pPr>
      <w:r>
        <w:t xml:space="preserve">[D4-25] S7 Risk —</w:t>
      </w:r>
      <w:r>
        <w:t xml:space="preserve"> </w:t>
      </w:r>
      <w:r>
        <w:t xml:space="preserve">“</w:t>
      </w:r>
      <w:r>
        <w:t xml:space="preserve">Forever Chemicals in Firefighting Foam</w:t>
      </w:r>
      <w:r>
        <w:t xml:space="preserve">”</w:t>
      </w:r>
      <w:r>
        <w:t xml:space="preserve"> </w:t>
      </w:r>
      <w:r>
        <w:t xml:space="preserve">— 2019. AFFF disposal costs: incineration $5–6/gal; deep-well injection $1–2/gal. https://www.s7risk.com/forever-chemicals-in-firefighting-foam/</w:t>
      </w:r>
    </w:p>
    <w:p>
      <w:pPr>
        <w:pStyle w:val="BodyText"/>
      </w:pPr>
      <w:r>
        <w:t xml:space="preserve">[D4-47] 374Water via GlobeNewswire — Waste Destruction Services (WDS) unit economics — 2025-09-29. AS1/AS6/AS30 service revenue $2M / $3–5M / $12–20M per year; implied incumbent SCWO service pricing ≈ $6–10/gal; dim04 derives the ~$0.07–0.09/gal skid power-cost floor from the 75–95 kW specification. (Vendor source; medium confidence.) https://www.globenewswire.com/news-release/2025/09/29/3157732/0/en/</w:t>
      </w:r>
    </w:p>
    <w:p>
      <w:pPr>
        <w:pStyle w:val="BodyText"/>
      </w:pPr>
      <w:r>
        <w:t xml:space="preserve">[D4-1] US EPA — PFAS National Primary Drinking Water Regulation summary. — First federal PFAS drinking-water MCLs (4.0 ppt PFOA/PFOS), April 2024. https://www.epa.gov/sdwa/and-polyfluoroalkyl-substances-pfas</w:t>
      </w:r>
    </w:p>
    <w:p>
      <w:pPr>
        <w:pStyle w:val="BodyText"/>
      </w:pPr>
      <w:r>
        <w:t xml:space="preserve">[D4-2] US EPA — Proposed PFOA and PFOS Compliance Extension Rule (May 18, 2026). — Retention of 4 ppt MCLs; compliance deadline extension to April 2031. https://www.epa.gov/sdwa/proposed-pfoa-and-pfos-compliance-extension-rule</w:t>
      </w:r>
    </w:p>
    <w:p>
      <w:pPr>
        <w:pStyle w:val="BodyText"/>
      </w:pPr>
      <w:r>
        <w:t xml:space="preserve">[D4-3] US EPA — Proposed PFAS Rescission Rule (May 2026). — Proposal to rescind PFHxS, PFNA, GenX, and Hazard Index MCLs. https://www.epa.gov/sdwa/proposed-pfas-rescission-rule</w:t>
      </w:r>
    </w:p>
    <w:p>
      <w:pPr>
        <w:pStyle w:val="BodyText"/>
      </w:pPr>
      <w:r>
        <w:t xml:space="preserve">[D4-4] Day Pitney — The PFAS Periodical Q1 2026. — D.C. Circuit Jan 21, 2026 order denying EPA’s motion to vacate secondary MCLs. https://www.daypitney.com/the-pfas-periodical-q1-2026</w:t>
      </w:r>
    </w:p>
    <w:p>
      <w:pPr>
        <w:pStyle w:val="BodyText"/>
      </w:pPr>
      <w:r>
        <w:t xml:space="preserve">[D4-5] Saul Ewing LLP — D.C. Circuit Upholds EPA’s CERCLA Hazardous Substance Designation (Aug 2026). — Litigation status of the CERCLA designation. https://www.saul.com/insights/alert/d-c-circuit-upholds-epas-cercla-hazardous-substance-designation-two-prominent-pfas</w:t>
      </w:r>
    </w:p>
    <w:p>
      <w:pPr>
        <w:pStyle w:val="BodyText"/>
      </w:pPr>
      <w:r>
        <w:t xml:space="preserve">[D4-6] US EPA — FAQs: PFOA/PFOS CERCLA designation (updated Dec 5, 2025). — Retention announced Sept 17, 2025; passive-receiver liability for landfills/POTWs. https://www.epa.gov/brownfields/faqs-what-epas-designation-pfoa-and-pfos-cercla-hazardous-substances-means-epas</w:t>
      </w:r>
    </w:p>
    <w:p>
      <w:pPr>
        <w:pStyle w:val="BodyText"/>
      </w:pPr>
      <w:r>
        <w:t xml:space="preserve">[D4-7] Thompson Hine — The Future of EPA’s CERCLA PFAS Hazardous Substance Designation (Jul 2026). — First use of CERCLA §102(a) rulemaking; effective July 8, 2024. https://www.thompsonhine.com/insights/the-future-of-epas-cercla-pfas-hazardous-substance-designation/</w:t>
      </w:r>
    </w:p>
    <w:p>
      <w:pPr>
        <w:pStyle w:val="BodyText"/>
      </w:pPr>
      <w:r>
        <w:t xml:space="preserve">[D4-10] Verified Market Reports — Global PFAS Remediation Market. — $2.2B (2025) global; $3.63B by 2033, 6.5% CAGR. https://www.verifiedmarketreports.com/product/pfas-remediation-market/</w:t>
      </w:r>
    </w:p>
    <w:p>
      <w:pPr>
        <w:pStyle w:val="BodyText"/>
      </w:pPr>
      <w:r>
        <w:t xml:space="preserve">[D4-11] Persistence Market Research — PFAS Treatment Market. — $2.1B (2026) → $3.0B by 2033. https://www.persistencemarketresearch.com/market-research/pfas-treatment-market.asp (also cited as [^D3-53^])</w:t>
      </w:r>
    </w:p>
    <w:p>
      <w:pPr>
        <w:pStyle w:val="BodyText"/>
      </w:pPr>
      <w:r>
        <w:t xml:space="preserve">[D4-12] MarketsandMarkets via GlobeNewswire — PFAS Filtration Market (2026). — $2.34B (2026) → $3.28B by 2031, 7.0% CAGR. https://www.globenewswire.com/news-release/2026/05/07/3289849/0/en/</w:t>
      </w:r>
    </w:p>
    <w:p>
      <w:pPr>
        <w:pStyle w:val="BodyText"/>
      </w:pPr>
      <w:r>
        <w:t xml:space="preserve">[D4-13] MarketsandMarkets via Waste360 — PFAS Waste Management Market. — $2.21B (2026) → $2.98B by 2031; destruction fastest-growing segment. https://www.waste360.com/pfas-pfoas/marketsandmarkets-report-pfas-waste-management-market-worth-2-98-billion-in-2031</w:t>
      </w:r>
    </w:p>
    <w:p>
      <w:pPr>
        <w:pStyle w:val="BodyText"/>
      </w:pPr>
      <w:r>
        <w:t xml:space="preserve">[D4-14] DataM Intelligence — PFAS Water Treatment Market. — $3.4B (2025) → $16.2B by 2035 (high-end outlier). https://www.marketresearch.com/DataM-Intelligence-4Market-Research-LLP-v4207/PFAS-Water-Treatment-45752098/</w:t>
      </w:r>
    </w:p>
    <w:p>
      <w:pPr>
        <w:pStyle w:val="BodyText"/>
      </w:pPr>
      <w:r>
        <w:t xml:space="preserve">[D4-17] Apex Water Solutions via Yahoo Finance. — ~16 billion gal/yr US landfill leachate. https://finance.yahoo.com/news/minnesota-community-stopped-billions-nanograms-142900429.html</w:t>
      </w:r>
    </w:p>
    <w:p>
      <w:pPr>
        <w:pStyle w:val="BodyText"/>
      </w:pPr>
      <w:r>
        <w:t xml:space="preserve">[D4-18] Lang et al. 2017 (ES&amp;T) via CSWAB. — 61.1M m³/yr US leachate (2013); ~62% of landfills send leachate to POTWs. https://cswab.org/wp-content/uploads/2021/02/Landfill-Leachate-National-Estimate-of-PFAS-Lang-July-2019.pdf</w:t>
      </w:r>
    </w:p>
    <w:p>
      <w:pPr>
        <w:pStyle w:val="BodyText"/>
      </w:pPr>
      <w:r>
        <w:t xml:space="preserve">[D4-19] SWANA ARF — PFAS Management and Treatment Options for Landfill Leachate. — Mean total PFAS 9,400–11,200 ppt; 563–638 kg/yr PFAS to WWTPs. https://swana.org/docs/default-source/resources-documents/arf-documents/arf_es-pfas_treatment_options_landfill_leachate-final.pdf</w:t>
      </w:r>
    </w:p>
    <w:p>
      <w:pPr>
        <w:pStyle w:val="BodyText"/>
      </w:pPr>
      <w:r>
        <w:t xml:space="preserve">[D4-22] Heartland — Landfill leachate treatment. — POTW refusal/surcharge trend; 62% POTW routing. https://www.oneheartland.com/solutions/wastewater-treatment/landfill-leachate/</w:t>
      </w:r>
    </w:p>
    <w:p>
      <w:pPr>
        <w:pStyle w:val="BodyText"/>
      </w:pPr>
      <w:r>
        <w:t xml:space="preserve">[D4-28] Carolina Connection — NC AFFF take-back destruction pilot (Apr 2025). — 374Water projected $100–400/gal for neat AFFF destruction at pilot scale. https://carolinaconnection.org/2025/04/23/a-state-pilot-program-to-destroy-pfas-has-entered-its-final-phase</w:t>
      </w:r>
    </w:p>
    <w:p>
      <w:pPr>
        <w:pStyle w:val="BodyText"/>
      </w:pPr>
      <w:r>
        <w:t xml:space="preserve">[D4-30] ILTA — FY25 NDAA PFAS funding. — DoD FY25 request ~$850M incl. ~$600M for AFFF changeout/disposal. https://www.ilta.org/News-Resources/Newsletter/ArtMID/24096/ArticleID/3652/</w:t>
      </w:r>
    </w:p>
    <w:p>
      <w:pPr>
        <w:pStyle w:val="BodyText"/>
      </w:pPr>
      <w:r>
        <w:t xml:space="preserve">[D4-32] Waste Dive — DoD guidance recommends hazardous waste landfills, incineration for PFAS. — Permit-based commercial disposal framework; storage overflow cited. https://www.wastedive.com/news/dod-guidance-hazardous-waste-landfills-incineration-manage-pfa/814937/</w:t>
      </w:r>
    </w:p>
    <w:p>
      <w:pPr>
        <w:pStyle w:val="BodyText"/>
      </w:pPr>
      <w:r>
        <w:t xml:space="preserve">[D4-39] JD Supra / Ballard Spahr — EPA’s third interim PFAS destruction &amp; disposal guidance (Apr 23, 2026). — SCWO characterized as</w:t>
      </w:r>
      <w:r>
        <w:t xml:space="preserve"> </w:t>
      </w:r>
      <w:r>
        <w:t xml:space="preserve">“</w:t>
      </w:r>
      <w:r>
        <w:t xml:space="preserve">commercially unproven at scale.</w:t>
      </w:r>
      <w:r>
        <w:t xml:space="preserve">”</w:t>
      </w:r>
      <w:r>
        <w:t xml:space="preserve"> </w:t>
      </w:r>
      <w:r>
        <w:t xml:space="preserve">https://www.jdsupra.com/legalnews/epa-rolls-back-pfas-regulations-states-1492896/</w:t>
      </w:r>
    </w:p>
    <w:p>
      <w:pPr>
        <w:pStyle w:val="BodyText"/>
      </w:pPr>
      <w:r>
        <w:t xml:space="preserve">[D4-40] Trihydro — EPA 2024 Interim Guidance on PFAS Destruction &amp; Disposal. — SCWO among four emerging technologies; deep-well injection ranked lowest-release. https://www.trihydro.com/delve/assessment-remediation/pfas-destruction-and-disposal-guidance/</w:t>
      </w:r>
    </w:p>
    <w:p>
      <w:pPr>
        <w:pStyle w:val="BodyText"/>
      </w:pPr>
      <w:r>
        <w:t xml:space="preserve">[D4-41] US EPA SBIR — Aquagga HALT. — HALT &gt;99.9% PFAS destruction; containerized; competitor. https://www.epa.gov/sbir/epa-sbir-funded-technology-provides-solution-pfas-destruction-industrial-wastewater-producers</w:t>
      </w:r>
    </w:p>
    <w:p>
      <w:pPr>
        <w:pStyle w:val="BodyText"/>
      </w:pPr>
      <w:r>
        <w:t xml:space="preserve">[D4-42] Enviro Wiki — Hydrothermal Alkaline Treatment (HALT). — HALT field demonstrations (Fairbanks, Beale AFB, 3M). https://www.enviro.wiki/index.php?title=Hydrothermal_Alkaline_Treatment_(HALT)</w:t>
      </w:r>
    </w:p>
    <w:p>
      <w:pPr>
        <w:pStyle w:val="BodyText"/>
      </w:pPr>
      <w:r>
        <w:t xml:space="preserve">[D4-43] Aclarity / Aquatech — Xylem-sponsored full-scale electrochemical pilot. — &gt;1,000→&lt;10 ng/L leachate PFAS; &lt;100 Wh/gal; wins on dilute streams. https://www.aquatechtrade.com/water-stories/pfas/pfas-destruction-pilot</w:t>
      </w:r>
    </w:p>
    <w:p>
      <w:pPr>
        <w:pStyle w:val="BodyText"/>
      </w:pPr>
      <w:r>
        <w:t xml:space="preserve">[D4-45] Claros Technologies — $55M Series B (Jul 2026). — UV-photochemical competitor; 99.99% at Daikin. https://clarostechnologies.com/claros-technologies-raises-55-million-series-b-financing-to-accelerate-global-commercialization-of-pfas-destruction-technology/</w:t>
      </w:r>
    </w:p>
    <w:p>
      <w:pPr>
        <w:pStyle w:val="BodyText"/>
      </w:pPr>
      <w:r>
        <w:t xml:space="preserve">[D4-52] Pillsbury — EPA PFAS regulatory framework Oct 2025 update. — ELG Plan 15 landfill leachate commitment; landfill ELG proposed 2026. https://pfas.pillsburylaw.com/epa-pfas-regulatory-framework-october-2025-update/</w:t>
      </w:r>
    </w:p>
    <w:p>
      <w:pPr>
        <w:pStyle w:val="BodyText"/>
      </w:pPr>
      <w:r>
        <w:t xml:space="preserve">[D4-121] Same as [^D4-24^] — scenario analysis: destruction captures 25–30% share by 2035.</w:t>
      </w:r>
    </w:p>
    <w:p>
      <w:pPr>
        <w:pStyle w:val="BodyText"/>
      </w:pPr>
      <w:r>
        <w:t xml:space="preserve">[D4-557] Waste Dive — Hazardous waste incinerators &amp; PFAS disposal opportunity (2024). — Incineration price/community-risk context; 99.9999% DRE at Clean Harbors Aragonite. https://www.wastedive.com/news/pfas-incineration-epa-clean-harbors-pic-otm-50/717241/</w:t>
      </w:r>
    </w:p>
    <w:p>
      <w:pPr>
        <w:pStyle w:val="BodyText"/>
      </w:pPr>
      <w:r>
        <w:t xml:space="preserve">[D4-755] Waste Dive (sponsored) — PFAS treatment technologies for landfill leachate. — Foam fractionation up to 100,000× concentration; concentrate = 0.5–2% of feed. (Sponsored content; flagged.) https://www.wastedive.com/spons/selecting-the-appropriate-pfas-treatment-technology-an-overview-of-solutio/704101/</w:t>
      </w:r>
    </w:p>
    <w:p>
      <w:pPr>
        <w:pStyle w:val="BodyText"/>
      </w:pPr>
      <w:r>
        <w:t xml:space="preserve">[D4-23] University of Rochester, senior design study,</w:t>
      </w:r>
      <w:r>
        <w:t xml:space="preserve"> </w:t>
      </w:r>
      <w:r>
        <w:t xml:space="preserve">“</w:t>
      </w:r>
      <w:r>
        <w:t xml:space="preserve">Treatment of PFAS in Landfill Leachate.</w:t>
      </w:r>
      <w:r>
        <w:t xml:space="preserve">”</w:t>
      </w:r>
      <w:r>
        <w:t xml:space="preserve"> </w:t>
      </w:r>
      <w:r>
        <w:t xml:space="preserve">— Foam fractionation concentration cost ~$0.03–0.04/gal (concentrate still requires destruction). https://www.hajim.rochester.edu/senior-design-day/treatment-of-pfas-in-landfill-leachate/</w:t>
      </w:r>
    </w:p>
    <w:p>
      <w:pPr>
        <w:pStyle w:val="BodyText"/>
      </w:pPr>
      <w:r>
        <w:t xml:space="preserve">[D4-27] ITRC, Firefighting Foams priority topics (ECOS 2025). — 19 state AFFF take-back programs completed; &gt;1.67M lbs collected; SCWO used by 2 states. https://pfas-1.itrcweb.org/1-2-priority-topics-firefighting-foams/</w:t>
      </w:r>
    </w:p>
    <w:p>
      <w:pPr>
        <w:pStyle w:val="BodyText"/>
      </w:pPr>
      <w:r>
        <w:t xml:space="preserve">[D4-29] UST Contractors, DoD PFAS remediation estimate. — DoD PFAS investigation/cleanup projected &gt;$9.3B across 723 installations. https://www.ustcontractors.com/pfas-remediation/</w:t>
      </w:r>
    </w:p>
    <w:bookmarkEnd w:id="172"/>
    <w:bookmarkStart w:id="173" w:name="d5"/>
    <w:p>
      <w:pPr>
        <w:pStyle w:val="Heading2"/>
      </w:pPr>
      <w:r>
        <w:t xml:space="preserve">D5</w:t>
      </w:r>
    </w:p>
    <w:p>
      <w:pPr>
        <w:pStyle w:val="FirstParagraph"/>
      </w:pPr>
      <w:r>
        <w:t xml:space="preserve">[D5-6] Clean Harbors, Q3 2025 Financial Results — (2025-10-29). Incineration utilization ~92% excluding the ramping Kimball unit; ~24 permitted US RCRA combustors. https://ir.cleanharbors.com/news-releases/news-release-details/clean-harbors-announces-third-quarter-2025-financial-results</w:t>
      </w:r>
    </w:p>
    <w:p>
      <w:pPr>
        <w:pStyle w:val="BodyText"/>
      </w:pPr>
      <w:r>
        <w:t xml:space="preserve">[D5-15] Hazardous &amp; Regulated Waste Disposal pricing guide (2025) — Non-halogenated solvents $5–10/gal; halogenated solvents $15–20+/gal; specialty streams $15–50+/gal. https://www.hazardouswastedisposal.com/hazardous-waste-blog/hazardous-waste-disposal-cost (also cited as [^D2-9^]) (also cited as [^D3-46^])</w:t>
      </w:r>
    </w:p>
    <w:p>
      <w:pPr>
        <w:pStyle w:val="BodyText"/>
      </w:pPr>
      <w:r>
        <w:t xml:space="preserve">[D5-4] ITRC/EPA training slides — only ~24 permitted US RCRA hazardous-waste combustors (accessed Dec 2025). https://www.clu-in.org/conf/itrc/PFAS-landapp/slides/1Slide_Presentation_for_ITRC_PFAS_and_Biosolids_-_Sources,_Occurrence,_Transport,_and_Treatment_Training.pdf</w:t>
      </w:r>
    </w:p>
    <w:p>
      <w:pPr>
        <w:pStyle w:val="BodyText"/>
      </w:pPr>
      <w:r>
        <w:t xml:space="preserve">[D5-13] C&amp;EN (2017) — Clean Harbors El Dorado expansion ($120M) was the first US hazardous-waste incinerator built in the 21st century and the only one meeting current MACT standards. https://cen.acs.org/articles/95/i14/New-hazardous-waste-incinerator-comes.html</w:t>
      </w:r>
    </w:p>
    <w:p>
      <w:pPr>
        <w:pStyle w:val="BodyText"/>
      </w:pPr>
      <w:r>
        <w:t xml:space="preserve">[D5-21] National Research Council (2002), Blue Grass engineering design review — GA SCWO demonstrated &gt;99.9999% DRE over ~5,800 hot hours; titanium/Hastelloy liner life ~110 h for agent hydrolysate; daily subcritical flushing required. https://nap.nationalacademies.org/read/10509/chapter/7</w:t>
      </w:r>
    </w:p>
    <w:p>
      <w:pPr>
        <w:pStyle w:val="BodyText"/>
      </w:pPr>
      <w:r>
        <w:t xml:space="preserve">[D5-24] Springer (2026),</w:t>
      </w:r>
      <w:r>
        <w:t xml:space="preserve"> </w:t>
      </w:r>
      <w:r>
        <w:t xml:space="preserve">“</w:t>
      </w:r>
      <w:r>
        <w:t xml:space="preserve">Three Decades of Chemical Weapons Destruction</w:t>
      </w:r>
      <w:r>
        <w:t xml:space="preserve">”</w:t>
      </w:r>
      <w:r>
        <w:t xml:space="preserve"> </w:t>
      </w:r>
      <w:r>
        <w:t xml:space="preserve">— SCWO rejected for technical reasons at Blue Grass and Newport; replaced by Static Detonation Chambers. https://link.springer.com/chapter/10.1007/978-3-031-98854-7_18</w:t>
      </w:r>
    </w:p>
    <w:p>
      <w:pPr>
        <w:pStyle w:val="BodyText"/>
      </w:pPr>
      <w:r>
        <w:t xml:space="preserve">[D5-25] PrepareKY / PEO ACWA (2023) — Blue Grass hydrolysate shipped by tanker to Veolia’s Texas incinerator; program JV value $5.3B for 523 tons of agent. https://prepareky.com/2023/07/10/last-chemical-weapon-destroyed-at-blue-grass-army-depot/</w:t>
      </w:r>
    </w:p>
    <w:p>
      <w:pPr>
        <w:pStyle w:val="BodyText"/>
      </w:pPr>
      <w:r>
        <w:t xml:space="preserve">[D5-31] Filtration+Separation (2003) — Chematur/Johnson Matthey AquaCat (3,000 L/h, Brimsdown UK) operated 2002–2007 at ≥99.99% conversion before rights sold to SCFI. https://www.sciencedirect.com/science/article/pii/S0015188203005263</w:t>
      </w:r>
    </w:p>
    <w:p>
      <w:pPr>
        <w:pStyle w:val="BodyText"/>
      </w:pPr>
      <w:r>
        <w:t xml:space="preserve">[D5-36] J. Supercritical Fluids (2021) review — only ~6 commercial SCWO plants operating worldwide. https://rodin.uca.es/bitstream/handle/10498/30774/SUPFLU-D-21-00450_R1.pdf</w:t>
      </w:r>
    </w:p>
    <w:p>
      <w:pPr>
        <w:pStyle w:val="BodyText"/>
      </w:pPr>
      <w:r>
        <w:t xml:space="preserve">[D5-37] Desalination and Water Treatment (2019) review — all commercially constructed SCWO plants except two had closed, mainly due to corrosion, clogging, and economics. https://www.deswater.com/DWT_articles/vol_161_papers/161_2019_243.pdf</w:t>
      </w:r>
    </w:p>
    <w:p>
      <w:pPr>
        <w:pStyle w:val="BodyText"/>
      </w:pPr>
      <w:r>
        <w:t xml:space="preserve">[D5-38] Enviro Wiki (ITRC-associated),</w:t>
      </w:r>
      <w:r>
        <w:t xml:space="preserve"> </w:t>
      </w:r>
      <w:r>
        <w:t xml:space="preserve">“</w:t>
      </w:r>
      <w:r>
        <w:t xml:space="preserve">Supercritical Water Oxidation</w:t>
      </w:r>
      <w:r>
        <w:t xml:space="preserve">”</w:t>
      </w:r>
      <w:r>
        <w:t xml:space="preserve"> </w:t>
      </w:r>
      <w:r>
        <w:t xml:space="preserve">(rev. 2026) — autothermal operation needs ≥~2 MJ/kg (~120–150 g/L COD); uneconomic for large dilute volumes; treatment cost $12–90/ton ($0.04–0.37/gal) for slurries. https://www.enviro.wiki/index.php?title=Supercritical_Water_Oxidation_(SCWO) (also cited as [^D11-16^]) (also cited as [^D9-22^]) (also cited as [^D7-1^]) (also cited as [^D1-37^]) (also cited as [^D2-36^])</w:t>
      </w:r>
    </w:p>
    <w:p>
      <w:pPr>
        <w:pStyle w:val="BodyText"/>
      </w:pPr>
      <w:r>
        <w:t xml:space="preserve">[D5-39] Kim, H., MIT PhD thesis (2004) — Ni-alloy dealloying and stress-corrosion cracking in chlorinated SCWO feeds. https://dspace.mit.edu/bitstream/handle/1721.1/16636/56028573-MIT.pdf</w:t>
      </w:r>
    </w:p>
    <w:p>
      <w:pPr>
        <w:pStyle w:val="BodyText"/>
      </w:pPr>
      <w:r>
        <w:t xml:space="preserve">[D5-40] J. Alloys and Compounds (2022) — Hastelloy G-30 corrosion rates 16–26 mm/yr in acidic oxidizing SCWO media. https://www.sciencedirect.com/science/article/abs/pii/S092583882200843X</w:t>
      </w:r>
    </w:p>
    <w:p>
      <w:pPr>
        <w:pStyle w:val="BodyText"/>
      </w:pPr>
      <w:r>
        <w:t xml:space="preserve">[D5-41] INIS/IAEA / Forschungszentrum Karlsruhe (1996) — worst SCWO corrosion occurs near the critical point in preheater/cooling sections. https://inis.iaea.org/records/7jn4z-91z83</w:t>
      </w:r>
    </w:p>
    <w:p>
      <w:pPr>
        <w:pStyle w:val="BodyText"/>
      </w:pPr>
      <w:r>
        <w:t xml:space="preserve">[D5-54] Chemical Engineering Research and Design (2015) — SCWO of pesticide wastewater: 99.42% COD removal; Inconel 625 corrosion ~0.6 mm/yr at 600 °C/25 MPa. https://www.sciencedirect.com/science/article/abs/pii/S0263876214003931</w:t>
      </w:r>
    </w:p>
    <w:p>
      <w:pPr>
        <w:pStyle w:val="BodyText"/>
      </w:pPr>
      <w:r>
        <w:t xml:space="preserve">[D5-1] Wise Guy Reports,</w:t>
      </w:r>
      <w:r>
        <w:t xml:space="preserve"> </w:t>
      </w:r>
      <w:r>
        <w:t xml:space="preserve">“</w:t>
      </w:r>
      <w:r>
        <w:t xml:space="preserve">Hazardous Waste Incineration Market Analysis &amp; Forecast 2035</w:t>
      </w:r>
      <w:r>
        <w:t xml:space="preserve">”</w:t>
      </w:r>
      <w:r>
        <w:t xml:space="preserve"> </w:t>
      </w:r>
      <w:r>
        <w:t xml:space="preserve">— (2026-06). Global haz-waste incineration $13.6B (2024) → $20.8B (2035); North America ~$6B. Medium confidence. https://www.wiseguyreports.com/reports/hazardou-waste-incineration-market</w:t>
      </w:r>
    </w:p>
    <w:p>
      <w:pPr>
        <w:pStyle w:val="BodyText"/>
      </w:pPr>
      <w:r>
        <w:t xml:space="preserve">[D5-2] Data Insights Reports,</w:t>
      </w:r>
      <w:r>
        <w:t xml:space="preserve"> </w:t>
      </w:r>
      <w:r>
        <w:t xml:space="preserve">“</w:t>
      </w:r>
      <w:r>
        <w:t xml:space="preserve">Hazardous Waste Incineration: Growth &amp; Market Forecast 2026–34</w:t>
      </w:r>
      <w:r>
        <w:t xml:space="preserve">”</w:t>
      </w:r>
      <w:r>
        <w:t xml:space="preserve"> </w:t>
      </w:r>
      <w:r>
        <w:t xml:space="preserve">— (2026-07). Cross-check estimate $17.1B (2023) → $32.6B (2034). Medium confidence. https://www.datainsightsreports.com/reports/no-27727</w:t>
      </w:r>
    </w:p>
    <w:p>
      <w:pPr>
        <w:pStyle w:val="BodyText"/>
      </w:pPr>
      <w:r>
        <w:t xml:space="preserve">[D5-5] Clean Harbors,</w:t>
      </w:r>
      <w:r>
        <w:t xml:space="preserve"> </w:t>
      </w:r>
      <w:r>
        <w:t xml:space="preserve">“</w:t>
      </w:r>
      <w:r>
        <w:t xml:space="preserve">Industry Leading Incineration Facilities</w:t>
      </w:r>
      <w:r>
        <w:t xml:space="preserve">”</w:t>
      </w:r>
      <w:r>
        <w:t xml:space="preserve"> </w:t>
      </w:r>
      <w:r>
        <w:t xml:space="preserve">— (n.d.). &gt;60% of North American incineration capacity; 99.9999% DRE claim. High confidence. https://www.cleanharbors.com/services/technical-services/waste-disposal-services/incineration</w:t>
      </w:r>
    </w:p>
    <w:p>
      <w:pPr>
        <w:pStyle w:val="BodyText"/>
      </w:pPr>
      <w:r>
        <w:t xml:space="preserve">[D5-7] Clean Harbors, Q2 2025 Financial Results — (2025). Utilization 89%; price +7% mix-adjusted. High confidence. https://ir.cleanharbors.com/news-releases/news-release-details/clean-harbors-announces-second-quarter-2025-financial-results</w:t>
      </w:r>
    </w:p>
    <w:p>
      <w:pPr>
        <w:pStyle w:val="BodyText"/>
      </w:pPr>
      <w:r>
        <w:t xml:space="preserve">[D5-9] Waste Dive,</w:t>
      </w:r>
      <w:r>
        <w:t xml:space="preserve"> </w:t>
      </w:r>
      <w:r>
        <w:t xml:space="preserve">“</w:t>
      </w:r>
      <w:r>
        <w:t xml:space="preserve">Clean Harbors identifies incinerator, PFAS and new service sector opportunities for 2023</w:t>
      </w:r>
      <w:r>
        <w:t xml:space="preserve">”</w:t>
      </w:r>
      <w:r>
        <w:t xml:space="preserve"> </w:t>
      </w:r>
      <w:r>
        <w:t xml:space="preserve">— (2023-03-02). Q4 2022 incineration pricing +21% YoY; Kimball 70,000 t/yr. High confidence. https://www.wastedive.com/news/clean-harbors-earnings-pfas-incinerator-hazmat/643910/</w:t>
      </w:r>
    </w:p>
    <w:p>
      <w:pPr>
        <w:pStyle w:val="BodyText"/>
      </w:pPr>
      <w:r>
        <w:t xml:space="preserve">[D5-12] Waste Dive,</w:t>
      </w:r>
      <w:r>
        <w:t xml:space="preserve"> </w:t>
      </w:r>
      <w:r>
        <w:t xml:space="preserve">“</w:t>
      </w:r>
      <w:r>
        <w:t xml:space="preserve">Clean Harbors completes $120M incinerator expansion in Arkansas</w:t>
      </w:r>
      <w:r>
        <w:t xml:space="preserve">”</w:t>
      </w:r>
      <w:r>
        <w:t xml:space="preserve"> </w:t>
      </w:r>
      <w:r>
        <w:t xml:space="preserve">— (2016-12-08). $120M El Dorado expansion; 90k→155–160k t/yr. High confidence. https://www.wastedive.com/news/clean-harbors-completes-120m-incinerator-expansion-in-arkansas/431976/</w:t>
      </w:r>
    </w:p>
    <w:p>
      <w:pPr>
        <w:pStyle w:val="BodyText"/>
      </w:pPr>
      <w:r>
        <w:t xml:space="preserve">[D5-14] Porter’s Five Forces,</w:t>
      </w:r>
      <w:r>
        <w:t xml:space="preserve"> </w:t>
      </w:r>
      <w:r>
        <w:t xml:space="preserve">“</w:t>
      </w:r>
      <w:r>
        <w:t xml:space="preserve">Clean Harbors: Business Model Canvas</w:t>
      </w:r>
      <w:r>
        <w:t xml:space="preserve">”</w:t>
      </w:r>
      <w:r>
        <w:t xml:space="preserve"> </w:t>
      </w:r>
      <w:r>
        <w:t xml:space="preserve">— (2026-02). 2024 incineration fees $150–400/ton; 20–30% complex-waste premiums. Medium-Low confidence. https://portersfiveforce.com/products/cleanharbors-business-model-canvas</w:t>
      </w:r>
    </w:p>
    <w:p>
      <w:pPr>
        <w:pStyle w:val="BodyText"/>
      </w:pPr>
      <w:r>
        <w:t xml:space="preserve">[D5-16] Dickinson County Conservation Board (IA),</w:t>
      </w:r>
      <w:r>
        <w:t xml:space="preserve"> </w:t>
      </w:r>
      <w:r>
        <w:t xml:space="preserve">“</w:t>
      </w:r>
      <w:r>
        <w:t xml:space="preserve">Hazardous Material Disposal Costs for Businesses</w:t>
      </w:r>
      <w:r>
        <w:t xml:space="preserve">”</w:t>
      </w:r>
      <w:r>
        <w:t xml:space="preserve"> </w:t>
      </w:r>
      <w:r>
        <w:t xml:space="preserve">— (n.d.). Chlorinated solvents $9.50/gal; dioxin-based pesticides $15/lb. High confidence (posted tariff). https://dickinsoncountyconservationboard.com/rcc/hazardous-material-disposal-costs-for-businesses/</w:t>
      </w:r>
    </w:p>
    <w:p>
      <w:pPr>
        <w:pStyle w:val="BodyText"/>
      </w:pPr>
      <w:r>
        <w:t xml:space="preserve">[D5-18] Hazardous &amp; Regulated Waste Disposal,</w:t>
      </w:r>
      <w:r>
        <w:t xml:space="preserve"> </w:t>
      </w:r>
      <w:r>
        <w:t xml:space="preserve">“</w:t>
      </w:r>
      <w:r>
        <w:t xml:space="preserve">Hazardous Waste Disposal for Oil Refineries</w:t>
      </w:r>
      <w:r>
        <w:t xml:space="preserve">”</w:t>
      </w:r>
      <w:r>
        <w:t xml:space="preserve"> </w:t>
      </w:r>
      <w:r>
        <w:t xml:space="preserve">— (n.d.). K-listed waste $200–800/ton, can exceed $1,000/ton. Medium confidence. https://www.hazardouswastedisposal.com/hazardous-waste-disposal-for-oil-refineries</w:t>
      </w:r>
    </w:p>
    <w:p>
      <w:pPr>
        <w:pStyle w:val="BodyText"/>
      </w:pPr>
      <w:r>
        <w:t xml:space="preserve">[D5-19] CropLife International,</w:t>
      </w:r>
      <w:r>
        <w:t xml:space="preserve"> </w:t>
      </w:r>
      <w:r>
        <w:t xml:space="preserve">“</w:t>
      </w:r>
      <w:r>
        <w:t xml:space="preserve">Obsolete and Unwanted Pesticide Stocks</w:t>
      </w:r>
      <w:r>
        <w:t xml:space="preserve">”</w:t>
      </w:r>
      <w:r>
        <w:t xml:space="preserve"> </w:t>
      </w:r>
      <w:r>
        <w:t xml:space="preserve">— (2017). Collection/destruction stabilized at $3,500–5,000/tonne. High confidence. https://croplife.org/wp-content/uploads/2017/03/Obsolete-and-Unwanted-Pesticide-Stocks-2017-1.pdf</w:t>
      </w:r>
    </w:p>
    <w:p>
      <w:pPr>
        <w:pStyle w:val="BodyText"/>
      </w:pPr>
      <w:r>
        <w:t xml:space="preserve">[D5-45] General Atomics (2023/2025), iSCWO press releases — &gt;6M gallons destroyed; 200+ streams; &gt;99.99%; EPA-verified PFAS; DIU demo at Clean Earth Charlotte. High confidence. https://www.ga.com/iscwo-pfas-destruction-demo-day-success ; https://www.ga.com/ga-to-demonstrate-pfas-destruction-system-at-diu-selected-clean-earth-facility-in-north-carolina</w:t>
      </w:r>
    </w:p>
    <w:p>
      <w:pPr>
        <w:pStyle w:val="BodyText"/>
      </w:pPr>
      <w:r>
        <w:t xml:space="preserve">[D5-52] DataM Intelligence,</w:t>
      </w:r>
      <w:r>
        <w:t xml:space="preserve"> </w:t>
      </w:r>
      <w:r>
        <w:t xml:space="preserve">“</w:t>
      </w:r>
      <w:r>
        <w:t xml:space="preserve">PFAS Water Treatment Market</w:t>
      </w:r>
      <w:r>
        <w:t xml:space="preserve">”</w:t>
      </w:r>
      <w:r>
        <w:t xml:space="preserve"> </w:t>
      </w:r>
      <w:r>
        <w:t xml:space="preserve">— (2026-07). $3.4B (2025) → $16.2B (2035), 16.9% CAGR. Medium confidence. https://www.datamintelligence.com/research-report/pfas-water-treatment-market</w:t>
      </w:r>
    </w:p>
    <w:p>
      <w:pPr>
        <w:pStyle w:val="BodyText"/>
      </w:pPr>
      <w:r>
        <w:t xml:space="preserve">[D5-55] Peer-review archive BPR (2024), SCWO review — WAO/SCWO window 1–20% organic content; salt solution</w:t>
      </w:r>
      <w:r>
        <w:t xml:space="preserve"> </w:t>
      </w:r>
      <w:r>
        <w:t xml:space="preserve">“</w:t>
      </w:r>
      <w:r>
        <w:t xml:space="preserve">not yet found.</w:t>
      </w:r>
      <w:r>
        <w:t xml:space="preserve">”</w:t>
      </w:r>
      <w:r>
        <w:t xml:space="preserve"> </w:t>
      </w:r>
      <w:r>
        <w:t xml:space="preserve">High confidence. https://peerreviewarchive.s3.ap-south-1.amazonaws.com/2024/Sep/04-Sep-24/2024_BPR_1565/Rev_BPR_1565_Lot_A.pdf</w:t>
      </w:r>
    </w:p>
    <w:p>
      <w:pPr>
        <w:pStyle w:val="BodyText"/>
      </w:pPr>
      <w:r>
        <w:t xml:space="preserve">[D5-56] US EPA, National Biennial RCRA Hazardous Waste Report — (2021 cycle). Fuel blending ~1.5M tons/yr. High confidence. https://nepis.epa.gov/Exe/ZyPURL.cgi?Dockey=100016EL.TXT</w:t>
      </w:r>
    </w:p>
    <w:bookmarkEnd w:id="173"/>
    <w:bookmarkStart w:id="174" w:name="d6"/>
    <w:p>
      <w:pPr>
        <w:pStyle w:val="Heading2"/>
      </w:pPr>
      <w:r>
        <w:t xml:space="preserve">D6</w:t>
      </w:r>
    </w:p>
    <w:p>
      <w:pPr>
        <w:pStyle w:val="FirstParagraph"/>
      </w:pPr>
      <w:r>
        <w:t xml:space="preserve">[D6-35] Bluefield Research,</w:t>
      </w:r>
      <w:r>
        <w:t xml:space="preserve"> </w:t>
      </w:r>
      <w:r>
        <w:t xml:space="preserve">“</w:t>
      </w:r>
      <w:r>
        <w:t xml:space="preserve">U.S. Municipal Utilities Face US$4.8 Billion Biosolids Management Bill</w:t>
      </w:r>
      <w:r>
        <w:t xml:space="preserve">”</w:t>
      </w:r>
      <w:r>
        <w:t xml:space="preserve"> </w:t>
      </w:r>
      <w:r>
        <w:t xml:space="preserve">— (2025-11). US municipal biosolids management spend $4.8B/yr. https://www.bluefieldresearch.com/ns/u-s-municipal-utilities-face-us4-8-billion-biosolids-management-bill-as-disposal-costs-and-capacity-pressures-mount/</w:t>
      </w:r>
    </w:p>
    <w:p>
      <w:pPr>
        <w:pStyle w:val="BodyText"/>
      </w:pPr>
      <w:r>
        <w:t xml:space="preserve">[D6-14] MassDEP PFAS &amp; Residuals Study (overview, via MA Water Environment Association) — 2024. Massachusetts cake haul+disposal averaged $153/wet ton (2023; range $135–190), projected $190–250/wet ton by 2028 at 7.1%/yr escalation — the $0.79–1.04/gal biosolids rung (~240 gal/wet t). Confidence: High. https://mawea.org/wp-content/uploads/2024/12/MassDEP-PFAS-Residuals-Study-Part-1-overview-Part-2-scope.pdf</w:t>
      </w:r>
    </w:p>
    <w:p>
      <w:pPr>
        <w:pStyle w:val="BodyText"/>
      </w:pPr>
      <w:r>
        <w:t xml:space="preserve">[D6-21] 374Water FY2025 Form 10-K (SEC EDGAR, CIK 933972) — filed 2026-03-31. FY2025 revenue $215,037; delivery delays; evidence for 3–7-year municipal procurement reality. https://www.sec.gov/Archives/edgar/data/933972/000165495426003094/scwo_10k.htm</w:t>
      </w:r>
    </w:p>
    <w:p>
      <w:pPr>
        <w:pStyle w:val="BodyText"/>
      </w:pPr>
      <w:r>
        <w:t xml:space="preserve">[D6-1] EPA Draft Sewage Sludge Risk Assessment summary (Springer EPR) — 2025–2026 — 1 ppb PFOA/PFOS risk-threshold finding; &gt;25,000 comments; no federal PFAS limit yet. https://link.springer.com/article/10.1007/s11356-026-38066-3</w:t>
      </w:r>
    </w:p>
    <w:p>
      <w:pPr>
        <w:pStyle w:val="BodyText"/>
      </w:pPr>
      <w:r>
        <w:t xml:space="preserve">[D6-3] Maine DEP PFAS page — 2022–2026 — LD 1911 ban on land application of biosolids (effective Aug 2022). https://www.maine.gov/dep/spills/topics/pfas/</w:t>
      </w:r>
    </w:p>
    <w:p>
      <w:pPr>
        <w:pStyle w:val="BodyText"/>
      </w:pPr>
      <w:r>
        <w:t xml:space="preserve">[D6-4] UConn Extension CT rules — 2024–2025 — Connecticut PA 24-59 / PA 25-152 ban on PFAS-containing biosolids as soil amendments. https://extension.uconn.edu/publication/pfas-and-biosolids/</w:t>
      </w:r>
    </w:p>
    <w:p>
      <w:pPr>
        <w:pStyle w:val="BodyText"/>
      </w:pPr>
      <w:r>
        <w:t xml:space="preserve">[D6-5] Beveridge &amp; Diamond state regulation review — 2025–2026 — Michigan-model tiered frameworks; MI/NY/MD/VA/PA actions; six state ban bills. https://www.bdlaw.com/publications/evolving-state-regulation-of-biosolids-recycling-in-the-pfas-era/</w:t>
      </w:r>
    </w:p>
    <w:p>
      <w:pPr>
        <w:pStyle w:val="BodyText"/>
      </w:pPr>
      <w:r>
        <w:t xml:space="preserve">[D6-6] NACWA Biosolids PFAS Legislative Guide — 2025 — &gt;350 PFAS bills across ~40 states in 2025. https://www.nacwa.org/docs/default-source/conferences-events/2025-conferences-events/2025-law-seminar/25law-biosolids-pfas-legislative-guide.pdf</w:t>
      </w:r>
    </w:p>
    <w:p>
      <w:pPr>
        <w:pStyle w:val="BodyText"/>
      </w:pPr>
      <w:r>
        <w:t xml:space="preserve">[D6-8] ITRC PFAS treatment technologies — 2025 — ~60% of U.S. biosolids land-applied (2023); 24% landfilled, 14% incinerated. https://pfas-1.itrcweb.org/1-6-priority-topics-treatment-technologies/</w:t>
      </w:r>
    </w:p>
    <w:p>
      <w:pPr>
        <w:pStyle w:val="BodyText"/>
      </w:pPr>
      <w:r>
        <w:t xml:space="preserve">[D6-10] Portland Water District biosolids page — 2025 — biosolids management costs doubled since 2022; further doubling expected. https://www.pwd.org/biosolids-management/</w:t>
      </w:r>
    </w:p>
    <w:p>
      <w:pPr>
        <w:pStyle w:val="BodyText"/>
      </w:pPr>
      <w:r>
        <w:t xml:space="preserve">[D6-12] EREF 2024 tipping fees (WasteOptima) — 2024 — average U.S. landfill tip fee +10% to $62.28/ton in 2024. https://www.wasteoptima.com/blog/eref-2024-landfill-tipping-fees</w:t>
      </w:r>
    </w:p>
    <w:p>
      <w:pPr>
        <w:pStyle w:val="BodyText"/>
      </w:pPr>
      <w:r>
        <w:t xml:space="preserve">[D6-13] BACWA 2024 Biosolids Trends Survey — 2024 — Bay Area hauling+tipping +50% (2020–23); median land-application $33→$70/wet ton; 25–200 mi hauls at $30–60/wet ton. https://bacwa.org/document/2024-bacwa-biosolids-trends-survey-report/</w:t>
      </w:r>
    </w:p>
    <w:p>
      <w:pPr>
        <w:pStyle w:val="BodyText"/>
      </w:pPr>
      <w:r>
        <w:t xml:space="preserve">[D6-15] MABA NY Biosolids Capacity Report (Bluefield data) — 2024–2025 — NY landfill tip fees +118%, incineration +136%. https://host10.viethwebhosting.com/~maba/docs/NY_Biosolids_Capacity_Report_MABA.pdf</w:t>
      </w:r>
    </w:p>
    <w:p>
      <w:pPr>
        <w:pStyle w:val="BodyText"/>
      </w:pPr>
      <w:r>
        <w:t xml:space="preserve">[D6-16] Representative WWTP cost compilation (waterandwastewater.com) — 2024 — land application $50–120/dry ton; landfill $170–280/wet ton; incineration $250–400/dry ton; restricted disposal $350–500+/wet ton. https://www.waterandwastewater.com/how-much-does-a-wastewater-treatment-plant-cost/</w:t>
      </w:r>
    </w:p>
    <w:p>
      <w:pPr>
        <w:pStyle w:val="BodyText"/>
      </w:pPr>
      <w:r>
        <w:t xml:space="preserve">[D6-17] PNNL-37046 HTL design case — 2023 — national weighted-average biosolids disposal ≈$44/wet ton; sludge treatment+disposal = 40–50% of POTW operating costs. https://www.pnnl.gov/main/publications/external/technical_reports/PNNL-37046.pdf</w:t>
      </w:r>
    </w:p>
    <w:p>
      <w:pPr>
        <w:pStyle w:val="BodyText"/>
      </w:pPr>
      <w:r>
        <w:t xml:space="preserve">[D6-18] EPA SSI rule page — 2011–2016 — SSI MACT rules; no meaningful new capacity; PFAS not addressed in standards. https://www.epa.gov/stationary-sources-air-pollution/sewage-sludge-incineration-units-ssi-new-source-performance</w:t>
      </w:r>
    </w:p>
    <w:p>
      <w:pPr>
        <w:pStyle w:val="BodyText"/>
      </w:pPr>
      <w:r>
        <w:t xml:space="preserve">[D6-24] 374Water/City of Orlando deployment release (Yahoo Finance) — Jul 2024 — Iron Bridge demo plus federal BIL/Clean Water SRF grant for full-scale AS30. https://finance.yahoo.com/news/374water-deploying-innovative-airscwo-waste-214000228.html</w:t>
      </w:r>
    </w:p>
    <w:p>
      <w:pPr>
        <w:pStyle w:val="BodyText"/>
      </w:pPr>
      <w:r>
        <w:t xml:space="preserve">[D6-25] 374Water investor deck — 2025–2026 — list prices AS6 $5–6M, AS30 $10–12M; installed site costs $4.5–6.0M / $7.5–10M; claimed paybacks 1.5–2.5 / 1.0–1.5 yrs. https://api.mziq.com/mzfilemanager/v2/d/47fa8169-1c47-46b2-8577-e01b8d233478/aa69cab2-afb1-c009-e91f-62125cee35b6?origin=2 (also cited as [^V2D1-2^])</w:t>
      </w:r>
    </w:p>
    <w:p>
      <w:pPr>
        <w:pStyle w:val="BodyText"/>
      </w:pPr>
      <w:r>
        <w:t xml:space="preserve">[D6-26] 374Water business-potential assumptions exhibit — 2026 — footnote: no AS6/AS30 units yet sold at list prices. https://api.mziq.com/mzfilemanager/v2/d/47fa8169-1c47-46b2-8577-e01b8d233478/3f62c3d1-ccdd-e072-9fa4-cc03fa4a7834?origin=2</w:t>
      </w:r>
    </w:p>
    <w:p>
      <w:pPr>
        <w:pStyle w:val="BodyText"/>
      </w:pPr>
      <w:r>
        <w:t xml:space="preserve">[D6-31] EPA biosolids basic information / 2024 statistics — 2024 — ~4.0M dry metric tons sludge reported (41 permitting states). https://www.epa.gov/biosolids/basic-information-about-sewage-sludge-and-biosolids</w:t>
      </w:r>
    </w:p>
    <w:p>
      <w:pPr>
        <w:pStyle w:val="BodyText"/>
      </w:pPr>
      <w:r>
        <w:t xml:space="preserve">[D6-32] J. Cleaner Prod. national sludge estimate — 2024 — ~7.1–7.5M dry metric tons/yr national extrapolation. https://www.sciencedirect.com/science/article/abs/pii/S0959652624015695</w:t>
      </w:r>
    </w:p>
    <w:p>
      <w:pPr>
        <w:pStyle w:val="BodyText"/>
      </w:pPr>
      <w:r>
        <w:t xml:space="preserve">[D6-34] BioCycle U.S. biosolids infrastructure — 2024 — ~16,583 TWTDS; ~3,300 POTWs &gt;1 MGD; ~2,800 mid-size plants (Dim 06 derivation). https://www.biocycle.net/biosolids-management-in-the-u-s/</w:t>
      </w:r>
    </w:p>
    <w:p>
      <w:pPr>
        <w:pStyle w:val="BodyText"/>
      </w:pPr>
      <w:r>
        <w:t xml:space="preserve">[D6-41] MPCA PFAS removal/destruction cost curves (via Mitchell Williams) — Jun 2025 — Minnesota PFAS destruction $14–28B/20 yr; implies &gt;$100/wet-ton destruction value in regulated states. https://www.mitchellwilliamslaw.com/evaluation-of-current-alternatives-and-estimated-cost-curves-for-pfas-removal/destruction-minnesota-pollution-control-agency-report-addresses-municipal-wastewater/biosolids/landfill-leachate/comp</w:t>
      </w:r>
    </w:p>
    <w:p>
      <w:pPr>
        <w:pStyle w:val="BodyText"/>
      </w:pPr>
      <w:r>
        <w:t xml:space="preserve">[D6-E2] hcsp_dim06.md §1/§5.4 payback model — MassDEP PFAS &amp; Residuals Study (2023 actual cake haul+disposal avg $153/wet ton; projected $190–250/wet ton by 2028) and BACWA 2024 Biosolids Trends Survey (&gt;50% cost rise 2020–2023); crisis/emergency scenario $350–500/wet ton; cheap land application $25–65/wet ton. (Dimension report cites MassDEP and BACWA primary documents inline; no superscript index in source file.)</w:t>
      </w:r>
    </w:p>
    <w:p>
      <w:pPr>
        <w:pStyle w:val="BodyText"/>
      </w:pPr>
      <w:r>
        <w:t xml:space="preserve">[D6-E2] hcsp_dim06.md §1/§5.4 payback model — MassDEP PFAS &amp; Residuals Study and BACWA 2024 Biosolids Trends Survey; crisis/emergency scenario $350–500/wet ton; cheap land application $25–65/wet ton. (No superscript index in source file.)</w:t>
      </w:r>
    </w:p>
    <w:bookmarkEnd w:id="174"/>
    <w:bookmarkStart w:id="175" w:name="d7"/>
    <w:p>
      <w:pPr>
        <w:pStyle w:val="Heading2"/>
      </w:pPr>
      <w:r>
        <w:t xml:space="preserve">D7</w:t>
      </w:r>
    </w:p>
    <w:p>
      <w:pPr>
        <w:pStyle w:val="FirstParagraph"/>
      </w:pPr>
      <w:r>
        <w:t xml:space="preserve">[D7-E1] Dim07 evidence entry (§3,</w:t>
      </w:r>
      <w:r>
        <w:t xml:space="preserve"> </w:t>
      </w:r>
      <w:r>
        <w:t xml:space="preserve">“</w:t>
      </w:r>
      <w:r>
        <w:t xml:space="preserve">physics constraint</w:t>
      </w:r>
      <w:r>
        <w:t xml:space="preserve">”</w:t>
      </w:r>
      <w:r>
        <w:t xml:space="preserve">) — Cocero et al., J. Supercritical Fluids (via EPA HERO Luo et al. 2024 ( Enviro Wiki SCWO review — 2002–2026. SCWO autothermal operation requires COD ≈60,000–150,000 mg/L; HCSP on dilute F&amp;B effluent draws ~75–95 kW ≈ $71–90k/yr electricity vs ~$10–40k/yr surcharge baseline. https://hero.epa.gov/reference/7739799/ ; https://www.sciencedirect.com/science/article/abs/pii/S0196890423012220 (also cited as [^V2D2-69^]) (also cited as [^V2D1-25^])</w:t>
      </w:r>
    </w:p>
    <w:p>
      <w:pPr>
        <w:pStyle w:val="BodyText"/>
      </w:pPr>
      <w:r>
        <w:t xml:space="preserve">[D7-E3] Dim07 evidence entry (§3, SCWO cost benchmarks) — Pinellas County utility rate schedule ( — 2025–2026. FOG/food-waste receiving fees $45–120 per 1,000 gal. https://pinellas.gov/utilities-sewer-system-user-fees/ (also cited as [^D7-2^])</w:t>
      </w:r>
    </w:p>
    <w:p>
      <w:pPr>
        <w:pStyle w:val="BodyText"/>
      </w:pPr>
      <w:r>
        <w:t xml:space="preserve">[D7-4] AD economics sources (MDPI Energies review; ScienceDirect anaerobic overview; Bristol AD brewery guide; CORDIS; BioCycle) — — 2019–2026 — ~0.35 m³ CH₄/kg COD; net-energy-positive; 300+ F&amp;B installs; brewery UASB capex $1.5–5M, 2–8-yr paybacks; ITC/REAP up to 55% of capex. https://www.mdpi.com/1996-1073/16/1/83 ; https://www.sciencedirect.com/topics/engineering/anaerobic-treatment-system ; https://bristola2.com/feeds/blog/affordable-anaerobic-digestion-solutions-breweries</w:t>
      </w:r>
    </w:p>
    <w:p>
      <w:pPr>
        <w:pStyle w:val="BodyText"/>
      </w:pPr>
      <w:r>
        <w:t xml:space="preserve">[D7-5] Shanghai CM MBR case studies; Seven Days VT; Compass Vermont — — 2025–2026 — dairy $50k/month penalties; brewery &gt;$200k/yr projected surcharges; craft breweries lack compliance staff; 14–19-yr AD paybacks at craft scale. Craft-brewery facility base (~9,900 US sites): Brewers Association national statistics, 2024 https://shanghai-cm.com/5-case-studies-of-mbr-success-in-the-food-beverage-industry-real-results-from-real-plants/ ; https://www.sevendaysvt.com/news/cabot-cheese-plant-fined-60000-for-environmental-violations/ ; https://www.brewersassociation.org/statistics-and-data/national-beer-stats/ (also cited as [^D7-805^])</w:t>
      </w:r>
    </w:p>
    <w:p>
      <w:pPr>
        <w:pStyle w:val="BodyText"/>
      </w:pPr>
      <w:r>
        <w:t xml:space="preserve">[D7-6] F&amp;B wastewater market reports (MRFR; Growth Market Reports; TBRC) — — 2024–2026 — $20.2B (2024) → $44.3B (2035) at 7.4% CAGR; equipment $7.8B, NA $2.1B; side-stream/compliance sub-segment ~$50–150M/yr (Dim 07 estimate). https://www.marketresearchfuture.com/reports/food-beverage-wastewater-recovery-system-market-28458 ; https://growthmarketreports.com/report/wastewater-treatment-equipment-for-food-and-beverage-market (also cited as [^D7-E1^])</w:t>
      </w:r>
    </w:p>
    <w:p>
      <w:pPr>
        <w:pStyle w:val="BodyText"/>
      </w:pPr>
      <w:r>
        <w:t xml:space="preserve">[D7-7] SGMA statistics compilation (DWR/PPIC/UC Davis data via SC Well Service) — 2025–2026 — 21 critically overdrafted basins; pumping fees $50–200/AF; 500–750k acres fallowed by 2040. https://scwellservice.com/blog/sgma-groundwater-sustainability-statistics.html</w:t>
      </w:r>
    </w:p>
    <w:p>
      <w:pPr>
        <w:pStyle w:val="BodyText"/>
      </w:pPr>
      <w:r>
        <w:t xml:space="preserve">[D7-8] F&amp;B organics energy-value counter-narrative (Hydro-Thermal; First Milk AD; EBMUD; GRPVA/Richmond) — — 2008–2025 — Richmond credits breweries ~$140k per 100k bbl; cheese-plant digester offsets 30–35% of natural gas; EBMUD co-digestion nets $3M/yr. https://www.grpva.com/news/richmond-breweries-get-a-break-on-sewage-bill-because-of-stone-project/ ; https://blog.anaerobic-digestion.com/anaerobic-digestion-of-whey/</w:t>
      </w:r>
    </w:p>
    <w:p>
      <w:pPr>
        <w:pStyle w:val="BodyText"/>
      </w:pPr>
      <w:r>
        <w:t xml:space="preserve">[D7-9] Sector margin data (Investopedia/CSIMarket; NYU Stern Damodaran) — 2025–2026 — food processing EBITDA margin ~11%, net margin ~5.4–7.4%; caps acceptable payback at 3–5 years.</w:t>
      </w:r>
      <w:r>
        <w:t xml:space="preserve"> </w:t>
      </w:r>
      <w:r>
        <w:rPr>
          <w:iCs/>
          <w:i/>
        </w:rPr>
        <w:t xml:space="preserve">Confidence flags carried from dim reports: D10 market-size and SAM figures are top-down (low-medium confidence); D10-28 tariff is a 2015 data point used for order-of-magnitude only; D6 vendor pricing/payback claims (D6-25/D6-26) are management targets not yet realized at list price; D7 SAM/payback cells are modeled estimates (low-medium confidence).</w:t>
      </w:r>
      <w:r>
        <w:t xml:space="preserve"> </w:t>
      </w:r>
      <w:r>
        <w:t xml:space="preserve">https://pages.stern.nyu.edu/~adamodar/New_Home_Page/datafile/margin.html</w:t>
      </w:r>
    </w:p>
    <w:p>
      <w:pPr>
        <w:pStyle w:val="BodyText"/>
      </w:pPr>
      <w:r>
        <w:t xml:space="preserve">[D7-E2] hcsp_dim07.md §4–5 claims — AD benchmark economics (net-energy-positive, 300+ F&amp;B plants, $1.5–5M capex, 2–8-yr paybacks) and concentrated side-stream hauling baseline $45–120/1,000 gal with documented $120k/yr sludge-dewatering saving case (dimension report claim blocks; literature/vendor sources inline).</w:t>
      </w:r>
    </w:p>
    <w:bookmarkEnd w:id="175"/>
    <w:bookmarkStart w:id="176" w:name="d8"/>
    <w:p>
      <w:pPr>
        <w:pStyle w:val="Heading2"/>
      </w:pPr>
      <w:r>
        <w:t xml:space="preserve">D8</w:t>
      </w:r>
    </w:p>
    <w:p>
      <w:pPr>
        <w:pStyle w:val="FirstParagraph"/>
      </w:pPr>
      <w:r>
        <w:t xml:space="preserve">[D8-1] Ground Water Protection Council,</w:t>
      </w:r>
      <w:r>
        <w:t xml:space="preserve"> </w:t>
      </w:r>
      <w:r>
        <w:t xml:space="preserve">“</w:t>
      </w:r>
      <w:r>
        <w:t xml:space="preserve">U.S. Produced Water Volumes &amp; Management Practices in 2021</w:t>
      </w:r>
      <w:r>
        <w:t xml:space="preserve">”</w:t>
      </w:r>
      <w:r>
        <w:t xml:space="preserve"> </w:t>
      </w:r>
      <w:r>
        <w:t xml:space="preserve">(ALL Consulting) — June 2022. 25.857 billion bbl produced water in 2021; 95.76% injected. https://www.gwpc.org/wp-content/uploads/2021/09/2021_Produced_Water_Volumes.pdf</w:t>
      </w:r>
    </w:p>
    <w:p>
      <w:pPr>
        <w:pStyle w:val="BodyText"/>
      </w:pPr>
      <w:r>
        <w:t xml:space="preserve">[D8-2] Texas Produced Water Consortium,</w:t>
      </w:r>
      <w:r>
        <w:t xml:space="preserve"> </w:t>
      </w:r>
      <w:r>
        <w:t xml:space="preserve">“</w:t>
      </w:r>
      <w:r>
        <w:t xml:space="preserve">Report to the Texas Legislature</w:t>
      </w:r>
      <w:r>
        <w:t xml:space="preserve">”</w:t>
      </w:r>
      <w:r>
        <w:t xml:space="preserve"> </w:t>
      </w:r>
      <w:r>
        <w:t xml:space="preserve">— 2022. Conveyance-plus-disposal $0.55–1.81/bbl; treatment-for-disposal averages $2.55/bbl, up to $10/bbl. https://www.depts.ttu.edu/research/tx-water-consortium/downloads/22-TXPWC-Report-Texas-Legislature.pdf</w:t>
      </w:r>
    </w:p>
    <w:p>
      <w:pPr>
        <w:pStyle w:val="BodyText"/>
      </w:pPr>
      <w:r>
        <w:t xml:space="preserve">[D8-7] Railroad Commission of Texas,</w:t>
      </w:r>
      <w:r>
        <w:t xml:space="preserve"> </w:t>
      </w:r>
      <w:r>
        <w:t xml:space="preserve">“</w:t>
      </w:r>
      <w:r>
        <w:t xml:space="preserve">RRC Rolls Out Regulatory Framework for Produced Water Recycling Pilot Studies</w:t>
      </w:r>
      <w:r>
        <w:t xml:space="preserve">”</w:t>
      </w:r>
      <w:r>
        <w:t xml:space="preserve"> </w:t>
      </w:r>
      <w:r>
        <w:t xml:space="preserve">— 2024-01-10. Framework to authorize pilot studies for recycled produced water with treatment, characterization, storage, and site-specific requirements. https://www.rrc.texas.gov/news/011024-rrc-rolls-out-regulatory-framework-for-produced-water-recycling-pilot-studies/</w:t>
      </w:r>
    </w:p>
    <w:p>
      <w:pPr>
        <w:pStyle w:val="BodyText"/>
      </w:pPr>
      <w:r>
        <w:t xml:space="preserve">[D8-8] Texas Register, Rule Project No. 2026-006-309-OW (TCEQ, proposed 30 TAC Chapters 210/309 amendments under SB 1145) — published 2026-05-15. Would extend oil-and-gas wastewater discharge authority to produced water treated at treatment facilities and create three treatment-facility categories. (Proposed rule; final outcome pending.) https://www.sos.state.tx.us/texreg/archive/May152026/Proposed%20Rules/30.ENVIRONMENTAL%20QUALITY.html</w:t>
      </w:r>
    </w:p>
    <w:p>
      <w:pPr>
        <w:pStyle w:val="BodyText"/>
      </w:pPr>
      <w:r>
        <w:t xml:space="preserve">[D8-10] Railroad Commission of Texas,</w:t>
      </w:r>
      <w:r>
        <w:t xml:space="preserve"> </w:t>
      </w:r>
      <w:r>
        <w:t xml:space="preserve">“</w:t>
      </w:r>
      <w:r>
        <w:t xml:space="preserve">Seismicity Response</w:t>
      </w:r>
      <w:r>
        <w:t xml:space="preserve">”</w:t>
      </w:r>
      <w:r>
        <w:t xml:space="preserve"> </w:t>
      </w:r>
      <w:r>
        <w:t xml:space="preserve">— actions through 2024, accessed 2026-09. RRC may modify/suspend/terminate injection permits linked to seismicity; suspended 23 deep-disposal permits in the Northern Culberson-Reeves SRA effective 2024-01-12. https://www.rrc.texas.gov/oil-and-gas/applications-and-permits/injection-storage-permits/oil-and-gas-waste-disposal/injection-disposal-permit-procedures/seismicity-review/seismicity-response/</w:t>
      </w:r>
    </w:p>
    <w:p>
      <w:pPr>
        <w:pStyle w:val="BodyText"/>
      </w:pPr>
      <w:r>
        <w:t xml:space="preserve">[D8-13] Hodes, Marrone, Hong, Smith &amp; Tester,</w:t>
      </w:r>
      <w:r>
        <w:t xml:space="preserve"> </w:t>
      </w:r>
      <w:r>
        <w:t xml:space="preserve">“</w:t>
      </w:r>
      <w:r>
        <w:t xml:space="preserve">Salt precipitation and scale control in SCWO—Part A,</w:t>
      </w:r>
      <w:r>
        <w:t xml:space="preserve">”</w:t>
      </w:r>
      <w:r>
        <w:t xml:space="preserve"> </w:t>
      </w:r>
      <w:r>
        <w:t xml:space="preserve">J. Supercritical Fluids (2004), and Marrone,</w:t>
      </w:r>
      <w:r>
        <w:t xml:space="preserve"> </w:t>
      </w:r>
      <w:r>
        <w:t xml:space="preserve">“</w:t>
      </w:r>
      <w:r>
        <w:t xml:space="preserve">SCWO—Current status of full-scale commercial activity</w:t>
      </w:r>
      <w:r>
        <w:t xml:space="preserve">”</w:t>
      </w:r>
      <w:r>
        <w:t xml:space="preserve"> </w:t>
      </w:r>
      <w:r>
        <w:t xml:space="preserve">(2013) — Salt deposition, plugging, and corrosion are the central commercialization barriers for SCWO. https://doi.org/10.1016/S0896-8446(03)00093-7 ; https://doi.org/10.1016/j.supflu.2012.12.020</w:t>
      </w:r>
    </w:p>
    <w:p>
      <w:pPr>
        <w:pStyle w:val="BodyText"/>
      </w:pPr>
      <w:r>
        <w:t xml:space="preserve">[D8-14] Sharan et al., Los Alamos National Laboratory/DOE OSTI,</w:t>
      </w:r>
      <w:r>
        <w:t xml:space="preserve"> </w:t>
      </w:r>
      <w:r>
        <w:t xml:space="preserve">“</w:t>
      </w:r>
      <w:r>
        <w:t xml:space="preserve">Supercritical water desalination and oxidation (SCWDO)…,</w:t>
      </w:r>
      <w:r>
        <w:t xml:space="preserve">”</w:t>
      </w:r>
      <w:r>
        <w:t xml:space="preserve"> </w:t>
      </w:r>
      <w:r>
        <w:t xml:space="preserve">Desalination 613:118963 — 2025-04-28. Salt-first architecture on real produced water (15,745–202,021 mg/L TDS); modeled $6.8–9.9/m³ standalone at a conceptual, unbuilt 5,000 m³/day plant. https://www.osti.gov/biblio/3001291 ; https://doi.org/10.1016/j.desal.2025.118963</w:t>
      </w:r>
    </w:p>
    <w:p>
      <w:pPr>
        <w:pStyle w:val="BodyText"/>
      </w:pPr>
      <w:r>
        <w:t xml:space="preserve">[D8-16] U.S. DOE/OSTI,</w:t>
      </w:r>
      <w:r>
        <w:t xml:space="preserve"> </w:t>
      </w:r>
      <w:r>
        <w:t xml:space="preserve">“</w:t>
      </w:r>
      <w:r>
        <w:t xml:space="preserve">Energy and Environmental Profile of the U.S. Petroleum Refining Industry,</w:t>
      </w:r>
      <w:r>
        <w:t xml:space="preserve">”</w:t>
      </w:r>
      <w:r>
        <w:t xml:space="preserve"> </w:t>
      </w:r>
      <w:r>
        <w:t xml:space="preserve">Table 1-21 (API Publication 339) — December 1998 (1995 data). Five refinery residuals ≈ 638,000 wet t/yr: 504,000 recycled, 81,000 treated, 54,000 directly disposed. (Dated; current volumes low-medium confidence.) https://www.osti.gov/servlets/purl/1218665</w:t>
      </w:r>
    </w:p>
    <w:p>
      <w:pPr>
        <w:pStyle w:val="BodyText"/>
      </w:pPr>
      <w:r>
        <w:t xml:space="preserve">[D8-17] Cui et al.,</w:t>
      </w:r>
      <w:r>
        <w:t xml:space="preserve"> </w:t>
      </w:r>
      <w:r>
        <w:t xml:space="preserve">“</w:t>
      </w:r>
      <w:r>
        <w:t xml:space="preserve">Oxidation of oily sludge in supercritical water,</w:t>
      </w:r>
      <w:r>
        <w:t xml:space="preserve">”</w:t>
      </w:r>
      <w:r>
        <w:t xml:space="preserve"> </w:t>
      </w:r>
      <w:r>
        <w:t xml:space="preserve">Journal of Hazardous Materials — 2009. ~92% COD removal from oily sludge in 10 minutes (batch, lab-scale). https://doi.org/10.1016/j.jhazmat.2008.09.087</w:t>
      </w:r>
    </w:p>
    <w:p>
      <w:pPr>
        <w:pStyle w:val="BodyText"/>
      </w:pPr>
      <w:r>
        <w:t xml:space="preserve">[D8-19] U.S. EPA,</w:t>
      </w:r>
      <w:r>
        <w:t xml:space="preserve"> </w:t>
      </w:r>
      <w:r>
        <w:t xml:space="preserve">“</w:t>
      </w:r>
      <w:r>
        <w:t xml:space="preserve">Frequent Questions About the Hazardous Waste Generator Improvements Final Rule</w:t>
      </w:r>
      <w:r>
        <w:t xml:space="preserve">”</w:t>
      </w:r>
      <w:r>
        <w:t xml:space="preserve"> </w:t>
      </w:r>
      <w:r>
        <w:t xml:space="preserve">— accessed 2026. On-site thermal treatment of hazardous waste generally requires a RCRA permit. https://www.epa.gov/hwgenerators/frequent-questions-about-hazardous-waste-generator-improvements-final-rule</w:t>
      </w:r>
    </w:p>
    <w:p>
      <w:pPr>
        <w:pStyle w:val="BodyText"/>
      </w:pPr>
      <w:r>
        <w:t xml:space="preserve">[D8-20] U.S. Energy Information Administration,</w:t>
      </w:r>
      <w:r>
        <w:t xml:space="preserve"> </w:t>
      </w:r>
      <w:r>
        <w:t xml:space="preserve">“</w:t>
      </w:r>
      <w:r>
        <w:t xml:space="preserve">Refinery Capacity Report 2026</w:t>
      </w:r>
      <w:r>
        <w:t xml:space="preserve">”</w:t>
      </w:r>
      <w:r>
        <w:t xml:space="preserve"> </w:t>
      </w:r>
      <w:r>
        <w:t xml:space="preserve">— data as of 2026-01-01. 130 operable US refineries; 18.2M bbl/cd distillation capacity. https://www.eia.gov/petroleum/refinerycapacity/</w:t>
      </w:r>
    </w:p>
    <w:p>
      <w:pPr>
        <w:pStyle w:val="BodyText"/>
      </w:pPr>
      <w:r>
        <w:t xml:space="preserve">[D8-21] Veolia North America,</w:t>
      </w:r>
      <w:r>
        <w:t xml:space="preserve"> </w:t>
      </w:r>
      <w:r>
        <w:t xml:space="preserve">“</w:t>
      </w:r>
      <w:r>
        <w:t xml:space="preserve">More Value, Less Waste: Oily Sludge as a Circular Solution</w:t>
      </w:r>
      <w:r>
        <w:t xml:space="preserve">”</w:t>
      </w:r>
      <w:r>
        <w:t xml:space="preserve"> </w:t>
      </w:r>
      <w:r>
        <w:t xml:space="preserve">— 2020-11-05. Commercial oily-sludge transportation + off-site disposal ~$700–1,000/ton. https://blog.veolianorthamerica.com/oily-sludge-as-a-circular-solution</w:t>
      </w:r>
    </w:p>
    <w:p>
      <w:pPr>
        <w:pStyle w:val="BodyText"/>
      </w:pPr>
      <w:r>
        <w:t xml:space="preserve">[D8-25] U.S. EPA,</w:t>
      </w:r>
      <w:r>
        <w:t xml:space="preserve"> </w:t>
      </w:r>
      <w:r>
        <w:t xml:space="preserve">“</w:t>
      </w:r>
      <w:r>
        <w:t xml:space="preserve">Special Wastes</w:t>
      </w:r>
      <w:r>
        <w:t xml:space="preserve">”</w:t>
      </w:r>
      <w:r>
        <w:t xml:space="preserve"> </w:t>
      </w:r>
      <w:r>
        <w:t xml:space="preserve">/</w:t>
      </w:r>
      <w:r>
        <w:t xml:space="preserve"> </w:t>
      </w:r>
      <w:r>
        <w:t xml:space="preserve">“</w:t>
      </w:r>
      <w:r>
        <w:t xml:space="preserve">Legislative and Regulatory Timeline for Crude Oil and Natural Gas Waste</w:t>
      </w:r>
      <w:r>
        <w:t xml:space="preserve">”</w:t>
      </w:r>
      <w:r>
        <w:t xml:space="preserve"> </w:t>
      </w:r>
      <w:r>
        <w:t xml:space="preserve">— accessed 2026. Drilling fluids, produced waters, and other E&amp;P wastes excluded from federal RCRA Subtitle C (Bentsen Amendment). https://www.epa.gov/hw/special-wastes ; https://www.epa.gov/hw/legislative-and-regulatory-timeline-for-crude-oil-and-natural-gas-waste</w:t>
      </w:r>
    </w:p>
    <w:p>
      <w:pPr>
        <w:pStyle w:val="BodyText"/>
      </w:pPr>
      <w:r>
        <w:t xml:space="preserve">[D8-26] SPE Journal of Petroleum Technology,</w:t>
      </w:r>
      <w:r>
        <w:t xml:space="preserve"> </w:t>
      </w:r>
      <w:r>
        <w:t xml:space="preserve">“</w:t>
      </w:r>
      <w:r>
        <w:t xml:space="preserve">Balancing Growth and Risk: Why Water Management Is the Permian Basin’s Biggest Challenge</w:t>
      </w:r>
      <w:r>
        <w:t xml:space="preserve">”</w:t>
      </w:r>
      <w:r>
        <w:t xml:space="preserve"> </w:t>
      </w:r>
      <w:r>
        <w:t xml:space="preserve">— 2025-08-05. Trucking can drive produced-water costs to $2.50/bbl where no pipeline access exists. https://jpt.spe.org/twa/balancing-growth-and-risk-why-water-management-is-the-permian-basins-biggest-challenge (also cited as [^V2D5-2^])</w:t>
      </w:r>
    </w:p>
    <w:bookmarkEnd w:id="176"/>
    <w:bookmarkStart w:id="177" w:name="d9"/>
    <w:p>
      <w:pPr>
        <w:pStyle w:val="Heading2"/>
      </w:pPr>
      <w:r>
        <w:t xml:space="preserve">D9</w:t>
      </w:r>
    </w:p>
    <w:p>
      <w:pPr>
        <w:pStyle w:val="FirstParagraph"/>
      </w:pPr>
      <w:r>
        <w:t xml:space="preserve">[D9-1] GAO-25-107401,</w:t>
      </w:r>
      <w:r>
        <w:t xml:space="preserve"> </w:t>
      </w:r>
      <w:r>
        <w:t xml:space="preserve">“</w:t>
      </w:r>
      <w:r>
        <w:t xml:space="preserve">Persistent Chemicals: DOD Needs to Provide Congress More Information on Costs Associated with Addressing PFAS</w:t>
      </w:r>
      <w:r>
        <w:t xml:space="preserve">”</w:t>
      </w:r>
      <w:r>
        <w:t xml:space="preserve"> </w:t>
      </w:r>
      <w:r>
        <w:t xml:space="preserve">— (2025-02). DoD future PFAS investigation/cleanup costs exceed $9.3B; 718 installations with known/suspected releases. https://www.gao.gov/products/gao-25-107401</w:t>
      </w:r>
    </w:p>
    <w:p>
      <w:pPr>
        <w:pStyle w:val="BodyText"/>
      </w:pPr>
      <w:r>
        <w:t xml:space="preserve">[D9-2] GAO-25-107401 full text. — 718 installations with known/suspected releases; 370 in remedial investigation; 0 in long-term cleanup. https://files.gao.gov/reports/GAO-25-107401/index.html</w:t>
      </w:r>
    </w:p>
    <w:p>
      <w:pPr>
        <w:pStyle w:val="BodyText"/>
      </w:pPr>
      <w:r>
        <w:t xml:space="preserve">[D9-3] USACE Omaha District SAME presentation (May 2024); Regenesis webinar. — Congressional direction to prioritize cost-effective, energy-efficient PFAS tech; footprint/cost as procurement criteria. https://www.same.org/wp-content/uploads/2024/06/USACE-Omaha_District_ER-Omaha-SAME_Presentation_MAY_2024.pdf</w:t>
      </w:r>
    </w:p>
    <w:p>
      <w:pPr>
        <w:pStyle w:val="BodyText"/>
      </w:pPr>
      <w:r>
        <w:t xml:space="preserve">[D9-4] Inside EPA via Texas Chemistry Council (Aug 2025). — AFFF transition deadline Oct 1, 2026; ~1,000 facilities and &gt;6,000 mobile assets. https://texaschemistry.org/aws/TCC/pt/sd/news_article/599913/_PARENT/TCC_layout_details/true</w:t>
      </w:r>
    </w:p>
    <w:p>
      <w:pPr>
        <w:pStyle w:val="BodyText"/>
      </w:pPr>
      <w:r>
        <w:t xml:space="preserve">[D9-5] GAO-24-107322,</w:t>
      </w:r>
      <w:r>
        <w:t xml:space="preserve"> </w:t>
      </w:r>
      <w:r>
        <w:t xml:space="preserve">“</w:t>
      </w:r>
      <w:r>
        <w:t xml:space="preserve">Firefighting Foam</w:t>
      </w:r>
      <w:r>
        <w:t xml:space="preserve">”</w:t>
      </w:r>
      <w:r>
        <w:t xml:space="preserve"> </w:t>
      </w:r>
      <w:r>
        <w:t xml:space="preserve">(Jul 2024). — AFFF→fluorine-free transition initial funding &gt;$2.1B; oceangoing-vessel exemption; disposal pathway limits. https://www.gao.gov/products/gao-24-107322</w:t>
      </w:r>
    </w:p>
    <w:p>
      <w:pPr>
        <w:pStyle w:val="BodyText"/>
      </w:pPr>
      <w:r>
        <w:t xml:space="preserve">[D9-9] ITRC PFAS — experimental disposal technologies. — SERDP/ESTCP SCWO demos (Battelle; Duke ~907 kg/day). https://pfas-1.itrcweb.org/3-firefighting-foams/?print=pdf</w:t>
      </w:r>
    </w:p>
    <w:p>
      <w:pPr>
        <w:pStyle w:val="BodyText"/>
      </w:pPr>
      <w:r>
        <w:t xml:space="preserve">[D9-10] EARTH Magazine (AGI),</w:t>
      </w:r>
      <w:r>
        <w:t xml:space="preserve"> </w:t>
      </w:r>
      <w:r>
        <w:t xml:space="preserve">“</w:t>
      </w:r>
      <w:r>
        <w:t xml:space="preserve">How military technology and innovation can ease the world’s water challenges</w:t>
      </w:r>
      <w:r>
        <w:t xml:space="preserve">”</w:t>
      </w:r>
      <w:r>
        <w:t xml:space="preserve"> </w:t>
      </w:r>
      <w:r>
        <w:t xml:space="preserve">(Jul 2017). — 500+ DoD installations;</w:t>
      </w:r>
      <w:r>
        <w:t xml:space="preserve"> </w:t>
      </w:r>
      <w:r>
        <w:t xml:space="preserve">“</w:t>
      </w:r>
      <w:r>
        <w:t xml:space="preserve">DOD pays top dollar</w:t>
      </w:r>
      <w:r>
        <w:t xml:space="preserve">”</w:t>
      </w:r>
      <w:r>
        <w:t xml:space="preserve">; Net Zero precedents. https://www.earthmagazine.org/article/position-lead-how-military-technology-and-innovation-can-ease-worlds-water-challenges/</w:t>
      </w:r>
    </w:p>
    <w:p>
      <w:pPr>
        <w:pStyle w:val="BodyText"/>
      </w:pPr>
      <w:r>
        <w:t xml:space="preserve">[D9-11] Data Insights Reports, Cruise Ship Sewage System Market; Strategic Market Research, Marine Water Treatment Market.— Cruise sewage systems $3.52B (2025) → $5.86B (2032), 6.5% CAGR; marine water treatment $4.2B (2024). (Market-research-grade; medium confidence.) https://www.datainsightsreports.com/reports/cruise-ship-sewage-system-market-45665 ; https://www.strategicmarketresearch.com/market-report/marine-water-treatment-market</w:t>
      </w:r>
    </w:p>
    <w:p>
      <w:pPr>
        <w:pStyle w:val="BodyText"/>
      </w:pPr>
      <w:r>
        <w:t xml:space="preserve">[D9-12] Alaska DEC Cruise Ship Program; EPA archive Title XIV.— Advanced-treatment-only discharge; ~half of large cruise ships non-discharging in Alaska waters. https://dec.alaska.gov/water/cruise-ships/ ; https://archive.epa.gov/water/test/web/html/sewage_gray.html</w:t>
      </w:r>
    </w:p>
    <w:p>
      <w:pPr>
        <w:pStyle w:val="BodyText"/>
      </w:pPr>
      <w:r>
        <w:t xml:space="preserve">[D9-13] IMO sewage page; HELCOM Baltic Special Area guidance.— MARPOL Annex IV; Baltic effective discharge prohibition for passenger ships (2019/2021). https://www.imo.org/en/ourwork/environment/pages/sewage-default.aspx ; https://helcom.fi/publications/a-technical-guidance-for-the-handling-of-wastewater-in-ports-of-the-baltic-sea-special-area-under-marpol-annex-iv/</w:t>
      </w:r>
    </w:p>
    <w:p>
      <w:pPr>
        <w:pStyle w:val="BodyText"/>
      </w:pPr>
      <w:r>
        <w:t xml:space="preserve">[D9-14] EPA</w:t>
      </w:r>
      <w:r>
        <w:t xml:space="preserve"> </w:t>
      </w:r>
      <w:r>
        <w:t xml:space="preserve">“</w:t>
      </w:r>
      <w:r>
        <w:t xml:space="preserve">Graywater Discharges from Vessels</w:t>
      </w:r>
      <w:r>
        <w:t xml:space="preserve">”</w:t>
      </w:r>
      <w:r>
        <w:t xml:space="preserve">; Friends of the Earth; Green Sail. — Large-ship advanced systems 500–3,000 m³/day; ~253 L graywater/person/day — scale mismatch vs 10 m³/day skid. https://nepis.epa.gov/Exe/ZyPURL.cgi?Dockey=P100ZVHG.TXT</w:t>
      </w:r>
    </w:p>
    <w:p>
      <w:pPr>
        <w:pStyle w:val="BodyText"/>
      </w:pPr>
      <w:r>
        <w:t xml:space="preserve">[D9-18] Navy SBIR N254-123,</w:t>
      </w:r>
      <w:r>
        <w:t xml:space="preserve"> </w:t>
      </w:r>
      <w:r>
        <w:t xml:space="preserve">“</w:t>
      </w:r>
      <w:r>
        <w:t xml:space="preserve">Expeditionary Energy-Efficient Greywater Treatment for Reuse</w:t>
      </w:r>
      <w:r>
        <w:t xml:space="preserve">”</w:t>
      </w:r>
      <w:r>
        <w:t xml:space="preserve"> </w:t>
      </w:r>
      <w:r>
        <w:t xml:space="preserve">(Aug 2025). — PLC-automated, unattended, compact requirements; energy sensitivity; dual-use language. https://www.navysbir.com/n25_411/N254-123.htm</w:t>
      </w:r>
    </w:p>
    <w:p>
      <w:pPr>
        <w:pStyle w:val="BodyText"/>
      </w:pPr>
      <w:r>
        <w:t xml:space="preserve">[D9-19] CLIA, State of the Cruise Industry Report 2025 (May 2025). — 310 ocean-going ships; 56-ship / $56.7B orderbook 2025–2036. https://cruising.org/sites/default/files/2025-05/State%20of%20the%20Cruise%20Industry%20Report%202025.pdf</w:t>
      </w:r>
    </w:p>
    <w:p>
      <w:pPr>
        <w:pStyle w:val="BodyText"/>
      </w:pPr>
      <w:r>
        <w:t xml:space="preserve">[D9-20] Pinkard et al.,</w:t>
      </w:r>
      <w:r>
        <w:t xml:space="preserve"> </w:t>
      </w:r>
      <w:r>
        <w:t xml:space="preserve">“</w:t>
      </w:r>
      <w:r>
        <w:t xml:space="preserve">Managing and treating PFAS in membrane concentrates</w:t>
      </w:r>
      <w:r>
        <w:t xml:space="preserve">”</w:t>
      </w:r>
      <w:r>
        <w:t xml:space="preserve"> </w:t>
      </w:r>
      <w:r>
        <w:t xml:space="preserve">(peer-reviewed). — SCWO corrosion, salt plugging, and cost as documented industrial failure modes. https://pmc.ncbi.nlm.nih.gov/articles/PMC8687045/</w:t>
      </w:r>
    </w:p>
    <w:p>
      <w:pPr>
        <w:pStyle w:val="BodyText"/>
      </w:pPr>
      <w:r>
        <w:t xml:space="preserve">[D9-21] Shenzhen Institutes of Advanced Technology SCWO energy-self-sufficiency (2025); ScienceDirect S0360544221006551. — Autothermal SCWO feasibility at adequate feed concentration. http://english.siat.ac.cn/news/sr/202502/t20250211_900453.html</w:t>
      </w:r>
    </w:p>
    <w:p>
      <w:pPr>
        <w:pStyle w:val="BodyText"/>
      </w:pPr>
      <w:r>
        <w:t xml:space="preserve">[D9-23] Wilson Center New Security Beat (Nov 2015). — ~80% of Iraq convoy tonnage was fuel/water; ~1,000 deaths attributed to convoy attacks. https://www.newsecuritybeat.org/2015/11/military-leaders-national-tour-climate-change-energy-security-inextricably-linked/</w:t>
      </w:r>
    </w:p>
    <w:p>
      <w:pPr>
        <w:pStyle w:val="BodyText"/>
      </w:pPr>
      <w:r>
        <w:t xml:space="preserve">[D9-24] Responsible Statecraft (Sep 2025). — PFAS cleanup funding at ~30-yr low relative to need; DoD cleanup delays up to 10 years. (Advocacy-leaning source; flagged.) https://responsiblestatecraft.org/pentagon-pfas/</w:t>
      </w:r>
    </w:p>
    <w:p>
      <w:pPr>
        <w:pStyle w:val="BodyText"/>
      </w:pPr>
      <w:r>
        <w:t xml:space="preserve">[D9-25] DoD SBIR guides. — SBIR Phase I–III structure; 3–5+ yr transition to program-of-record. https://commercify.com/blog/dod-sbir-guide-topics-winning</w:t>
      </w:r>
    </w:p>
    <w:p>
      <w:pPr>
        <w:pStyle w:val="BodyText"/>
      </w:pPr>
      <w:r>
        <w:t xml:space="preserve">[D9-26] Reynolds Bauhm remote off-grid camp case; MAK Water; Aerofloat. — 250-person camp ≈ 30 m³/day package sewage treatment, unattended, containerized. https://reynoldsbauhm.co.uk/example-remote-offgrid-camp</w:t>
      </w:r>
    </w:p>
    <w:p>
      <w:pPr>
        <w:pStyle w:val="BodyText"/>
      </w:pPr>
      <w:r>
        <w:t xml:space="preserve">[D9-27] SES remote-site diesel cost analysis; ChemREADY hauling-vs-onsite analysis.— Remote fuel 40–120% delivery premium, $8–12/L fly-in; hauling effective cost 2–4× invoice; 75–95 kW ≈ $0.7–3.5M/yr fuel at austere sites. (Industry-blog grade; directionally reliable.) https://ses.green/blog/remote-site-diesel-cost-analysis ; https://getchemready.com/water-facts/hauling-wastewater-vs-onsite-treatment/</w:t>
      </w:r>
    </w:p>
    <w:p>
      <w:pPr>
        <w:pStyle w:val="BodyText"/>
      </w:pPr>
      <w:r>
        <w:t xml:space="preserve">[D9-28] Credence Research, Mobile Water Treatment Systems Market; USD Analytics, Emergency Water Treatment Equipment Market.— Mobile treatment $2.55B (2024) → $4.38B (2032); emergency equipment $5.3B (2025) → $11.9B (2034); 1,000–10,000 L/day band ~41.7% share. (Market-research-grade.) https://www.credenceresearch.com/report/mobile-water-treatment-systems-market ; https://www.usdanalytics.com/industry-reports/emergency-water-treatment-equipment-market</w:t>
      </w:r>
    </w:p>
    <w:bookmarkEnd w:id="177"/>
    <w:bookmarkStart w:id="178" w:name="d10"/>
    <w:p>
      <w:pPr>
        <w:pStyle w:val="Heading2"/>
      </w:pPr>
      <w:r>
        <w:t xml:space="preserve">D10</w:t>
      </w:r>
    </w:p>
    <w:p>
      <w:pPr>
        <w:pStyle w:val="FirstParagraph"/>
      </w:pPr>
      <w:r>
        <w:t xml:space="preserve">[D10-18] Indian Textile Magazine,</w:t>
      </w:r>
      <w:r>
        <w:t xml:space="preserve"> </w:t>
      </w:r>
      <w:r>
        <w:t xml:space="preserve">“</w:t>
      </w:r>
      <w:r>
        <w:t xml:space="preserve">Rs 200 Cr Central Funds to End Tirupur Dyeing Industry Crisis</w:t>
      </w:r>
      <w:r>
        <w:t xml:space="preserve">”</w:t>
      </w:r>
      <w:r>
        <w:t xml:space="preserve"> </w:t>
      </w:r>
      <w:r>
        <w:t xml:space="preserve">— (2017-02). Tirupur: 450+ dyeing units; 18 ZLD common effluent treatment plants built at ₹1,013 crore (~$120M). https://www.indiantextilemagazine.in/rs-200-cr-central-funds-to-end-tirupur-dyeing-industry-crisis/</w:t>
      </w:r>
    </w:p>
    <w:p>
      <w:pPr>
        <w:pStyle w:val="BodyText"/>
      </w:pPr>
      <w:r>
        <w:t xml:space="preserve">[D10-27] Rameon Energy, ZLD plant cost &amp; investment guide — (2026-03). India ZLD operating cost ₹150–220/KL ≈ $1.8–2.6/m³ (~$0.007–0.010/gal) — basis for demoting distillery/textile incumbents on the savings lens. Confidence: Medium-high. https://rameonenergy.in/blog/zld-plant-cost-investment-guide</w:t>
      </w:r>
    </w:p>
    <w:p>
      <w:pPr>
        <w:pStyle w:val="BodyText"/>
      </w:pPr>
      <w:r>
        <w:t xml:space="preserve">[D10-7] Liu et al., Sustainability (MDPI) review — Dec 2024 — China textile printing/dyeing 1.84B t wastewater (2020, ~20% of industrial discharge); 2.3 Mt/yr dyeing sludge (60% moisture), hazardous classification. https://www.mdpi.com/2071-1050/16/24/10867</w:t>
      </w:r>
    </w:p>
    <w:p>
      <w:pPr>
        <w:pStyle w:val="BodyText"/>
      </w:pPr>
      <w:r>
        <w:t xml:space="preserve">[D10-10] Rawshot synthesis of dyehouse wastewater COD — 2026 — dyehouse effluent COD 1,000–10,000 mg/L. https://rawshot.ai/statistic/fashion-industry-wastewater-pollution</w:t>
      </w:r>
    </w:p>
    <w:p>
      <w:pPr>
        <w:pStyle w:val="BodyText"/>
      </w:pPr>
      <w:r>
        <w:t xml:space="preserve">[D10-15] Rameon Energy CPCB ZLD guide — 2026 — ZLD-mandated clusters in TN/GJ/RJ; textile RO reject TDS 60,000–90,000 mg/L. https://rameonenergy.in/blog/cpcb-zero-liquid-discharge-guidelines-2026-compliance-guide</w:t>
      </w:r>
    </w:p>
    <w:p>
      <w:pPr>
        <w:pStyle w:val="BodyText"/>
      </w:pPr>
      <w:r>
        <w:t xml:space="preserve">[D10-16] Processes (MDPI) SCWO systematic review — Mar 2026 — chloride corrosion and salt precipitation are SCWO’s leading industrial failure modes in salt-rich effluents. https://www.mdpi.com/2227-9717/14/6/885</w:t>
      </w:r>
    </w:p>
    <w:p>
      <w:pPr>
        <w:pStyle w:val="BodyText"/>
      </w:pPr>
      <w:r>
        <w:t xml:space="preserve">[D10-17] Enviro Wiki SCWO — 2026 — autothermal threshold ~2 MJ/kg (COD ~120–150 g/L); dilute streams uneconomical. https://www.enviro.wiki/index.php?title=Supercritical_Water_Oxidation_%28SCWO%29</w:t>
      </w:r>
    </w:p>
    <w:p>
      <w:pPr>
        <w:pStyle w:val="BodyText"/>
      </w:pPr>
      <w:r>
        <w:t xml:space="preserve">[D10-19] TWIC CETP-ZLD project data — 2021 — nine Tirupur CETPs = 53,000 m³/day ZLD capacity. https://www.twic.co.in/cetp-zld/</w:t>
      </w:r>
    </w:p>
    <w:p>
      <w:pPr>
        <w:pStyle w:val="BodyText"/>
      </w:pPr>
      <w:r>
        <w:t xml:space="preserve">[D10-22] Intertek China ESG Gazette — 2026 — GB 4287—2026 adds zebrafish-egg acute toxicity limits; shift to toxicity-based control. https://www.intertek.com.cn/eninfo_itemid_2084447751638093824_lcid_40.html</w:t>
      </w:r>
    </w:p>
    <w:p>
      <w:pPr>
        <w:pStyle w:val="BodyText"/>
      </w:pPr>
      <w:r>
        <w:t xml:space="preserve">[D10-24] BSS/UNB (Bangladesh) — 2026 — BGMEA lobbying for phased (not mandatory) ZLD. https://www.bssnews.net/business/399378</w:t>
      </w:r>
    </w:p>
    <w:p>
      <w:pPr>
        <w:pStyle w:val="BodyText"/>
      </w:pPr>
      <w:r>
        <w:t xml:space="preserve">[D10-26] Apparel Resources (Vietnam) — 2017 — Vietnam discharge standards only; ~80% of industrial parks with violations (2016). https://apparelresources.com/business-news/sustainability/vietnam-fines-hong-kong-based-textile-firm-over-wastewater-discharge/</w:t>
      </w:r>
    </w:p>
    <w:p>
      <w:pPr>
        <w:pStyle w:val="BodyText"/>
      </w:pPr>
      <w:r>
        <w:t xml:space="preserve">[D10-28] RMG Bangladesh / Financial Express — 2015 — Comilla EPZ CETP tariff Tk 27.5/m³ ≈ $0.23/m³ (dated but illustrative of tariff magnitude). https://rmgbd.net/2015/05/pm-opens-central-etp-of-comilla-epz-today/</w:t>
      </w:r>
    </w:p>
    <w:p>
      <w:pPr>
        <w:pStyle w:val="BodyText"/>
      </w:pPr>
      <w:r>
        <w:t xml:space="preserve">[D10-30] Market Research Future, industrial wastewater market — 2026 — market $15.8B (2025); textiles ~9%; ZLD fastest-growing (9.2% CAGR); APAC ~34%. https://www.marketresearchfuture.com/reports/industrial-wastewater-treatment-market-25648</w:t>
      </w:r>
    </w:p>
    <w:p>
      <w:pPr>
        <w:pStyle w:val="BodyText"/>
      </w:pPr>
      <w:r>
        <w:t xml:space="preserve">[D10-47] ICSF (Bangladesh dyeing) — 2022 — dye-house ETPs kept switched off to save costs. https://icsf.net/newss/bangladesh-buriganga-river-succumbs-to-the-unregulated-dyeing-industry/</w:t>
      </w:r>
    </w:p>
    <w:p>
      <w:pPr>
        <w:pStyle w:val="BodyText"/>
      </w:pPr>
      <w:r>
        <w:t xml:space="preserve">[D10-56] Li et al., IOP EES 233:052004 (XJTU) — 2019 — SCWO of dyeing sludge up to 99.8% COD removal (600°C, 25 MPa). https://scholar.xjtu.edu.cn/en/publications/supercritical-water-oxidation-of-dyeing-sludge/</w:t>
      </w:r>
    </w:p>
    <w:p>
      <w:pPr>
        <w:pStyle w:val="BodyText"/>
      </w:pPr>
      <w:r>
        <w:t xml:space="preserve">[D10-57] Xu et al., IOP MSE 394:052031 (XJTU) — 2018 — 99.3% COD removal; heavy metals stabilized (Cu 0.266 mg/L; Zn/Pb undetected). https://scholar.xjtu.edu.cn/zh/publications/oxidation-of-dyeing-sludge-in-supercritical-water</w:t>
      </w:r>
    </w:p>
    <w:p>
      <w:pPr>
        <w:pStyle w:val="BodyText"/>
      </w:pPr>
      <w:r>
        <w:t xml:space="preserve">[D10-60] CITIC Annual Report 2021 — 2021 — Chaonan textile park treats 155,000 t/day; &gt;50% reuse; waste-heat power. https://www.citic.com/ar2021/en/environmental</w:t>
      </w:r>
    </w:p>
    <w:p>
      <w:pPr>
        <w:pStyle w:val="BodyText"/>
      </w:pPr>
      <w:r>
        <w:t xml:space="preserve">[D10-30] Market Research Future — industrial wastewater treatment market $15.8B (2025) → $27.45B (2035); textiles ~9% share; ZLD fastest-growing. https://www.marketresearchfuture.com/reports/industrial-wastewater-treatment-market-11276</w:t>
      </w:r>
    </w:p>
    <w:p>
      <w:pPr>
        <w:pStyle w:val="BodyText"/>
      </w:pPr>
      <w:r>
        <w:t xml:space="preserve">[D10-31] Fortune Business Insights — APAC ~41% of industrial wastewater market ($8.29B, 2025); China $3.31B, India $2.59B by 2026. https://www.fortunebusinessinsights.com/industry-reports/industrial-wastewater-treatment-market-101456</w:t>
      </w:r>
    </w:p>
    <w:bookmarkEnd w:id="178"/>
    <w:bookmarkStart w:id="179" w:name="d11"/>
    <w:p>
      <w:pPr>
        <w:pStyle w:val="Heading2"/>
      </w:pPr>
      <w:r>
        <w:t xml:space="preserve">D11</w:t>
      </w:r>
    </w:p>
    <w:p>
      <w:pPr>
        <w:pStyle w:val="FirstParagraph"/>
      </w:pPr>
      <w:r>
        <w:t xml:space="preserve">[D11-1] 374Water Inc. FY2025 Form 10-K (SEC EDGAR, CIK 0000933972, filed 2026-03-31) — Revenue $215,037; net loss $21.0M; cash $3.2M; accumulated deficit $49.9M. https://last10k.com/sec-filings/scwo</w:t>
      </w:r>
    </w:p>
    <w:p>
      <w:pPr>
        <w:pStyle w:val="BodyText"/>
      </w:pPr>
      <w:r>
        <w:t xml:space="preserve">[D11-6] Accesswire via Morningstar (2026-06-09) — 374Water Orlando Waste Destruction Services hub targets $3–5M annual revenue at initial scale. https://www.morningstar.com/news/accesswire/1174345msn/</w:t>
      </w:r>
    </w:p>
    <w:p>
      <w:pPr>
        <w:pStyle w:val="BodyText"/>
      </w:pPr>
      <w:r>
        <w:t xml:space="preserve">[D11-15] Accesswire via Morningstar (2026-05-12) — St. Cloud, MN first mobile AirSCWO deployment, $600k contract; $0.5–1.5M/yr revenue potential per mobile unit. https://www.morningstar.com/news/accesswire/1165804msn/ (also cited as [^D5-48^])</w:t>
      </w:r>
    </w:p>
    <w:p>
      <w:pPr>
        <w:pStyle w:val="BodyText"/>
      </w:pPr>
      <w:r>
        <w:t xml:space="preserve">[D11-25] Peer-reviewed reviews + IRENA Green Hydrogen Cost (2020–2023) — Electrolysis 50–55 kWh/kg H₂; H₂ lower heating value 33.3 kWh/kg — basis of the 35–45% round-trip penalty. https://www.sciencedirect.com/science/article/pii/S0360319917347237 ; https://www.irena.org/-/media/Files/IRENA/Agency/Publication/2020/Dec/IRENA_Green_hydrogen_cost_2020.pdf</w:t>
      </w:r>
    </w:p>
    <w:p>
      <w:pPr>
        <w:pStyle w:val="BodyText"/>
      </w:pPr>
      <w:r>
        <w:t xml:space="preserve">[D11-29] IntechOpen (2019) + NASA SCWO-FPV tech portal — Corrosion and salt precipitation/plugging remain the key unsolved commercialization blockers for SCWO. https://www.intechopen.com/chapters/69550 ; https://technology.nasa.gov/patent/LEW-TOPS-146 (also cited as [^D5-42^])</w:t>
      </w:r>
    </w:p>
    <w:p>
      <w:pPr>
        <w:pStyle w:val="BodyText"/>
      </w:pPr>
      <w:r>
        <w:t xml:space="preserve">[D11-36] US EPA, Interim Guidance on PFAS Destruction and Disposal, Version 3 — (2026-04-23). SCWO classed as emerging and</w:t>
      </w:r>
      <w:r>
        <w:t xml:space="preserve"> </w:t>
      </w:r>
      <w:r>
        <w:t xml:space="preserve">“</w:t>
      </w:r>
      <w:r>
        <w:t xml:space="preserve">commercially unproven at scale</w:t>
      </w:r>
      <w:r>
        <w:t xml:space="preserve">”</w:t>
      </w:r>
      <w:r>
        <w:t xml:space="preserve">; thermal treatment ranked among lowest-release pathways. https://www.epa.gov/pfas/interim-guidance-destruction-and-disposal-pfas-and-materials-containing-pfas</w:t>
      </w:r>
    </w:p>
    <w:p>
      <w:pPr>
        <w:pStyle w:val="BodyText"/>
      </w:pPr>
      <w:r>
        <w:t xml:space="preserve">[D11-2] 374Water Q1 2026 results (Accesswire/Morningstar, 2026-05-14) — cash $0.45M; going-concern financing language. https://www.morningstar.com/news/accesswire/1166970msn/</w:t>
      </w:r>
    </w:p>
    <w:p>
      <w:pPr>
        <w:pStyle w:val="BodyText"/>
      </w:pPr>
      <w:r>
        <w:t xml:space="preserve">[D11-5] 374Water/Accesswire PRs (2024-09-26; 2026-03-10) — Orlando Iron Bridge AirSCWO 6 commissioned Sept 2024; &gt;99.95% PFAS destruction in 90-day campaign; 5-year WDS license. https://finance.yahoo.com/news/374water-announces-5-agreement-city-123000355.html</w:t>
      </w:r>
    </w:p>
    <w:p>
      <w:pPr>
        <w:pStyle w:val="BodyText"/>
      </w:pPr>
      <w:r>
        <w:t xml:space="preserve">[D11-8] GlobeNewswire Q3 2025 / Proactive Investors — 374Water Detroit DoD-backed project completed; FY2026 guidance $6–8M. https://www.globenewswire.com/news-release/2025/11/12/3186730/0/en/</w:t>
      </w:r>
    </w:p>
    <w:p>
      <w:pPr>
        <w:pStyle w:val="BodyText"/>
      </w:pPr>
      <w:r>
        <w:t xml:space="preserve">[D11-9]</w:t>
      </w:r>
      <w:r>
        <w:t xml:space="preserve"> </w:t>
      </w:r>
      <w:r>
        <w:t xml:space="preserve">“</w:t>
      </w:r>
      <w:r>
        <w:t xml:space="preserve">Gasification for Practical Applications</w:t>
      </w:r>
      <w:r>
        <w:t xml:space="preserve">”</w:t>
      </w:r>
      <w:r>
        <w:t xml:space="preserve"> </w:t>
      </w:r>
      <w:r>
        <w:t xml:space="preserve">(book compilation citing Bermejo &amp; Cocero; Marrone et al.) — HydroProcessing Harlingen TX plant failed after ~4 years on pump durability, salt precipitation, corrosion, plugging. https://kh.aquaenergyexpo.com/wp-content/uploads/2023/07/Gasification-for-Practical-Applications.pdf</w:t>
      </w:r>
    </w:p>
    <w:p>
      <w:pPr>
        <w:pStyle w:val="BodyText"/>
      </w:pPr>
      <w:r>
        <w:t xml:space="preserve">[D11-10] General Atomics PRs + EPA OLEM report — PERSES/iSCWO: 650 °C/3,400 psia, titanium liner, &gt;6M gallons destroyed, EPA-verified &gt;99.99% PFAS destruction; Tooele unit sidelined for capacity/reliability issues. https://finance.yahoo.com/news/general-atomics-introduces-perses-waste-140000324.html ; https://downloads.regulations.gov/EPA-HQ-OLEM-2021-0397-0363/attachment_3.pdf</w:t>
      </w:r>
    </w:p>
    <w:p>
      <w:pPr>
        <w:pStyle w:val="BodyText"/>
      </w:pPr>
      <w:r>
        <w:t xml:space="preserve">[D11-11] Aquarden SuperOx product page / State of Green (2024) — 5 t/day modular SCWO;</w:t>
      </w:r>
      <w:r>
        <w:t xml:space="preserve"> </w:t>
      </w:r>
      <w:r>
        <w:t xml:space="preserve">“</w:t>
      </w:r>
      <w:r>
        <w:t xml:space="preserve">operates solely on electricity — no fossil co-fuels required</w:t>
      </w:r>
      <w:r>
        <w:t xml:space="preserve">”</w:t>
      </w:r>
      <w:r>
        <w:t xml:space="preserve">; industrial units in Denmark and France (ArianeGroup). https://aquarden.com/superox-scwo/ (also cited as [^V2D1-7^])</w:t>
      </w:r>
    </w:p>
    <w:p>
      <w:pPr>
        <w:pStyle w:val="BodyText"/>
      </w:pPr>
      <w:r>
        <w:t xml:space="preserve">[D11-14] OC San board presentation &amp; project flyers (2024) — 374Water contract $5,207,595 (equipment + operation) within a $7,941,029 total project; SCAQMD air-emissions data requirement. https://www.ocsan.gov/wp-content/uploads/2024/03/SCWO-Presentation.pdf (also cited as [^D6-23^]) (also cited as [^V2D5-22^]) (also cited as [^V2D1-14^])</w:t>
      </w:r>
    </w:p>
    <w:p>
      <w:pPr>
        <w:pStyle w:val="BodyText"/>
      </w:pPr>
      <w:r>
        <w:t xml:space="preserve">[D11-17] H2O Global News (2026-07-03) — ~$50/wet ton biosolids projected at Nix30 (~30 wet t/d) scale. https://h2oglobalnews.com/moving-from-wastewater-treatment-to-water-resource-recovery-with-supercritical-water-oxidation/ (also cited as [^D12-78^]) (also cited as [^V2D1-16^]) (also cited as [^V2D1-20^])</w:t>
      </w:r>
    </w:p>
    <w:p>
      <w:pPr>
        <w:pStyle w:val="BodyText"/>
      </w:pPr>
      <w:r>
        <w:t xml:space="preserve">[D11-18] Zhang et al., Processes (MDPI) 2018 — transpiring-wall SCWO (1 t/h, 6–10 wt% organics): treatment cost $46–57/tonne; autothermal &gt;2 wt% ideal; electric heaters dominate ~580 kW plant load. https://www.mdpi.com/2227-9717/6/11/224 (also cited as [^V2D1-13^])</w:t>
      </w:r>
    </w:p>
    <w:p>
      <w:pPr>
        <w:pStyle w:val="BodyText"/>
      </w:pPr>
      <w:r>
        <w:t xml:space="preserve">[D11-19] Minnesota 3M-settlement project report (state.mn.us, 2026-05) — AirSCWO 6 field energy 1.12 kWh/gal (~294 kWh/m³) + 0.06 gal IPA/gal on SAFFF; PFAS destruction cost $1.63–4.88/gal. https://3msettlement.state.mn.us/sites/3msettlement/files/2026-05/c-pfc1-27g.pdf (also cited as [^D3-42^]) (also cited as [^V2D5-23^]) (also cited as [^V2D1-32^])</w:t>
      </w:r>
    </w:p>
    <w:p>
      <w:pPr>
        <w:pStyle w:val="BodyText"/>
      </w:pPr>
      <w:r>
        <w:t xml:space="preserve">[D11-20] Ling 2024, Science of the Total Environment (citing US EPA 2020) — hazardous-waste incineration of PFAS wastes $1,110–1,610/ton. https://www.sciencedirect.com/science/article/abs/pii/S0048969724007861</w:t>
      </w:r>
    </w:p>
    <w:p>
      <w:pPr>
        <w:pStyle w:val="BodyText"/>
      </w:pPr>
      <w:r>
        <w:t xml:space="preserve">[D11-21] Woodard &amp; Curran presentation (NEWMOA, April 2024) — SCWO on PFAS concentrates ~500 kWh/m³; HALT ~350 kWh/m³ on still bottoms; salt plugging and HF corrosion challenges. https://www.newmoa.org/wp-content/uploads/2024/08/WoodardDestructionApril2024.pdf</w:t>
      </w:r>
    </w:p>
    <w:p>
      <w:pPr>
        <w:pStyle w:val="BodyText"/>
      </w:pPr>
      <w:r>
        <w:t xml:space="preserve">[D11-22] Aclarity blog/whitepaper + Aquatech (2023–2024) — electrochemical oxidation energy as low as 40–100 Wh/gal (~10–26 kWh/m³) in fielded pilots; per-gallon service model. https://www.aclaritywater.com/blog/pfas-destruction/</w:t>
      </w:r>
    </w:p>
    <w:p>
      <w:pPr>
        <w:pStyle w:val="BodyText"/>
      </w:pPr>
      <w:r>
        <w:t xml:space="preserve">[D11-23] SWANA FL / ESD leachate committee presentation (Cooper, 2023) — EOx class power 0.125–0.5 kWh/gal; SCWO cons: cost, HF off-gas, materials, high P/T. https://swanafl.org/wp-content/uploads/2023/04/Cooper.pdf</w:t>
      </w:r>
    </w:p>
    <w:p>
      <w:pPr>
        <w:pStyle w:val="BodyText"/>
      </w:pPr>
      <w:r>
        <w:t xml:space="preserve">[D11-24]</w:t>
      </w:r>
      <w:r>
        <w:t xml:space="preserve"> </w:t>
      </w:r>
      <w:r>
        <w:t xml:space="preserve">“</w:t>
      </w:r>
      <w:r>
        <w:t xml:space="preserve">A Review of PFAS Destruction Technologies,</w:t>
      </w:r>
      <w:r>
        <w:t xml:space="preserve">”</w:t>
      </w:r>
      <w:r>
        <w:t xml:space="preserve"> </w:t>
      </w:r>
      <w:r>
        <w:t xml:space="preserve">PMC9778349 (2022) — plasma full mineralization energy 1,560–2,370 kWh/m³. https://pmc.ncbi.nlm.nih.gov/articles/PMC9778349/</w:t>
      </w:r>
    </w:p>
    <w:p>
      <w:pPr>
        <w:pStyle w:val="BodyText"/>
      </w:pPr>
      <w:r>
        <w:t xml:space="preserve">[D11-26] Energy Conversion &amp; Management (2021) — H₂ round-trip to electricity ~33%; exergy argument for direct electrification. https://www.sciencedirect.com/science/article/pii/S0196890421000947</w:t>
      </w:r>
    </w:p>
    <w:p>
      <w:pPr>
        <w:pStyle w:val="BodyText"/>
      </w:pPr>
      <w:r>
        <w:t xml:space="preserve">[D11-27] Energies (MDPI) 2024,</w:t>
      </w:r>
      <w:r>
        <w:t xml:space="preserve"> </w:t>
      </w:r>
      <w:r>
        <w:t xml:space="preserve">“</w:t>
      </w:r>
      <w:r>
        <w:t xml:space="preserve">Electrification or Hydrogen?</w:t>
      </w:r>
      <w:r>
        <w:t xml:space="preserve">”</w:t>
      </w:r>
      <w:r>
        <w:t xml:space="preserve"> </w:t>
      </w:r>
      <w:r>
        <w:t xml:space="preserve">—</w:t>
      </w:r>
      <w:r>
        <w:t xml:space="preserve"> </w:t>
      </w:r>
      <w:r>
        <w:t xml:space="preserve">“</w:t>
      </w:r>
      <w:r>
        <w:t xml:space="preserve">the round-trip efficiency of process heating via hydrogen has to be lower than with direct electrification</w:t>
      </w:r>
      <w:r>
        <w:t xml:space="preserve">”</w:t>
      </w:r>
      <w:r>
        <w:t xml:space="preserve">; H₂-fired furnace heat-transfer ~66%; electricity→H₂→heat ~55–65%. https://www.mdpi.com/2571-8800/7/4/26</w:t>
      </w:r>
    </w:p>
    <w:p>
      <w:pPr>
        <w:pStyle w:val="BodyText"/>
      </w:pPr>
      <w:r>
        <w:t xml:space="preserve">[D11-28] J. Supercritical Fluids (Wellig 2005/2009); NASA NTRS 20150023100; MDPI Appl. Sci. 2020 review — hydrothermal flames as internal SCWO heat source are lab-scale (ETH transpiring-wall reactor; NASA SCWO-FPV), TRL 3–4, no commercial units. https://ntrs.nasa.gov/api/citations/20150023100/downloads/20150023100.pdf ; https://www.mdpi.com/2076-3417/10/5/1645</w:t>
      </w:r>
    </w:p>
    <w:p>
      <w:pPr>
        <w:pStyle w:val="BodyText"/>
      </w:pPr>
      <w:r>
        <w:t xml:space="preserve">[D11-32] DMAX Plasma / Battelle-conference presentation (2024-06) — plasma demonstrated opex as low as $0.06/gal; ~20 gpm trailer (vendor claim). https://xcdacademy.s3.amazonaws.com/battelle/2024_Chlorinated/E4_1120_416_Knutson.pdf</w:t>
      </w:r>
    </w:p>
    <w:p>
      <w:pPr>
        <w:pStyle w:val="BodyText"/>
      </w:pPr>
      <w:r>
        <w:t xml:space="preserve">[D11-33] Waste Dive sponsored overview + CDPHE (2024) — HALT ~1 kWh/gal, ~5 M NaOH; Aquagga won Colorado AFFF takeback contract ($40/gal foam bounty). https://cdphe.colorado.gov/PFAS/Takeback</w:t>
      </w:r>
    </w:p>
    <w:bookmarkEnd w:id="179"/>
    <w:bookmarkStart w:id="180" w:name="d12"/>
    <w:p>
      <w:pPr>
        <w:pStyle w:val="Heading2"/>
      </w:pPr>
      <w:r>
        <w:t xml:space="preserve">D12</w:t>
      </w:r>
    </w:p>
    <w:p>
      <w:pPr>
        <w:pStyle w:val="FirstParagraph"/>
      </w:pPr>
      <w:r>
        <w:t xml:space="preserve">[D12-1] US EPA WaterSense (2024 data) — US average commercial water $6.13 + wastewater $7.23 per 1,000 gal (~$3.53/m³ combined). https://www.epa.gov/watersense/data-and-information-used-watersense</w:t>
      </w:r>
    </w:p>
    <w:p>
      <w:pPr>
        <w:pStyle w:val="BodyText"/>
      </w:pPr>
      <w:r>
        <w:t xml:space="preserve">[D12-64] US EIA, Electricity Explained — (2025). US industrial electricity 8.62 ¢/kWh — basis for the 180–228 kWh/m³ × price energy-floor calculation (~$15–20/m³ US). https://www.eia.gov/energyexplained/electricity/prices-and-factors-affecting-prices.php</w:t>
      </w:r>
    </w:p>
    <w:p>
      <w:pPr>
        <w:pStyle w:val="BodyText"/>
      </w:pPr>
      <w:r>
        <w:t xml:space="preserve">[D12-16] KAPSARC — Saudi RO desalination levelized cost ~$0.63/m³ (GWI $0.78/m³); average sales price $0.14/m³ (~22% cost recovery). https://www.kapsarc.org/media/gdohzdkd/dp00505-v3-english-modified-to-kapsarc.pdf</w:t>
      </w:r>
    </w:p>
    <w:p>
      <w:pPr>
        <w:pStyle w:val="BodyText"/>
      </w:pPr>
      <w:r>
        <w:t xml:space="preserve">[D12-66] DEWA/SEC context — Saudi/UAE industrial electricity ~$0.05–0.10/kWh modeling band. https://www.coolnetpower.com/blog/modular-data-center-ultimate-guide-tco-pue/</w:t>
      </w:r>
    </w:p>
    <w:p>
      <w:pPr>
        <w:pStyle w:val="BodyText"/>
      </w:pPr>
      <w:r>
        <w:t xml:space="preserve">[D12-67] Eurostat (H2-2025) — EU non-household electricity €18.37/100 kWh (500–2,000 MWh band); Germany €22.64/100 kWh; Finland €7.48/100 kWh. https://ec.europa.eu/eurostat/web/products-eurostat-news/w/ddn-20260508-2</w:t>
      </w:r>
    </w:p>
    <w:p>
      <w:pPr>
        <w:pStyle w:val="BodyText"/>
      </w:pPr>
      <w:r>
        <w:t xml:space="preserve">[D12-69] China Briefing — China industrial power ~$0.088/kWh average (2024). https://www.china-briefing.com/news/chinas-industrial-power-rates-category-electricity-usage-region-classification/</w:t>
      </w:r>
    </w:p>
    <w:p>
      <w:pPr>
        <w:pStyle w:val="BodyText"/>
      </w:pPr>
      <w:r>
        <w:t xml:space="preserve">[D12-70] GlobalPetrolPrices — China business retail electricity CNY 0.782 ≈ $0.116/kWh (Dec 2025). https://www.globalpetrolprices.com/China/electricity_prices/</w:t>
      </w:r>
    </w:p>
    <w:p>
      <w:pPr>
        <w:pStyle w:val="BodyText"/>
      </w:pPr>
      <w:r>
        <w:t xml:space="preserve">[D12-71] GlobalPetrolPrices — India business electricity INR 10.31 ≈</w:t>
      </w:r>
      <w:r>
        <w:t xml:space="preserve"> </w:t>
      </w:r>
      <w:r>
        <w:t xml:space="preserve">$0.108/kWh (Dec 2025). `hcsp_sec01_energy_floor.png` — horizontal bar chart of regional industrial electricity prices applied to the HCSP's 75–95 kW startup/auxiliary specification (US$</w:t>
      </w:r>
      <w:r>
        <w:t xml:space="preserve">/m³ equivalent if drawn continuously: 180–228 kWh/m³ × regional industrial electricity price; [^S1^], [^D12-64^], [^D12-66^], [^D12-67^], [^D12-69^], [^D12-70^], [^D12-71^]), with the US combined water+sewer price ($3.53/m³, EPA 2024; [^D12-1^]) as reference line. Per the manufacturer the system is self-fueling in operation, so the chart bounds auxiliary-load cost and values exported energy rather than setting a treatment cost. https://www.globalpetrolprices.com/India/electricity_prices/</w:t>
      </w:r>
    </w:p>
    <w:p>
      <w:pPr>
        <w:pStyle w:val="BodyText"/>
      </w:pPr>
      <w:r>
        <w:t xml:space="preserve">[D12-9] GWI via Water Magazine — 2024-10 — GWI 2024 Global Water Tariff Survey: record +10.7% global combined bill increase; W. Europe +6.8%; N. America +5.5% https://www.watermagazine.co.uk/2024/10/02/tariff-increases-accelerate-to-record-breaking-levels-as-utilities-invest-in-resilience-according-to-newly-released-global-water-tariff-survey-report/</w:t>
      </w:r>
    </w:p>
    <w:p>
      <w:pPr>
        <w:pStyle w:val="BodyText"/>
      </w:pPr>
      <w:r>
        <w:t xml:space="preserve">[D12-14] Wikipedia (PUB tariff data) / Our Future Water Intelligence — — 2025 — Singapore tariffs from Apr 2025: potable S$3.24/m³, NEWater S$2.50/m³, industrial water S$1.75/m³ https://en.wikipedia.org/wiki/Water_supply_and_sanitation_in_Singapore ; https://ourfuturewaterintelligence.com/blogs/news/unified-water-governance-why-singapore-s-pub-model-works</w:t>
      </w:r>
    </w:p>
    <w:p>
      <w:pPr>
        <w:pStyle w:val="BodyText"/>
      </w:pPr>
      <w:r>
        <w:t xml:space="preserve">[D12-19] MarketsandMarkets / Custom Market Insights / MRFR — — 2025 — Global water-reuse market estimates $17.9–21B (2025) → $29.6–49.4B (2030–35), ~10% CAGR; commercial reports, divergent https://www.marketsandmarkets.com/PressReleases/water-recycle-reuse.asp ; https://www.custommarketinsights.com/report/water-recycle-and-reuse-market/ ; https://www.marketresearchfuture.com/reports/water-recycle-reuse-market-25166</w:t>
      </w:r>
    </w:p>
    <w:p>
      <w:pPr>
        <w:pStyle w:val="BodyText"/>
      </w:pPr>
      <w:r>
        <w:t xml:space="preserve">[D12-53] National Law Review — 2025 — EPA April 2025 PFAS action plan: effluent limitation guidelines for PFAS manufacturers/metal finishers; OCPSF rule withdrawn then re-agendized https://natlawreview.com/article/trump-epa-announces-upcoming-actions-address-pfas</w:t>
      </w:r>
    </w:p>
    <w:p>
      <w:pPr>
        <w:pStyle w:val="BodyText"/>
      </w:pPr>
      <w:r>
        <w:t xml:space="preserve">[D12-63] NMCG/TERI policy brief (TADOX) — 2025 — India ZLD applies to textile units &gt;25 m³/day discharge, but cluster rules apply irrespective of discharge volume https://nmcgtericoe-wr.in/assets/pdf/publication/Policy_Brief_TADOX_Technology.pdf</w:t>
      </w:r>
    </w:p>
    <w:p>
      <w:pPr>
        <w:pStyle w:val="BodyText"/>
      </w:pPr>
      <w:r>
        <w:t xml:space="preserve">[D12-11] Shayp utility survey — EU combined water+wastewater tariffs €1.07 (Bulgaria)–€7.12/m³ (Copenhagen); Berlin ~€4.30. https://www.shayp.com/blog/the-complexity-of-water-pricing-in-europe</w:t>
      </w:r>
    </w:p>
    <w:p>
      <w:pPr>
        <w:pStyle w:val="BodyText"/>
      </w:pPr>
      <w:r>
        <w:t xml:space="preserve">[D12-17] ifactoryapp — India ZLD OPEX ₹180–350/m³ (~$2.2–4.2/m³) for RO+MEE+ATFD trains. https://ifactoryapp.com/industries/textile-manufacturing/zero-liquid-discharge-textile-mills-india</w:t>
      </w:r>
    </w:p>
    <w:p>
      <w:pPr>
        <w:pStyle w:val="BodyText"/>
      </w:pPr>
      <w:r>
        <w:t xml:space="preserve">[D12-23] US EPA water reuse summaries — California Title 22 recycled-water criteria; basis for ≥14 states’ industrial reuse rules. https://www.epa.gov/waterreuse/summary-californias-water-reuse-guideline-or-regulation-impoundments</w:t>
      </w:r>
    </w:p>
    <w:p>
      <w:pPr>
        <w:pStyle w:val="BodyText"/>
      </w:pPr>
      <w:r>
        <w:t xml:space="preserve">[D12-31] WEFTEC 2025 paper — Texas produced-water beneficial reuse; industrial reuse without permit contingent on quality. https://weftec25.mapyourshow.com/8_0/sessions/session-details.cfm?ScheduleID=37&amp;</w:t>
      </w:r>
    </w:p>
    <w:p>
      <w:pPr>
        <w:pStyle w:val="BodyText"/>
      </w:pPr>
      <w:r>
        <w:t xml:space="preserve">[D12-32] BDLaw — Texas HB 49/SB 1145 consolidate TCEQ authority over treated produced-water discharge/reuse. https://www.bdlaw.com/publications/emerging-developments-in-the-treatment-and-beneficial-use-of-produced-water-in-texas/</w:t>
      </w:r>
    </w:p>
    <w:p>
      <w:pPr>
        <w:pStyle w:val="BodyText"/>
      </w:pPr>
      <w:r>
        <w:t xml:space="preserve">[D12-37] US ITA Country Commercial Guide (2025-09) — China 14th FYP: +15 Mm³/day reclaimed capacity; &gt;25%/35% reuse mandates; reuse market $2.07B (2023) → $4.06B (2030). https://www.trade.gov/country-commercial-guides/china-environmental-technology</w:t>
      </w:r>
    </w:p>
    <w:p>
      <w:pPr>
        <w:pStyle w:val="BodyText"/>
      </w:pPr>
      <w:r>
        <w:t xml:space="preserve">[D12-43] Journal of Futures Studies — Saudi Vision 2030: 70% treated-wastewater reuse by 2030, &gt;90% by 2040. https://jfsdigital.org/wastewater-in-kingdom-of-saudi-arabia-ksa-a-resource-for-water-energy-and-food-security-in-2030/</w:t>
      </w:r>
    </w:p>
    <w:p>
      <w:pPr>
        <w:pStyle w:val="BodyText"/>
      </w:pPr>
      <w:r>
        <w:t xml:space="preserve">[D12-48] eolas Magazine — recast UWWTD (EU) 2024/3019: mandatory quaternary micropollutant treatment; EPR on pharma/cosmetics. https://www.eolasmagazine.ie/what-the-recast-urban-waste-water-treatment-directive-means-for-ireland/</w:t>
      </w:r>
    </w:p>
    <w:p>
      <w:pPr>
        <w:pStyle w:val="BodyText"/>
      </w:pPr>
      <w:r>
        <w:t xml:space="preserve">[D12-62] Spans Envirotech — CPCB effluent standards for textile dyeing; NGT closure enforcement. https://spans.co.in/knowledge/cpcb-effluent-standards-textile-dyeing/</w:t>
      </w:r>
    </w:p>
    <w:p>
      <w:pPr>
        <w:pStyle w:val="BodyText"/>
      </w:pPr>
      <w:r>
        <w:t xml:space="preserve">[D12-65] EIA state tables (via Jackery compilation) — state industrial price range: TX 6.6 ¢, FL 8.7 ¢, CA ~24 ¢ commercial, high-cost NE 17–22 ¢/kWh. https://www.jackery.com/blogs/knowledge/what-is-the-average-electric-bill-in-florida</w:t>
      </w:r>
    </w:p>
    <w:p>
      <w:pPr>
        <w:pStyle w:val="BodyText"/>
      </w:pPr>
      <w:r>
        <w:t xml:space="preserve">[D12-74] energy-solutions.co (BNEF/IEA data) — green H₂ LCOH 2025 $3.7–11.7/kg; MENA best-case on $10–15/MWh solar PPAs. https://energy-solutions.co/articles/sub/green-hydrogen-production-costs</w:t>
      </w:r>
    </w:p>
    <w:bookmarkEnd w:id="180"/>
    <w:bookmarkStart w:id="181" w:name="v2d1"/>
    <w:p>
      <w:pPr>
        <w:pStyle w:val="Heading2"/>
      </w:pPr>
      <w:r>
        <w:t xml:space="preserve">V2D1</w:t>
      </w:r>
    </w:p>
    <w:p>
      <w:pPr>
        <w:pStyle w:val="FirstParagraph"/>
      </w:pPr>
      <w:r>
        <w:t xml:space="preserve">[V2D1-4] LANL SCWDO report, OSTI 1990108 (2022) — Net energy falls from +18 to −60 kWhₑ/m³ as feed hydrocarbon rises 0→53 g/L (net-zero ≈12–13 g/L HC ≈ 35–40 g/L COD); reheat Rankine 37.8% thermal-to-electric. Confidence: High (model). https://www.osti.gov/servlets/purl/1990108 (also cited as [^D11-35^]) (also cited as [^V2D5-15^])</w:t>
      </w:r>
    </w:p>
    <w:p>
      <w:pPr>
        <w:pStyle w:val="BodyText"/>
      </w:pPr>
      <w:r>
        <w:t xml:space="preserve">[V2D1-26] Concawe Report 25-6, European refiners’ association SCWO/WAO review (2025) — Electricity generation possible above 100 g/L influent COD; max reported single-train throughput 306 t/d. Confidence: High. https://www.concawe.eu/wp-content/uploads/Rpt_25-6.pdf (also cited as [^V2D2-67^])</w:t>
      </w:r>
    </w:p>
    <w:p>
      <w:pPr>
        <w:pStyle w:val="BodyText"/>
      </w:pPr>
      <w:r>
        <w:t xml:space="preserve">[V2D1-E1] hcsp_v2_dim01.md §3–4 scale-ladder cost model (analyst model with stated assumptions) — 10/100/1,000/1,900 m³/d ladder: CapEx $3.0–4.5M / $12–32M / $48–226M / $70–389M; net energy 130–250 / 80–160 / 45–110 / 35–88 kWh/m³ (dilute feed); fully loaded ~$215–310 / $76–180 / $33–120 / $28–110 per m³; autothermal-feed sensitivity converges to LANL $2–10/m³ band.</w:t>
      </w:r>
    </w:p>
    <w:p>
      <w:pPr>
        <w:pStyle w:val="BodyText"/>
      </w:pPr>
      <w:r>
        <w:t xml:space="preserve">[V2D1-11] NETL QGESS</w:t>
      </w:r>
      <w:r>
        <w:t xml:space="preserve"> </w:t>
      </w:r>
      <w:r>
        <w:t xml:space="preserve">“</w:t>
      </w:r>
      <w:r>
        <w:t xml:space="preserve">Capital Cost Scaling Methodology: Revision 4a,</w:t>
      </w:r>
      <w:r>
        <w:t xml:space="preserve">”</w:t>
      </w:r>
      <w:r>
        <w:t xml:space="preserve"> </w:t>
      </w:r>
      <w:r>
        <w:t xml:space="preserve">OSTI 1893821 (2022-10) — vendor-quote-derived equipment cost exponents; authoritative basis for n ≈ 0.5–0.7 scaling. https://www.osti.gov/servlets/purl/1893821</w:t>
      </w:r>
    </w:p>
    <w:p>
      <w:pPr>
        <w:pStyle w:val="BodyText"/>
      </w:pPr>
      <w:r>
        <w:t xml:space="preserve">[V2D1-17] Energies 17:6084 review (UTS repository, 2024) — historical SCWO plant data: Chematur 1.1 t/h opex £70/tDS (~$105); Harlingen HydroProcessing 150 t/d; SuperWater Orlando $33.7M capex. https://opus.lib.uts.edu.au/bitstream/10453/185147/2/energies-17-06084-v2.pdf</w:t>
      </w:r>
    </w:p>
    <w:p>
      <w:pPr>
        <w:pStyle w:val="BodyText"/>
      </w:pPr>
      <w:r>
        <w:t xml:space="preserve">[V2D1-27] WSAA</w:t>
      </w:r>
      <w:r>
        <w:t xml:space="preserve"> </w:t>
      </w:r>
      <w:r>
        <w:t xml:space="preserve">“</w:t>
      </w:r>
      <w:r>
        <w:t xml:space="preserve">Weighing up the options</w:t>
      </w:r>
      <w:r>
        <w:t xml:space="preserve">”</w:t>
      </w:r>
      <w:r>
        <w:t xml:space="preserve"> </w:t>
      </w:r>
      <w:r>
        <w:t xml:space="preserve">report (Australian water utilities, 2025) — SCWO on 10% DS sludge is a net energy producer: 3.0–3.5 MWh/tDS potential production vs 0.5–10 MWh/tDS consumption. files/library/report/Weighing up the options - WSAA 2025.pdf https://wsaa.asn.au/Common/Uploaded</w:t>
      </w:r>
    </w:p>
    <w:p>
      <w:pPr>
        <w:pStyle w:val="BodyText"/>
      </w:pPr>
      <w:r>
        <w:t xml:space="preserve">[V2D1-10] Florida Tech thesis,</w:t>
      </w:r>
      <w:r>
        <w:t xml:space="preserve"> </w:t>
      </w:r>
      <w:r>
        <w:t xml:space="preserve">“</w:t>
      </w:r>
      <w:r>
        <w:t xml:space="preserve">An Analysis of Capital Cost Estimation Techniques</w:t>
      </w:r>
      <w:r>
        <w:t xml:space="preserve">”</w:t>
      </w:r>
      <w:r>
        <w:t xml:space="preserve"> </w:t>
      </w:r>
      <w:r>
        <w:t xml:space="preserve">— Measured cost exponents: vessels 0.30–0.90, shell-and-tube HX 0.41–0.67, pumps 0.50–0.58 (Turton / Towler &amp; Sinnott / Aspen ACCE). Confidence: Medium-High. https://repository.fit.edu/cgi/viewcontent.cgi?article=1585&amp;context=etd</w:t>
      </w:r>
    </w:p>
    <w:p>
      <w:pPr>
        <w:pStyle w:val="BodyText"/>
      </w:pPr>
      <w:r>
        <w:t xml:space="preserve">[V2D1-19] Vatten journal (tidskriftenvatten.se), 2005-era — Ringsjöverket (Sweden) full-scale Aqua Critox SCWO: ~$4–5M investment; all heating produced by the SCWO plant; sludge COD &gt;70 g/L. Confidence: Medium-High. https://www.tidskriftenvatten.se/wp-content/uploads/2017/04/48_article_3542.pdf</w:t>
      </w:r>
    </w:p>
    <w:p>
      <w:pPr>
        <w:pStyle w:val="BodyText"/>
      </w:pPr>
      <w:r>
        <w:t xml:space="preserve">[V2D1-22] Process Safety &amp; Environmental Protection (2021),</w:t>
      </w:r>
      <w:r>
        <w:t xml:space="preserve"> </w:t>
      </w:r>
      <w:r>
        <w:t xml:space="preserve">“</w:t>
      </w:r>
      <w:r>
        <w:t xml:space="preserve">Novel designs for reliability and safety of SCWO for sludge treatment</w:t>
      </w:r>
      <w:r>
        <w:t xml:space="preserve">”</w:t>
      </w:r>
      <w:r>
        <w:t xml:space="preserve"> </w:t>
      </w:r>
      <w:r>
        <w:t xml:space="preserve">— Heat self-sufficiency at organic mass concentration above ~3 wt%. Confidence: High. https://www.sciencedirect.com/science/article/abs/pii/S0957582020318504</w:t>
      </w:r>
    </w:p>
    <w:p>
      <w:pPr>
        <w:pStyle w:val="BodyText"/>
      </w:pPr>
      <w:r>
        <w:t xml:space="preserve">[V2D1-28] Energy Conversion &amp; Management (2024-06) — SCWO+ORC cogeneration simulation: 14.96% electrical, 62.28% cogeneration efficiency; $7.49M/yr net income. Confidence: High (simulation). https://www.sciencedirect.com/science/article/abs/pii/S0196890422007105</w:t>
      </w:r>
    </w:p>
    <w:p>
      <w:pPr>
        <w:pStyle w:val="BodyText"/>
      </w:pPr>
      <w:r>
        <w:t xml:space="preserve">[V2D1-33] tlk-energy pinch methodology; ipieca energy-efficiency compendium (2022–2026) — — Pinch super-targeting trades HX area vs utility cost; applied heuristically to the recovery-vs-scale argument. Confidence: High (methodology). https://tlk-energy.de/blog-en/pinch-analysis ; https://www.ipieca.org/resources/energy-efficiency-compendium/pinch-analysis-2022</w:t>
      </w:r>
    </w:p>
    <w:p>
      <w:pPr>
        <w:pStyle w:val="BodyText"/>
      </w:pPr>
      <w:r>
        <w:t xml:space="preserve">[V2D1-34] TFES / mypipingnotes ASME Section VIII explainers (2025–2026) — — Div 1 customary ≤3,000 psig; Div 2 to 10,000 psig (design-by-analysis, fatigue evaluation); Div 3 above. Confidence: High (standard code practice; secondary sources). https://www.tfes.com/asme-section-viii-div-1-vs-div-2-for-pressure-vessels/ ; https://mypipingnotes.com/asme-section-viii-division-2-explained/ (also cited as [^V2D1-38^])</w:t>
      </w:r>
    </w:p>
    <w:p>
      <w:pPr>
        <w:pStyle w:val="BodyText"/>
      </w:pPr>
      <w:r>
        <w:t xml:space="preserve">[V2D1-35] metalspiping.com ASME materials note — Inconel 625 code qualification and temperature limits; impact-strength loss after 1,000–1,400 °F exposure. Confidence: Medium-High. http://www.metalspiping.com/inconel-alloy-625-applied-for-asme-bpvc.html</w:t>
      </w:r>
    </w:p>
    <w:p>
      <w:pPr>
        <w:pStyle w:val="BodyText"/>
      </w:pPr>
      <w:r>
        <w:t xml:space="preserve">[V2D1-37] Industrial plunger-pump catalogs (goldsupplier / firgelliauto, 2025–2026) — — 250–300 L/min at 250–300 bar commercially available (≈360 m³/d per pump). Confidence: Medium-High (catalog data). https://www.goldsupplier.com/provide/p173127659.html ; https://www.firgelliauto.com/blogs/mechanisms/plunger-pump</w:t>
      </w:r>
    </w:p>
    <w:bookmarkEnd w:id="181"/>
    <w:bookmarkStart w:id="182" w:name="v2d2"/>
    <w:p>
      <w:pPr>
        <w:pStyle w:val="Heading2"/>
      </w:pPr>
      <w:r>
        <w:t xml:space="preserve">V2D2</w:t>
      </w:r>
    </w:p>
    <w:p>
      <w:pPr>
        <w:pStyle w:val="FirstParagraph"/>
      </w:pPr>
      <w:r>
        <w:t xml:space="preserve">[V2D2-66] MDPI Processes (2021),</w:t>
      </w:r>
      <w:r>
        <w:t xml:space="preserve"> </w:t>
      </w:r>
      <w:r>
        <w:t xml:space="preserve">“</w:t>
      </w:r>
      <w:r>
        <w:t xml:space="preserve">Analysis of the Energy Flow in a Municipal WWTP Based on a SCWO Reactor Coupled to a Gas Turbine</w:t>
      </w:r>
      <w:r>
        <w:t xml:space="preserve">”</w:t>
      </w:r>
      <w:r>
        <w:t xml:space="preserve"> </w:t>
      </w:r>
      <w:r>
        <w:t xml:space="preserve">— (2021-07-17). Wastewater energy content 13.88 kJ/g COD (conservative); autothermal needs ≥930 kJ/kg feed ≈ 67 g COD/L; 25 MPa/400 °C operation. Confidence: High (peer-reviewed). Basis for the 6.4–11.2 MW_th surplus-heat band at 1,000 m³/d on 100 g/L COD feed (with heat-recovery range per dimension evidence). https://www.mdpi.com/2227-9717/9/7/1237</w:t>
      </w:r>
    </w:p>
    <w:p>
      <w:pPr>
        <w:pStyle w:val="BodyText"/>
      </w:pPr>
      <w:r>
        <w:t xml:space="preserve">[V2D2-2] SCIRP,</w:t>
      </w:r>
      <w:r>
        <w:t xml:space="preserve"> </w:t>
      </w:r>
      <w:r>
        <w:t xml:space="preserve">“</w:t>
      </w:r>
      <w:r>
        <w:t xml:space="preserve">Sorption Refrigeration Technologies Literature Review</w:t>
      </w:r>
      <w:r>
        <w:t xml:space="preserve">”</w:t>
      </w:r>
      <w:r>
        <w:t xml:space="preserve"> </w:t>
      </w:r>
      <w:r>
        <w:t xml:space="preserve">— 2026-02-04. Ammonia-water absorption COP 0.4–0.6 with sub-zero capability; LiBr-water COP 0.7–0.8 above 0 °C. https://www.scirp.org/journal/paperinformation?paperid=149381</w:t>
      </w:r>
    </w:p>
    <w:p>
      <w:pPr>
        <w:pStyle w:val="BodyText"/>
      </w:pPr>
      <w:r>
        <w:t xml:space="preserve">[V2D2-5] Thermax Europe,</w:t>
      </w:r>
      <w:r>
        <w:t xml:space="preserve"> </w:t>
      </w:r>
      <w:r>
        <w:t xml:space="preserve">“</w:t>
      </w:r>
      <w:r>
        <w:t xml:space="preserve">Absorption Chillers</w:t>
      </w:r>
      <w:r>
        <w:t xml:space="preserve">”</w:t>
      </w:r>
      <w:r>
        <w:t xml:space="preserve"> </w:t>
      </w:r>
      <w:r>
        <w:t xml:space="preserve">— 2026-04-24. Single-effect hot-water (70–120 °C) units 175–6,000 kW; exhaust-fired trigeneration chillers 700–10,000 kW; total energy utilization exceeding 85% (vendor datasheet; commercial absorption lines from Robur at 17 kW up to Thermax/BROAD multi-MW). https://thermax-europe.com/absorption-chillers/</w:t>
      </w:r>
    </w:p>
    <w:p>
      <w:pPr>
        <w:pStyle w:val="BodyText"/>
      </w:pPr>
      <w:r>
        <w:t xml:space="preserve">[V2D2-3] Hixson Architecture/Engineering,</w:t>
      </w:r>
      <w:r>
        <w:t xml:space="preserve"> </w:t>
      </w:r>
      <w:r>
        <w:t xml:space="preserve">“</w:t>
      </w:r>
      <w:r>
        <w:t xml:space="preserve">Ammonia Absorption Refrigeration in Industrial Processes: A Design Guide</w:t>
      </w:r>
      <w:r>
        <w:t xml:space="preserve">”</w:t>
      </w:r>
      <w:r>
        <w:t xml:space="preserve"> </w:t>
      </w:r>
      <w:r>
        <w:t xml:space="preserve">(2026-05) — NH₃ absorption heat source 95–180 °C; most viable applications ≥500 refrigeration tons continuous load; OSHA PSM / IIAR 2 safety codes. https://hixson-inc.com/feeds/blog/ammonia-absorption-refrigeration-industrial-processes</w:t>
      </w:r>
    </w:p>
    <w:p>
      <w:pPr>
        <w:pStyle w:val="BodyText"/>
      </w:pPr>
      <w:r>
        <w:t xml:space="preserve">[V2D2-23] Energy Concepts, Bloomfield refinery final report — field-measured COP of waste-heat ammonia absorption unit: 0.28–0.37. https://www.energy-concepts.com/_pdfs/bloomfield_refinery_final_report_april_15.pdf</w:t>
      </w:r>
    </w:p>
    <w:p>
      <w:pPr>
        <w:pStyle w:val="BodyText"/>
      </w:pPr>
      <w:r>
        <w:t xml:space="preserve">[V2D2-25] US DOE,</w:t>
      </w:r>
      <w:r>
        <w:t xml:space="preserve"> </w:t>
      </w:r>
      <w:r>
        <w:t xml:space="preserve">“</w:t>
      </w:r>
      <w:r>
        <w:t xml:space="preserve">Absorption Chillers for CHP Systems</w:t>
      </w:r>
      <w:r>
        <w:t xml:space="preserve">”</w:t>
      </w:r>
      <w:r>
        <w:t xml:space="preserve"> </w:t>
      </w:r>
      <w:r>
        <w:t xml:space="preserve">(CHP Technology Fact Sheet, 2017-era dollars) — installed cost $1,800–6,000/ton single-stage; $1,600–3,300/ton two-stage. https://www.energy.gov/sites/prod/files/2017/06/f35/CHP-Absorption%20Chiller-compliant.pdf</w:t>
      </w:r>
    </w:p>
    <w:p>
      <w:pPr>
        <w:pStyle w:val="BodyText"/>
      </w:pPr>
      <w:r>
        <w:t xml:space="preserve">[V2D2-42] Cloud Analyst,</w:t>
      </w:r>
      <w:r>
        <w:t xml:space="preserve"> </w:t>
      </w:r>
      <w:r>
        <w:t xml:space="preserve">“</w:t>
      </w:r>
      <w:r>
        <w:t xml:space="preserve">When Compute Meets Concrete</w:t>
      </w:r>
      <w:r>
        <w:t xml:space="preserve">”</w:t>
      </w:r>
      <w:r>
        <w:t xml:space="preserve"> </w:t>
      </w:r>
      <w:r>
        <w:t xml:space="preserve">— district-cooling resale benchmarks (Singapore Marina Bay, Dubai Empower) selling chilled water as metered utility; Stockholm Exergi data-center heat purchases since 2014; Meta Odense ~100,000 MWh/yr heat recovery. http://cloudanalyst.net/papers/when-compute-meets-concrete.html</w:t>
      </w:r>
    </w:p>
    <w:p>
      <w:pPr>
        <w:pStyle w:val="BodyText"/>
      </w:pPr>
      <w:r>
        <w:t xml:space="preserve">[V2D2-68] WaterAndWastewater.com process insights (2026-04) — heat-recovery trains recover 70–85% of reaction heat; industrial wastewater COD variability of 3–10× is common. https://www.waterandwastewater.com/wet-air-oxidation-in-wastewater-treatment-efficiency-and-process-insights/</w:t>
      </w:r>
    </w:p>
    <w:p>
      <w:pPr>
        <w:pStyle w:val="BodyText"/>
      </w:pPr>
      <w:r>
        <w:t xml:space="preserve">[V2D2-71] Energies review (2023),</w:t>
      </w:r>
      <w:r>
        <w:t xml:space="preserve"> </w:t>
      </w:r>
      <w:r>
        <w:t xml:space="preserve">“</w:t>
      </w:r>
      <w:r>
        <w:t xml:space="preserve">Applications of Supercritical Water in Waste Treatment and Valorization</w:t>
      </w:r>
      <w:r>
        <w:t xml:space="preserve">”</w:t>
      </w:r>
      <w:r>
        <w:t xml:space="preserve"> </w:t>
      </w:r>
      <w:r>
        <w:t xml:space="preserve">— Cádiz 1,000 kg/h oily-waste SCWO pilot recovers max 118 kW = 71% of feed chemical energy; SCWO power-station analog yields 37–40%. https://rodin.uca.es/bitstream/handle/10498/30778/energies-16-02081-v2.pdf</w:t>
      </w:r>
    </w:p>
    <w:p>
      <w:pPr>
        <w:pStyle w:val="BodyText"/>
      </w:pPr>
      <w:r>
        <w:t xml:space="preserve">[V2D2-E1] hcsp_v2_dim02.md §6 heat-allocation model (analyst model, assumptions stated) — 1,000 m³/day plant: Q_rxn 9.6/16.1/24.1/32.1 MW_th at 60/100/150/200 g/L COD; exportable surplus 6.4–11.2 MW_th at 100 g/L (η = 0.70–0.85); Option B cascade (turbine at ~15% → 1.4 MW_e + NH₃ absorption → 4.9 MW_c / 1,392 RT) ≈ $1.15M/yr combined value at $0.10/kWh, 8,000 h/yr.</w:t>
      </w:r>
    </w:p>
    <w:p>
      <w:pPr>
        <w:pStyle w:val="BodyText"/>
      </w:pPr>
      <w:r>
        <w:t xml:space="preserve">[V2D2-E2] hcsp_v2_dim02.md §7 trigeneration value-stack assessment (analyst model) — per-MWh_th value hierarchy: power $15–20 &gt; district chilled water $30–48 (buyer-dependent) &gt; absorption cooling ~$10 (avoided electricity) &gt; district heat $10–30; base-case portfolio $2.1–4.8M/yr vs $0.3–1.6M/yr for water alone; cooling adds 30–60% in avoided-electricity terms and can double the stack where chilled water is sold.</w:t>
      </w:r>
    </w:p>
    <w:p>
      <w:pPr>
        <w:pStyle w:val="BodyText"/>
      </w:pPr>
      <w:r>
        <w:t xml:space="preserve">[V2D2-29] IAEI Magazine, 2025 data-center electricity analysis — Cooling = 30–40% of total data-center power, second-largest electricity user. Confidence: High. https://iaeimagazine.org/electrical-fundamentals/how-much-electricity-does-a-data-center-use-complete-2025-analysis/</w:t>
      </w:r>
    </w:p>
    <w:p>
      <w:pPr>
        <w:pStyle w:val="BodyText"/>
      </w:pPr>
      <w:r>
        <w:t xml:space="preserve">[V2D2-E1] hcsp_v2_dim02.md §7 quantified heat-value hierarchy (analyst model, assumptions stated) — value per MWh_th of surplus heat: power $15–20; absorption cooling ~$10 avoided electricity; chilled water sold at district-cooling tariffs $30–48 (only where an anchor load/network exists).</w:t>
      </w:r>
    </w:p>
    <w:p>
      <w:pPr>
        <w:pStyle w:val="BodyText"/>
      </w:pPr>
      <w:r>
        <w:t xml:space="preserve">[V2D2-4] Hixson (same as [^V2D2-3^]) — COP: single-effect ammonia absorption 0.6–0.75; double-effect 1.0–1.2; vapor compression 4.0–6.0. Confidence: High.</w:t>
      </w:r>
    </w:p>
    <w:p>
      <w:pPr>
        <w:pStyle w:val="BodyText"/>
      </w:pPr>
      <w:r>
        <w:t xml:space="preserve">[V2D2-7] Thermax Global, Absorption Cooling — (2025-09-01) — Single-effect steam chiller line 50–3,500 TR (175–12,300 kW), COP 0.8. Confidence: High. https://www.thermaxglobal.com/absorption_cooling/</w:t>
      </w:r>
    </w:p>
    <w:p>
      <w:pPr>
        <w:pStyle w:val="BodyText"/>
      </w:pPr>
      <w:r>
        <w:t xml:space="preserve">[V2D2-8] BROAD India blog, ammonia absorption chiller for sub-zero cooling — (2026-07-18) — Ammonia cycle reaches evaporation temperatures LiBr cannot approach. Confidence: Medium-High (vendor). https://www.broadindia.com/blogs/ammonia-absorption-chiller-sub-zero-cooling</w:t>
      </w:r>
    </w:p>
    <w:p>
      <w:pPr>
        <w:pStyle w:val="BodyText"/>
      </w:pPr>
      <w:r>
        <w:t xml:space="preserve">[V2D2-14] BROAD India, waste-heat LiBr chillers — 233–11,630 kW (66–3,307 RT) waste-heat chillers for CHP/CCHP/district energy. Confidence: High (vendor). https://www.broadindia.com/vapour-absorption-chiller/waste-heat-chiller</w:t>
      </w:r>
    </w:p>
    <w:p>
      <w:pPr>
        <w:pStyle w:val="BodyText"/>
      </w:pPr>
      <w:r>
        <w:t xml:space="preserve">[V2D2-16] YORK / Johnson Controls absorption chiller product pages — YORK manufacturing absorption chillers since 1960; single/double-effect lines. Confidence: High. https://www.york.com/products-and-solutions/chilled-water-systems/absorption-chillers</w:t>
      </w:r>
    </w:p>
    <w:p>
      <w:pPr>
        <w:pStyle w:val="BodyText"/>
      </w:pPr>
      <w:r>
        <w:t xml:space="preserve">[V2D2-21] Colibri b.v. — Waste-heat ammonia absorption plants from ~150 kW; 750 kW at −10 °C dairy installation; temperatures to −60 °C. Confidence: High (vendor project reference). https://colibri-bv.com/</w:t>
      </w:r>
    </w:p>
    <w:p>
      <w:pPr>
        <w:pStyle w:val="BodyText"/>
      </w:pPr>
      <w:r>
        <w:t xml:space="preserve">[V2D2-22] Politecnico di Torino PhD thesis — Commercial NH₃–H₂O absorption sizes: Robur 17–105 kW; Energy Concepts 280 kW at −30 °C, COP 0.45; Colibri 320 kW at −9 °C; single-stage COP below 0.75. Confidence: High (academic survey). https://webthesis.biblio.polito.it/16364/1/tesi.pdf</w:t>
      </w:r>
    </w:p>
    <w:p>
      <w:pPr>
        <w:pStyle w:val="BodyText"/>
      </w:pPr>
      <w:r>
        <w:t xml:space="preserve">[V2D2-24] Hixson,</w:t>
      </w:r>
      <w:r>
        <w:t xml:space="preserve"> </w:t>
      </w:r>
      <w:r>
        <w:t xml:space="preserve">“</w:t>
      </w:r>
      <w:r>
        <w:t xml:space="preserve">Understanding Industrial Ammonia Refrigeration Systems</w:t>
      </w:r>
      <w:r>
        <w:t xml:space="preserve">”</w:t>
      </w:r>
      <w:r>
        <w:t xml:space="preserve"> </w:t>
      </w:r>
      <w:r>
        <w:t xml:space="preserve">— (2026-06-01) — Ammonia = 42.4% of industrial refrigeration market (2025); &gt;95% of US refrigerated warehouses use ammonia; OSHA PSM threshold context. Confidence: High. https://hixson-inc.com/feeds/blog/industrial-ammonia-refrigeration</w:t>
      </w:r>
    </w:p>
    <w:p>
      <w:pPr>
        <w:pStyle w:val="BodyText"/>
      </w:pPr>
      <w:r>
        <w:t xml:space="preserve">[V2D2-26]</w:t>
      </w:r>
      <w:r>
        <w:t xml:space="preserve"> </w:t>
      </w:r>
      <w:r>
        <w:t xml:space="preserve">“</w:t>
      </w:r>
      <w:r>
        <w:t xml:space="preserve">Overview of Vapor Absorption Cooling Systems,</w:t>
      </w:r>
      <w:r>
        <w:t xml:space="preserve">”</w:t>
      </w:r>
      <w:r>
        <w:t xml:space="preserve"> </w:t>
      </w:r>
      <w:r>
        <w:t xml:space="preserve">Aqua Energy Expo knowledge hub — Absorption equipment ~1.2–1.8× electric chiller cost; larger cooling tower required. Confidence: Medium-High. https://kh.aquaenergyexpo.com/wp-content/uploads/2023/02/Overview-of-Vapor-Absorption-Cooling-Systems.pdf</w:t>
      </w:r>
    </w:p>
    <w:p>
      <w:pPr>
        <w:pStyle w:val="BodyText"/>
      </w:pPr>
      <w:r>
        <w:t xml:space="preserve">[V2D2-27] Lneya Chiller Price Guide 2025 — 2025 absorption chiller market prices $1,000–3,000+/ton installed. Confidence: Medium. https://www.lneya-online.com/en/chiller-price-guide-2025-cost-breakdown-by-type-capacity-and-application.html</w:t>
      </w:r>
    </w:p>
    <w:p>
      <w:pPr>
        <w:pStyle w:val="BodyText"/>
      </w:pPr>
      <w:r>
        <w:t xml:space="preserve">[V2D2-30] arXiv,</w:t>
      </w:r>
      <w:r>
        <w:t xml:space="preserve"> </w:t>
      </w:r>
      <w:r>
        <w:t xml:space="preserve">“</w:t>
      </w:r>
      <w:r>
        <w:t xml:space="preserve">Digital Twin-Based Cooling System Optimization for Data Center</w:t>
      </w:r>
      <w:r>
        <w:t xml:space="preserve">”</w:t>
      </w:r>
      <w:r>
        <w:t xml:space="preserve"> </w:t>
      </w:r>
      <w:r>
        <w:t xml:space="preserve">— (2026-03-07) — Cooling 30–40% of facility electricity; global average PUE stalled at 1.55–1.59 since 2020 (Uptime Institute). Confidence: High. https://arxiv.org/html/2603.01198v3</w:t>
      </w:r>
    </w:p>
    <w:p>
      <w:pPr>
        <w:pStyle w:val="BodyText"/>
      </w:pPr>
      <w:r>
        <w:t xml:space="preserve">[V2D2-57] Mississippi State thesis,</w:t>
      </w:r>
      <w:r>
        <w:t xml:space="preserve"> </w:t>
      </w:r>
      <w:r>
        <w:t xml:space="preserve">“</w:t>
      </w:r>
      <w:r>
        <w:t xml:space="preserve">Optimization of CCHP</w:t>
      </w:r>
      <w:r>
        <w:t xml:space="preserve">”</w:t>
      </w:r>
      <w:r>
        <w:t xml:space="preserve"> </w:t>
      </w:r>
      <w:r>
        <w:t xml:space="preserve">— Cooling-and-power CCHP mode can underperform separate production unless dispatch is optimized (Li et al. 2006). Confidence: High (academic). https://scholarsjunction.msstate.edu/cgi/viewcontent.cgi?article=4398&amp;context=td</w:t>
      </w:r>
    </w:p>
    <w:p>
      <w:pPr>
        <w:pStyle w:val="BodyText"/>
      </w:pPr>
      <w:r>
        <w:t xml:space="preserve">[V2D2-59] Johnson Controls via HVAC-Intelligence — Typical modern water-cooled electric chillers 0.5–0.6 kW/ton (basis for avoided-electricity valuation). Confidence: High. https://www.hvac-intelligence.com/products-services/johnson-controls-expand-magnetic-bearing-chiller-line/</w:t>
      </w:r>
    </w:p>
    <w:bookmarkEnd w:id="182"/>
    <w:bookmarkStart w:id="183" w:name="v2d3"/>
    <w:p>
      <w:pPr>
        <w:pStyle w:val="Heading2"/>
      </w:pPr>
      <w:r>
        <w:t xml:space="preserve">V2D3</w:t>
      </w:r>
    </w:p>
    <w:p>
      <w:pPr>
        <w:pStyle w:val="FirstParagraph"/>
      </w:pPr>
      <w:r>
        <w:t xml:space="preserve">[V2D3-7] RO Service Point — (2026-04-16). Data-center wastewater dominated by high-TDS inorganic cooling-tower blowdown — poor SCWO feed. https://roservicepoint.com/services/how-to-treat-wastewater-from-data-centers-at-low-cost-with-maximum-efficiency/</w:t>
      </w:r>
    </w:p>
    <w:p>
      <w:pPr>
        <w:pStyle w:val="BodyText"/>
      </w:pPr>
      <w:r>
        <w:t xml:space="preserve">[V2D3-9] Microsoft Green Blog; MIT Technology Review — (2014/2012). Microsoft Cheyenne</w:t>
      </w:r>
      <w:r>
        <w:t xml:space="preserve"> </w:t>
      </w:r>
      <w:r>
        <w:t xml:space="preserve">“</w:t>
      </w:r>
      <w:r>
        <w:t xml:space="preserve">Data Plant</w:t>
      </w:r>
      <w:r>
        <w:t xml:space="preserve">”</w:t>
      </w:r>
      <w:r>
        <w:t xml:space="preserve"> </w:t>
      </w:r>
      <w:r>
        <w:t xml:space="preserve">co-located at the Dry Creek Water Reclamation Facility on digester biogas; co-location template. https://blogs.microsoft.com/green/2014/11/07/microsofts-biogas-powered-data-plant-opens-in-wyoming/</w:t>
      </w:r>
    </w:p>
    <w:p>
      <w:pPr>
        <w:pStyle w:val="BodyText"/>
      </w:pPr>
      <w:r>
        <w:t xml:space="preserve">[V2D3-22] Spans Envirotech (CPCB ZLD reference); MDPI Catalysts — (2019/undated). Molasses spent wash COD 100,000–160,000 mg/L, BOD 40,000–80,000 mg/L (verified). https://spans.co.in/zld-for-sugar-distillery/ ; https://www.mdpi.com/2073-4344/9/11/881 (also cited as [^V2D3-23^])</w:t>
      </w:r>
    </w:p>
    <w:p>
      <w:pPr>
        <w:pStyle w:val="BodyText"/>
      </w:pPr>
      <w:r>
        <w:t xml:space="preserve">[V2D3-28] Spans (CPCB ZLD summaries); Wealthy Waste (CPCB 19-01-2023 directions) — (2023–2026). CPCB mandates ZLD for molasses distilleries; concentrate-and-incinerate route; land application disallowed; closures for non-compliance. https://spans.co.in/knowledge/cpcb-zld-mandate-india/ (also cited as [^D12-58^]) (also cited as [^V2D3-30^])</w:t>
      </w:r>
    </w:p>
    <w:p>
      <w:pPr>
        <w:pStyle w:val="BodyText"/>
      </w:pPr>
      <w:r>
        <w:t xml:space="preserve">[V2D3-29] USDA FAS Biofuels Annual India 2024; Chinimandi — (2024-07-24). India: 270 molasses distilleries + 140 grain distilleries; 499 distilleries / 18.2 BL by June 2025 under E20. https://apps.fas.usda.gov/newgainapi/api/Report/DownloadReportByFileName?fileName=Biofuels%20Annual_New%20Delhi_India_IN2024-0024.pdf</w:t>
      </w:r>
    </w:p>
    <w:p>
      <w:pPr>
        <w:pStyle w:val="BodyText"/>
      </w:pPr>
      <w:r>
        <w:t xml:space="preserve">[V2D3-3] Texas Commercial Plans (ERCOT data); refindustry — 2026-04-15. ERCOT large-load queue 410 GW (87% data centers); Northern Virginia interconnection waits 4–7 years. https://texascommercialplans.com/market-news/ercot-410-gw-load-queue-commercial-electricity-impact/</w:t>
      </w:r>
    </w:p>
    <w:p>
      <w:pPr>
        <w:pStyle w:val="BodyText"/>
      </w:pPr>
      <w:r>
        <w:t xml:space="preserve">[V2D3-12] Johns Hopkins Public Health; Circle of Blue — 2024/2025. US livestock/poultry generate 1.4B tons/yr of manure; ~500M tons from &gt;21,000 CAFOs (EPA). https://magazine.publichealth.jhu.edu/2024/many-costs-cheap-chicken</w:t>
      </w:r>
    </w:p>
    <w:p>
      <w:pPr>
        <w:pStyle w:val="BodyText"/>
      </w:pPr>
      <w:r>
        <w:t xml:space="preserve">[V2D3-16] MDPI Agriculture (North Central Texas dairy manure economics) — 2025-11-28. Dairies in impacted watersheds need ~0.8 ha per cow for agronomic phosphorus-based manure application — the land-base constraint creating elimination demand. https://www.mdpi.com/2077-0472/15/23/2472</w:t>
      </w:r>
    </w:p>
    <w:p>
      <w:pPr>
        <w:pStyle w:val="BodyText"/>
      </w:pPr>
      <w:r>
        <w:t xml:space="preserve">[V2D3-18] American Biogas Council; Aemetis — 2024. Dairy RNG LCFS credits historically &gt;$50/MMBtu (~15× commodity gas); digester revenue is credit-dominated. https://americanbiogascouncil.org/101-for-low-carbon-fuel-standard/</w:t>
      </w:r>
    </w:p>
    <w:p>
      <w:pPr>
        <w:pStyle w:val="BodyText"/>
      </w:pPr>
      <w:r>
        <w:t xml:space="preserve">[V2D3-30] Wealthy Waste (citing CSMCRI),</w:t>
      </w:r>
      <w:r>
        <w:t xml:space="preserve"> </w:t>
      </w:r>
      <w:r>
        <w:t xml:space="preserve">“</w:t>
      </w:r>
      <w:r>
        <w:t xml:space="preserve">Potash from Spent Wash — observations on the CPCB directions of 19-01-2023</w:t>
      </w:r>
      <w:r>
        <w:t xml:space="preserve">”</w:t>
      </w:r>
      <w:r>
        <w:t xml:space="preserve"> </w:t>
      </w:r>
      <w:r>
        <w:t xml:space="preserve">— 2023-01-19. Reference potash-from-spent-wash plant for a 60 KLPD distillery: ₹25–30 crore (~$3–3.6M) plant &amp; machinery, &lt;3-yr payback — distillery ZLD incumbent cost calibration. Confidence: Medium-High. https://www.wealthywaste.com/potash-from-spent-wash-some-observations-on-the-cpcb-directions-of-19-01-2023/</w:t>
      </w:r>
    </w:p>
    <w:p>
      <w:pPr>
        <w:pStyle w:val="BodyText"/>
      </w:pPr>
      <w:r>
        <w:t xml:space="preserve">[V2D3-E1] hcsp_v2_dim03.md §Islands/resorts (unnumbered evidence block) — 2026. Islands have no cheap sludge outlet (no land-application base, scarce landfill airspace, tightening ocean-outfall rules); off-island hauling prohibitive; restricted/emergency disposal benchmarks ≥$300/wet t ≈ $1.25/gal-equivalent. Sparse data; low-medium confidence — savings-ladder rung #7.</w:t>
      </w:r>
    </w:p>
    <w:p>
      <w:pPr>
        <w:pStyle w:val="BodyText"/>
      </w:pPr>
      <w:r>
        <w:t xml:space="preserve">[V2D3-E2] hcsp_v2_dim03.md §CAFO manure (unnumbered evidence block) — 2026. Manure/digestate spreading and haul equivalents ≈ $0.1–0.5/gal; anaerobic digesters plus LCFS credits monetize the same story. Sparse data; low confidence — savings-ladder rung #10.</w:t>
      </w:r>
    </w:p>
    <w:p>
      <w:pPr>
        <w:pStyle w:val="BodyText"/>
      </w:pPr>
      <w:r>
        <w:t xml:space="preserve">[V2D3-32] Canadian Mining Journal (Costmine survey) — 2021-09-10. Remote northern Canadian power rates &lt;$0.15 to &gt;$1.10/kWh; diesel gensets burn ~0.3 L/kWh at 75% load. https://www.canadianminingjournal.com/featured-article/using-the-sun-to-power-canadas-remote-mines/</w:t>
      </w:r>
    </w:p>
    <w:p>
      <w:pPr>
        <w:pStyle w:val="BodyText"/>
      </w:pPr>
      <w:r>
        <w:t xml:space="preserve">[V2D3-36] EIA data via WattCostLab / ChooseEnergy — 2024/2026. Hawaii residential 42.86¢/kWh (2024 EIA) → 52¢/kWh (May 2026); commercial 46.2¢/kWh — highest in the US. https://wattcostlab.com/electricity-by-state/</w:t>
      </w:r>
    </w:p>
    <w:p>
      <w:pPr>
        <w:pStyle w:val="BodyText"/>
      </w:pPr>
      <w:r>
        <w:t xml:space="preserve">[V2D3-37] Nectar Climate (WAPA tariff analysis, PSC filings) — 2026-05-28. USVI all-in commercial power $0.40–0.47/kWh, dominated by a 22.2¢/kWh fuel surcharge. https://nectarclimate.com/rates/virgin-islands-water-power-authority-wapa</w:t>
      </w:r>
    </w:p>
    <w:p>
      <w:pPr>
        <w:pStyle w:val="BodyText"/>
      </w:pPr>
      <w:r>
        <w:t xml:space="preserve">[V2D3-38] NeWater cost guide; Ampac — 2026. Small-scale island SWRO $2–5/m³; energy 40–60% of desal OPEX. https://www.newater.com/seawater-desalination-plant-cost-per-cubic-meter/</w:t>
      </w:r>
    </w:p>
    <w:p>
      <w:pPr>
        <w:pStyle w:val="BodyText"/>
      </w:pPr>
      <w:r>
        <w:t xml:space="preserve">[V2D3-E1] hcsp_v2_dim03.md §3 rough SAM build-up (analyst estimate, medium confidence) — distillery/ethanol SAM $2–5B: India core ~270 molasses distilleries × $6–15M SCWO-integrated ZLD systems ($1.6–4.0B) + grain-distillery retrofits + Brazil (~400 cane mills, ~30 BL ethanol) at 10–20% penetration (+$0.5–1B); 9–15 L vinasse per liter ethanol.</w:t>
      </w:r>
    </w:p>
    <w:p>
      <w:pPr>
        <w:pStyle w:val="BodyText"/>
      </w:pPr>
      <w:r>
        <w:t xml:space="preserve">[V2D3-E2] hcsp_v2_dim03.md §2 rough SAM build-up (low-medium confidence) — CAFO manure SAM $1–3B: ~15% of 21,000+ US CAFOs ≈ 3,000 addressable sites × 5–15% capture over 15 yr (150–450 units) × $4–8M installed; raw manure 85–92% water; entrenched AD + LCFS/RIN credit stack is the incumbent.</w:t>
      </w:r>
    </w:p>
    <w:p>
      <w:pPr>
        <w:pStyle w:val="BodyText"/>
      </w:pPr>
      <w:r>
        <w:t xml:space="preserve">[V2D3-E3] hcsp_v2_dim03.md §4 rough SAM build-up (low confidence) — mining/remote camps SAM $0.3–0.8B: 300–500 large diesel-powered camps × 10–20% addressable × $8–20M per 50–200 t/d unit; acid mine drainage excluded (inorganic).</w:t>
      </w:r>
    </w:p>
    <w:p>
      <w:pPr>
        <w:pStyle w:val="BodyText"/>
      </w:pPr>
      <w:r>
        <w:t xml:space="preserve">[V2D3-E4] hcsp_v2_dim03.md §5 rough SAM build-up (low-medium confidence) — islands/resorts SAM $0.5–1.5B: ~150–250 resort clusters + coastal municipalities (pop. 20k–500k) on diesel grids with desalination × 10–20% adoption × $10–30M integrated units over 15 yr.</w:t>
      </w:r>
    </w:p>
    <w:p>
      <w:pPr>
        <w:pStyle w:val="BodyText"/>
      </w:pPr>
      <w:r>
        <w:t xml:space="preserve">[V2D3-E5] hcsp_v2_dim03.md §1 rough SAM build-up (low-medium confidence) — data centers as direct waste-treatment buyer: $50–150M niche (~200 qualifying campuses by 2030 × $0.25–0.75M system share); primary value is as trigeneration offtaker for co-located units.</w:t>
      </w:r>
    </w:p>
    <w:p>
      <w:pPr>
        <w:pStyle w:val="BodyText"/>
      </w:pPr>
      <w:r>
        <w:t xml:space="preserve">[V2D3-24] PMC peer-reviewed study,</w:t>
      </w:r>
      <w:r>
        <w:t xml:space="preserve"> </w:t>
      </w:r>
      <w:r>
        <w:t xml:space="preserve">“</w:t>
      </w:r>
      <w:r>
        <w:t xml:space="preserve">Bioconversion of Sugarcane Vinasse</w:t>
      </w:r>
      <w:r>
        <w:t xml:space="preserve">”</w:t>
      </w:r>
      <w:r>
        <w:t xml:space="preserve"> </w:t>
      </w:r>
      <w:r>
        <w:t xml:space="preserve">(2017) — Raw Brazilian sugarcane vinasse: 77 g/L total COD, 57.6 g/L BOD5, pH 4.1. Confidence: High. https://pmc.ncbi.nlm.nih.gov/articles/PMC5698789/</w:t>
      </w:r>
    </w:p>
    <w:p>
      <w:pPr>
        <w:pStyle w:val="BodyText"/>
      </w:pPr>
      <w:r>
        <w:t xml:space="preserve">[V2D3-26] MDPI, Bioelectrochemical valorization of vinasse/stillage (2026-03-05) — Ethanol stillage AD feed measured 27.4 g/L COD. Confidence: High. https://www.mdpi.com/2673-8783/6/2/21</w:t>
      </w:r>
    </w:p>
    <w:p>
      <w:pPr>
        <w:pStyle w:val="BodyText"/>
      </w:pPr>
      <w:r>
        <w:t xml:space="preserve">[V2D3-27] arXiv brewing-process review (2016); ScienceDirect brewery wastewater review (2021-10-01) — — Brewery wastewater COD 2,000–6,000 mg/L (peaks &gt;10,000). Confidence: High. https://arxiv.org/pdf/1609.06629v1.pdf ; https://www.sciencedirect.com/science/article/abs/pii/S2213138821004422</w:t>
      </w:r>
    </w:p>
    <w:p>
      <w:pPr>
        <w:pStyle w:val="BodyText"/>
      </w:pPr>
      <w:r>
        <w:t xml:space="preserve">[V2D3-1] S&amp;P Global / 451 Research — (2025-10-14) — US data-center grid demand 61.8 GW (2025) → 134.4 GW (2030). Confidence: High. https://www.spglobal.com/energy/en/news-research/latest-news/electric-power/101425-data-center-grid-power-demand-to-rise-22-in-2025-nearly-triple-by-2030</w:t>
      </w:r>
    </w:p>
    <w:p>
      <w:pPr>
        <w:pStyle w:val="BodyText"/>
      </w:pPr>
      <w:r>
        <w:t xml:space="preserve">[V2D3-8] Genesis Water Technologies — (2025-12-18) — Blowdown RO recovery 50–85%; full ZLD 95–99%; RO OPEX $1.50–3.00/1,000 gal. Confidence: Medium. https://genesiswatertech.com/blog-post/advanced-blowdown-treatment-technologies-for-data-center-water-recovery/</w:t>
      </w:r>
    </w:p>
    <w:p>
      <w:pPr>
        <w:pStyle w:val="BodyText"/>
      </w:pPr>
      <w:r>
        <w:t xml:space="preserve">[V2D3-17] Terrain Ag / AgLoan,</w:t>
      </w:r>
      <w:r>
        <w:t xml:space="preserve"> </w:t>
      </w:r>
      <w:r>
        <w:t xml:space="preserve">“</w:t>
      </w:r>
      <w:r>
        <w:t xml:space="preserve">Economic Sustainability of Dairy Digesters</w:t>
      </w:r>
      <w:r>
        <w:t xml:space="preserve">”</w:t>
      </w:r>
      <w:r>
        <w:t xml:space="preserve"> </w:t>
      </w:r>
      <w:r>
        <w:t xml:space="preserve">— (2025-04-24) — Digester revenue is credit-dominated; fuel value only ~$70/cow/yr. Confidence: High. https://www.terrainag.com/insights/economic-sustainability-of-dairy-digesters/</w:t>
      </w:r>
    </w:p>
    <w:p>
      <w:pPr>
        <w:pStyle w:val="BodyText"/>
      </w:pPr>
      <w:r>
        <w:t xml:space="preserve">[V2D3-34] CBS News (EPA statements); Coalition/Earthworks — (2015-08-13) — US abandoned-mine cleanup $20–54B (EPA); AMD is inorganic (acid + metals), outside SCWO’s organic-destruction envelope. Confidence: High. https://www.cbsnews.com/sacramento/news/epa-national-cost-of-leaking-mine-cleanup-could-surpass-50-billion/</w:t>
      </w:r>
    </w:p>
    <w:bookmarkEnd w:id="183"/>
    <w:bookmarkStart w:id="184" w:name="v2d4"/>
    <w:p>
      <w:pPr>
        <w:pStyle w:val="Heading2"/>
      </w:pPr>
      <w:r>
        <w:t xml:space="preserve">V2D4</w:t>
      </w:r>
    </w:p>
    <w:p>
      <w:pPr>
        <w:pStyle w:val="FirstParagraph"/>
      </w:pPr>
      <w:r>
        <w:t xml:space="preserve">[V2D4-1] Wikipedia,</w:t>
      </w:r>
      <w:r>
        <w:t xml:space="preserve"> </w:t>
      </w:r>
      <w:r>
        <w:t xml:space="preserve">“</w:t>
      </w:r>
      <w:r>
        <w:t xml:space="preserve">Nickel–iron battery</w:t>
      </w:r>
      <w:r>
        <w:t xml:space="preserve">”</w:t>
      </w:r>
      <w:r>
        <w:t xml:space="preserve"> </w:t>
      </w:r>
      <w:r>
        <w:t xml:space="preserve">(compendium of cited datasheet/literature values) — (accessed 2026). Core NiFe parameters: 19–25 Wh/kg, &lt;65% charge/discharge efficiency, 20–30%/month self-discharge, 30–50-yr durability, deep-discharge tolerance. https://en.wikipedia.org/wiki/Nickel%E2%80%93iron_battery</w:t>
      </w:r>
    </w:p>
    <w:p>
      <w:pPr>
        <w:pStyle w:val="BodyText"/>
      </w:pPr>
      <w:r>
        <w:t xml:space="preserve">[V2D4-20] BloombergNEF 2025 Lithium-Ion Battery Price Survey (2025-12-09) — Stationary-storage packs $70/kWh (down 45% YoY); average LFP pack $81/kWh. https://about.bnef.com/insights/clean-transport/lithium-ion-battery-pack-prices-fall-to-108-per-kilowatt-hour-despite-rising-metal-prices-bloombergnef/</w:t>
      </w:r>
    </w:p>
    <w:p>
      <w:pPr>
        <w:pStyle w:val="BodyText"/>
      </w:pPr>
      <w:r>
        <w:t xml:space="preserve">[V2D4-5] Crompton, Battery Reference Book, 3rd ed. (2000). — NiFe poor charge efficiency from iron-electrode hydrogen overvoltage; Eagle-Picher modules: 70%+ energy efficiency, 100% DoD cycling without fade; vented system requires maintenance. https://www.silverwars.com/content/files/2025/02/TR-Crompton—Battery-Reference-Book—Third-Edition.pdf</w:t>
      </w:r>
    </w:p>
    <w:p>
      <w:pPr>
        <w:pStyle w:val="BodyText"/>
      </w:pPr>
      <w:r>
        <w:t xml:space="preserve">[V2D4-19] MIT,</w:t>
      </w:r>
      <w:r>
        <w:t xml:space="preserve"> </w:t>
      </w:r>
      <w:r>
        <w:t xml:space="preserve">“</w:t>
      </w:r>
      <w:r>
        <w:t xml:space="preserve">Beyond Lithium: Accelerating Non-Lithium Long Duration Energy Storage in the U.S. and DoD,</w:t>
      </w:r>
      <w:r>
        <w:t xml:space="preserve">”</w:t>
      </w:r>
      <w:r>
        <w:t xml:space="preserve"> </w:t>
      </w:r>
      <w:r>
        <w:t xml:space="preserve">2024. — NiFe self-discharge &gt;1%/day; ~$1,000/kWh; ~30-yr life with maintenance; maintenance burden limits deployment. https://mix.mit.edu/wp-content/uploads/2024/01/beyond_lithium_Final.pdf</w:t>
      </w:r>
    </w:p>
    <w:p>
      <w:pPr>
        <w:pStyle w:val="BodyText"/>
      </w:pPr>
      <w:r>
        <w:t xml:space="preserve">[V2D4-7] Terravolt (firm of Iron Edison’s former Technical Director) — (accessed 2025-12) — Iron Edison bankruptcy June 2023; company out of business; no US volume NiFe manufacturer remains (supply base Chinese: Hengming, Taihang/Xintaihang, Changhong). Confidence: High. https://www.terravolt.net/iron-edison</w:t>
      </w:r>
    </w:p>
    <w:p>
      <w:pPr>
        <w:pStyle w:val="BodyText"/>
      </w:pPr>
      <w:r>
        <w:t xml:space="preserve">[V2D4-2] A. Abdalla, PhD thesis, University of Sheffield (White Rose eTheses),</w:t>
      </w:r>
      <w:r>
        <w:t xml:space="preserve"> </w:t>
      </w:r>
      <w:r>
        <w:t xml:space="preserve">“</w:t>
      </w:r>
      <w:r>
        <w:t xml:space="preserve">Iron-based Rechargeable Batteries for Large-scale Battery Energy Storage,</w:t>
      </w:r>
      <w:r>
        <w:t xml:space="preserve">”</w:t>
      </w:r>
      <w:r>
        <w:t xml:space="preserve"> </w:t>
      </w:r>
      <w:r>
        <w:t xml:space="preserve">2018. — Independent pocket-plate NiFe cycle life 2,000–4,000 at C/5; C-rate capacity collapse. https://etheses.whiterose.ac.uk/id/eprint/19953/1/Abdalla_e-thesis%2028-03-18.pdf</w:t>
      </w:r>
    </w:p>
    <w:p>
      <w:pPr>
        <w:pStyle w:val="BodyText"/>
      </w:pPr>
      <w:r>
        <w:t xml:space="preserve">[V2D4-6] DIY Solar Forum thread quoting Iron Edison closure announcement, 2023-07-17. — Iron Edison announced closure July 2023. https://diysolarforum.com/threads/iron-edison-goes-out-of-business.65824/</w:t>
      </w:r>
    </w:p>
    <w:p>
      <w:pPr>
        <w:pStyle w:val="BodyText"/>
      </w:pPr>
      <w:r>
        <w:t xml:space="preserve">[V2D4-9] UCLA California NanoSystems Institute news, 2026-02-10. — Nanostructured NiFe prototype: seconds recharge, &gt;12,000 cycles; published in</w:t>
      </w:r>
      <w:r>
        <w:t xml:space="preserve"> </w:t>
      </w:r>
      <w:r>
        <w:rPr>
          <w:iCs/>
          <w:i/>
        </w:rPr>
        <w:t xml:space="preserve">Small</w:t>
      </w:r>
      <w:r>
        <w:t xml:space="preserve">. https://cnsi.ucla.edu/february-10-2026-how-ucla-scientists-helped-reimagine-a-forgotten-battery-design-from-thomas-edison/</w:t>
      </w:r>
    </w:p>
    <w:p>
      <w:pPr>
        <w:pStyle w:val="BodyText"/>
      </w:pPr>
      <w:r>
        <w:t xml:space="preserve">[V2D4-12] Hengming (hmfybattery.com) product pages. (accessed 2026) — TN-series NiFe cells 10–1250 Ah, 12/24/48 V to 750 V DC strings; UPS/railway/petrochemical positioning; CE/ISO/IEC60623. https://www.hmfybattery.com/ni-fealkaline-rechargeable-battery/nife-battery-nickel-iron-battery-1-2v-1200ah.html</w:t>
      </w:r>
    </w:p>
    <w:p>
      <w:pPr>
        <w:pStyle w:val="BodyText"/>
      </w:pPr>
      <w:r>
        <w:t xml:space="preserve">[V2D4-13] Hengming product page (military-quality NiFe). (accessed 2026) — −40 to +60 °C operating spec; 15–30-yr life claims. https://www.hmfybattery.com/ni-fealkaline-rechargeable-battery/63-years-military-quality-nickel-iron.html</w:t>
      </w:r>
    </w:p>
    <w:p>
      <w:pPr>
        <w:pStyle w:val="BodyText"/>
      </w:pPr>
      <w:r>
        <w:t xml:space="preserve">[V2D4-17] Encell Technology products page. (accessed 2026) — Fused Iron NiFe: &gt;15,000 full 80% DoD cycles, &gt;20-yr float life (vendor claim, partially Sandia-validated). https://encell.com/products/</w:t>
      </w:r>
    </w:p>
    <w:p>
      <w:pPr>
        <w:pStyle w:val="BodyText"/>
      </w:pPr>
      <w:r>
        <w:t xml:space="preserve">[V2D4-18] Iron Edison NiFe datasheet 2018 (Victron community archive). —</w:t>
      </w:r>
      <w:r>
        <w:t xml:space="preserve"> </w:t>
      </w:r>
      <w:r>
        <w:t xml:space="preserve">“</w:t>
      </w:r>
      <w:r>
        <w:t xml:space="preserve">Rated for at least 11,000 cycles with daily use… 30 years of loyal service</w:t>
      </w:r>
      <w:r>
        <w:t xml:space="preserve">”</w:t>
      </w:r>
      <w:r>
        <w:t xml:space="preserve"> </w:t>
      </w:r>
      <w:r>
        <w:t xml:space="preserve">(vendor marketing; company defunct). https://communityarchive.victronenergy.com/storage/attachments/iron-edison-nickel-iron-data-sheet-2018.pdf</w:t>
      </w:r>
    </w:p>
    <w:p>
      <w:pPr>
        <w:pStyle w:val="BodyText"/>
      </w:pPr>
      <w:r>
        <w:t xml:space="preserve">[V2D4-21] BloombergNEF (McKerracher),</w:t>
      </w:r>
      <w:r>
        <w:t xml:space="preserve"> </w:t>
      </w:r>
      <w:r>
        <w:t xml:space="preserve">“</w:t>
      </w:r>
      <w:r>
        <w:t xml:space="preserve">New Record Lows for Battery Prices,</w:t>
      </w:r>
      <w:r>
        <w:t xml:space="preserve">”</w:t>
      </w:r>
      <w:r>
        <w:t xml:space="preserve"> </w:t>
      </w:r>
      <w:r>
        <w:t xml:space="preserve">2025-12-19. — Lowest observed LFP stationary: $36/kWh cells, $50/kWh packs. https://about.bnef.com/insights/clean-transport/new-record-lows-for-battery-prices/</w:t>
      </w:r>
    </w:p>
    <w:p>
      <w:pPr>
        <w:pStyle w:val="BodyText"/>
      </w:pPr>
      <w:r>
        <w:t xml:space="preserve">[V2D4-22] E&amp;T (IET), 2026-02-12. — UCLA study in</w:t>
      </w:r>
      <w:r>
        <w:t xml:space="preserve"> </w:t>
      </w:r>
      <w:r>
        <w:rPr>
          <w:iCs/>
          <w:i/>
        </w:rPr>
        <w:t xml:space="preserve">Small</w:t>
      </w:r>
      <w:r>
        <w:t xml:space="preserve">: &gt;12,000 cycles ≈ 30+ yr daily cycling; data-center backup potential. https://eandt.theiet.org/2026/02/12/thomas-edisons-nickel-iron-battery-tech-revived-modern-energy-storage</w:t>
      </w:r>
    </w:p>
    <w:p>
      <w:pPr>
        <w:pStyle w:val="BodyText"/>
      </w:pPr>
      <w:r>
        <w:t xml:space="preserve">[V2D4-23] BHS battery-room safety tech note quoting OSHA 29 CFR 1926.441(a)(2) and NFPA 1 §52.3.6, 2019-04-25. — Ventilation mandate; H₂ ≤1.0% of room volume at worst-case boost charge or ≥1 ft³/min/ft² continuous ventilation. https://na.bhs1.com/blog/post/tt-979-battery-room-safety-ventilation</w:t>
      </w:r>
    </w:p>
    <w:p>
      <w:pPr>
        <w:pStyle w:val="BodyText"/>
      </w:pPr>
      <w:r>
        <w:t xml:space="preserve">[V2D4-24] NASA Technical Reports Server,</w:t>
      </w:r>
      <w:r>
        <w:t xml:space="preserve"> </w:t>
      </w:r>
      <w:r>
        <w:t xml:space="preserve">“</w:t>
      </w:r>
      <w:r>
        <w:t xml:space="preserve">Nickel-Iron Battery System Safety,</w:t>
      </w:r>
      <w:r>
        <w:t xml:space="preserve">”</w:t>
      </w:r>
      <w:r>
        <w:t xml:space="preserve"> </w:t>
      </w:r>
      <w:r>
        <w:t xml:space="preserve">1984. — NiFe cells gas H₂ continuously during and hours after charge; gassing rate charge-rate dependent. https://ntrs.nasa.gov/api/citations/19840025964/downloads/19840025964.pdf</w:t>
      </w:r>
    </w:p>
    <w:p>
      <w:pPr>
        <w:pStyle w:val="BodyText"/>
      </w:pPr>
      <w:r>
        <w:t xml:space="preserve">[V2D4-25] LFP 280 Ah storage cell datasheet (made-in-china listing). (accessed 2026) — ≥165 Wh/kg, ≥357 Wh/L; 6,000 cycles</w:t>
      </w:r>
      <w:r>
        <w:t xml:space="preserve"> </w:t>
      </w:r>
      <w:r>
        <w:t xml:space="preserve">@100</w:t>
      </w:r>
      <w:r>
        <w:t xml:space="preserve">% DoD; self-discharge ≤3% per 3 months; charge 0–55 °C. https://m.made-in-china.com/product/LFP280ah-LiFePO4-LFP-Cell-Super-Cycle-Life-6000-cycles-…-1920846841.html</w:t>
      </w:r>
    </w:p>
    <w:p>
      <w:pPr>
        <w:pStyle w:val="BodyText"/>
      </w:pPr>
      <w:r>
        <w:t xml:space="preserve">[V2D4-26] Heaven Green Energy LFP glossary (compilation), 2026. — Benchmark table: LFP 90–160 Wh/kg, 4,000–6,000 cycles, 90–95% RTE, thermal runaway ~270 °C; VRLA 30–50 Wh/kg, 30–50% usable DoD. https://www.heavengreenenergy.com/glossary/lfp-battery</w:t>
      </w:r>
    </w:p>
    <w:p>
      <w:pPr>
        <w:pStyle w:val="BodyText"/>
      </w:pPr>
      <w:r>
        <w:t xml:space="preserve">[V2D4-27] Schneider Electric blog; Mitsubishi Electric; Standby Systems SA, 2014–2025. — VRLA realistic UPS life 3–5 yr; designed for float, not cycling. https://blog.se.com/digital-transformation/it-management/2014/08/28/recommendations-prolonging-life-ups-battery/</w:t>
      </w:r>
    </w:p>
    <w:p>
      <w:pPr>
        <w:pStyle w:val="BodyText"/>
      </w:pPr>
      <w:r>
        <w:t xml:space="preserve">[V2D4-28] IEEE Philadelphia VTS presentation,</w:t>
      </w:r>
      <w:r>
        <w:t xml:space="preserve"> </w:t>
      </w:r>
      <w:r>
        <w:t xml:space="preserve">“</w:t>
      </w:r>
      <w:r>
        <w:t xml:space="preserve">Electrical Substation Battery Systems,</w:t>
      </w:r>
      <w:r>
        <w:t xml:space="preserve">”</w:t>
      </w:r>
      <w:r>
        <w:t xml:space="preserve"> </w:t>
      </w:r>
      <w:r>
        <w:t xml:space="preserve">2024. — VRLA/VLA self-discharge 3–4%/month; NiCd ~20%/month (alkaline-family reference). https://r2.ieee.org/philadelphia-vts/wp-content/uploads/sites/46/Electrical-Substation-Battery-Systems-Presentation.pdf</w:t>
      </w:r>
    </w:p>
    <w:p>
      <w:pPr>
        <w:pStyle w:val="BodyText"/>
      </w:pPr>
      <w:r>
        <w:t xml:space="preserve">[V2D4-29] Perma Batteries USA installation guidelines, 2025-10-09. — NiFe electrolyte replacement every 10–15 yr; distilled-water top-ups; act when density &lt;1.160. https://perma-batteries-usa.com/nickel-iron-battery-installation/</w:t>
      </w:r>
    </w:p>
    <w:p>
      <w:pPr>
        <w:pStyle w:val="BodyText"/>
      </w:pPr>
      <w:r>
        <w:t xml:space="preserve">[V2D4-30] Open Source Ecology NiFe User’s Manual wiki, 2021. — Water top-ups every 1–2 yr; full electrolyte change ~10 yr; dead discharge for years does not harm. https://wiki.opensourceecology.org/wiki/Nickel-Iron_Battery/User%27s_Manual</w:t>
      </w:r>
    </w:p>
    <w:p>
      <w:pPr>
        <w:pStyle w:val="BodyText"/>
      </w:pPr>
      <w:r>
        <w:t xml:space="preserve">[V2D4-31] Battery University,</w:t>
      </w:r>
      <w:r>
        <w:t xml:space="preserve"> </w:t>
      </w:r>
      <w:r>
        <w:t xml:space="preserve">“</w:t>
      </w:r>
      <w:r>
        <w:t xml:space="preserve">Weird and Wonderful Batteries.</w:t>
      </w:r>
      <w:r>
        <w:t xml:space="preserve">”</w:t>
      </w:r>
      <w:r>
        <w:t xml:space="preserve"> </w:t>
      </w:r>
      <w:r>
        <w:t xml:space="preserve">(accessed 2025) — NiFe self-discharge 20–40%/month; poor low-temperature performance. http://www.batteryuniversity.com/article/weird-and-wonderful-batteries/</w:t>
      </w:r>
    </w:p>
    <w:p>
      <w:pPr>
        <w:pStyle w:val="BodyText"/>
      </w:pPr>
      <w:r>
        <w:t xml:space="preserve">[V2D4-33] Revetec NiFe installation documentation. (accessed 2026) — TN-series standard 0.2C charge rate; 0.5C emergency fast charge; automatic watering systems exist. https://www.revetec.com/</w:t>
      </w:r>
      <w:r>
        <w:rPr>
          <w:iCs/>
          <w:i/>
        </w:rPr>
        <w:t xml:space="preserve">ENERGY_STORAGE/Nickel_Iron</w:t>
      </w:r>
      <w:r>
        <w:t xml:space="preserve">(NiFe)/index.html</w:t>
      </w:r>
    </w:p>
    <w:p>
      <w:pPr>
        <w:pStyle w:val="BodyText"/>
      </w:pPr>
      <w:r>
        <w:t xml:space="preserve">[V2D4-34] Changhong NF-S NiFe comparison document (magistralbattery.ru mirror), undated. — Float 1.45–1.50 V/cell; 0.25C standard rate; 20-yr operation life vs 3-yr VRLA. https://magistralbattery.ru/assets/magistral/files-download/nikel-ferrum-solar-akkumulator.pdf</w:t>
      </w:r>
    </w:p>
    <w:p>
      <w:pPr>
        <w:pStyle w:val="BodyText"/>
      </w:pPr>
      <w:r>
        <w:t xml:space="preserve">[V2D4-35] PatSnap Eureka industry report,</w:t>
      </w:r>
      <w:r>
        <w:t xml:space="preserve"> </w:t>
      </w:r>
      <w:r>
        <w:t xml:space="preserve">“</w:t>
      </w:r>
      <w:r>
        <w:t xml:space="preserve">Nickel-Iron Battery as a Future Energy Contender,</w:t>
      </w:r>
      <w:r>
        <w:t xml:space="preserve">”</w:t>
      </w:r>
      <w:r>
        <w:t xml:space="preserve"> </w:t>
      </w:r>
      <w:r>
        <w:t xml:space="preserve">2022. — NiFe $400–600/kWh vs $150–200/kWh Li-ion; 20–40%/mo self-discharge (corroborated by primary sources). https://eureka.patsnap.com/report-nickel-iron-battery-as-a-future-energy-contender</w:t>
      </w:r>
    </w:p>
    <w:p>
      <w:pPr>
        <w:pStyle w:val="BodyText"/>
      </w:pPr>
      <w:r>
        <w:t xml:space="preserve">[V2D4-37] Stanford PH240 course summary of PNNL 2022 Energy Storage Cost &amp; Performance Database, 2024. — VRFB 16–35 Wh/L, ~65% RTE, unlimited cycles, ~12-yr stack life, LCOS ~$0.25/kWh. http://large.stanford.edu/courses/2024/ph240/yribarren1/</w:t>
      </w:r>
    </w:p>
    <w:p>
      <w:pPr>
        <w:pStyle w:val="BodyText"/>
      </w:pPr>
      <w:r>
        <w:t xml:space="preserve">[V2D4-38] US DOE, 2022 Grid Energy Storage Technology Cost &amp; Performance Assessment. — Authoritative installed-cost framework for Li-ion, lead-acid, VRFB. https://www.energy.gov/cmei/2022-grid-energy-storage-technology-cost-and-performance-assessment</w:t>
      </w:r>
    </w:p>
    <w:p>
      <w:pPr>
        <w:pStyle w:val="BodyText"/>
      </w:pPr>
      <w:r>
        <w:t xml:space="preserve">[V2D4-39] Frontiers in Energy Research,</w:t>
      </w:r>
      <w:r>
        <w:t xml:space="preserve"> </w:t>
      </w:r>
      <w:r>
        <w:t xml:space="preserve">“</w:t>
      </w:r>
      <w:r>
        <w:t xml:space="preserve">Levelized Cost of Storage of Electrochemical Energy Storage Technologies in China,</w:t>
      </w:r>
      <w:r>
        <w:t xml:space="preserve">”</w:t>
      </w:r>
      <w:r>
        <w:t xml:space="preserve"> </w:t>
      </w:r>
      <w:r>
        <w:t xml:space="preserve">2022-06-02. — Lead-acid 200–800 cycles; LFP 3,000–5,000; VRF ≥10,000 (peer-reviewed). https://www.frontiersin.org/journals/energy-research/articles/10.3389/fenrg.2022.873800/full</w:t>
      </w:r>
    </w:p>
    <w:p>
      <w:pPr>
        <w:pStyle w:val="BodyText"/>
      </w:pPr>
      <w:r>
        <w:t xml:space="preserve">[V2D4-40] Discover Battery D1270 datasheet. (accessed 2026) — VRLA self-discharge 2–3%/month; 5-yr design float life. https://discoverbattery.com/products/search/d1270-vds-f1</w:t>
      </w:r>
    </w:p>
    <w:p>
      <w:pPr>
        <w:pStyle w:val="BodyText"/>
      </w:pPr>
      <w:r>
        <w:t xml:space="preserve">[V2D4-41] UDPOWER price guide citing BNEF &amp; EnergySage, 2025-10-22. — Small finished LFP systems retail ~$336–490/kWh; clarifies pack vs installed price gap. https://udpwr.com/blogs/portable-power-station-knowledge/lithium-battery-cost</w:t>
      </w:r>
    </w:p>
    <w:p>
      <w:pPr>
        <w:pStyle w:val="BodyText"/>
      </w:pPr>
      <w:r>
        <w:t xml:space="preserve">[V2D4-42] Thunder Said Energy research note, 2023-11-07. — Redox-flow project capex averages ~$4,000/kW and ~$750/kWh upfront, duration-dependent. https://thundersaidenergy.com/downloads/redox-flow-battery-costs-and-capex/</w:t>
      </w:r>
    </w:p>
    <w:bookmarkEnd w:id="184"/>
    <w:bookmarkStart w:id="185" w:name="v2d5"/>
    <w:p>
      <w:pPr>
        <w:pStyle w:val="Heading2"/>
      </w:pPr>
      <w:r>
        <w:t xml:space="preserve">V2D5</w:t>
      </w:r>
    </w:p>
    <w:p>
      <w:pPr>
        <w:pStyle w:val="FirstParagraph"/>
      </w:pPr>
      <w:r>
        <w:t xml:space="preserve">[V2D5-5] Industrial Info (Aqua-Pure); WaterOnline (Oasys); WaterTechOnline — Marcellus all-in disposal ~$10–12/bbl ($10–25/bbl quoted historically); PA water trucked to Ohio at $3–7/bbl hauling; corrected hub niche: 45–82% IRR, 1.2–2.1-yr payback at sustained ≥$2.5–3/bbl. https://www.watertechonline.com/wastewater/article/16201810/fracking-wastewater-management</w:t>
      </w:r>
    </w:p>
    <w:p>
      <w:pPr>
        <w:pStyle w:val="BodyText"/>
      </w:pPr>
      <w:r>
        <w:t xml:space="preserve">[V2D5-17] Springer,</w:t>
      </w:r>
      <w:r>
        <w:t xml:space="preserve"> </w:t>
      </w:r>
      <w:r>
        <w:t xml:space="preserve">“</w:t>
      </w:r>
      <w:r>
        <w:t xml:space="preserve">Reactors for Supercritical Water Oxidation Processes</w:t>
      </w:r>
      <w:r>
        <w:t xml:space="preserve">”</w:t>
      </w:r>
      <w:r>
        <w:t xml:space="preserve"> </w:t>
      </w:r>
      <w:r>
        <w:t xml:space="preserve">— Largest full-scale SCWO plants ever built (Hanwha 2,000 and 5,500 kg/h) both no longer operating; the 1M bbl/day page claim ≈ 1,200× the largest ever built. https://link.springer.com/chapter/10.1007/978-94-017-8923-3_7 (also cited as [^D11-4^])</w:t>
      </w:r>
    </w:p>
    <w:p>
      <w:pPr>
        <w:pStyle w:val="BodyText"/>
      </w:pPr>
      <w:r>
        <w:t xml:space="preserve">[V2D5-18] OSTI 3001291 (LANL/DOE SCWDO model) — 5,000 m³/d conceptual SCWDO: standalone $6.8–9.9/m³; salt precipitation/scaling/corrosion flagged as commercial-scale challenges; basis for CapEx floor $785–2,046/bbl-day (60–160× the investor-page figure). https://www.osti.gov/servlets/purl/3001291 (also cited as [^V2D1-3^])</w:t>
      </w:r>
    </w:p>
    <w:p>
      <w:pPr>
        <w:pStyle w:val="BodyText"/>
      </w:pPr>
      <w:r>
        <w:t xml:space="preserve">[V2D5-3] B3 Insight — 2025-03-24. Permian recycling $0.15–0.20/bbl vs disposal $0.25–1.00/bbl — refutes the</w:t>
      </w:r>
      <w:r>
        <w:t xml:space="preserve"> </w:t>
      </w:r>
      <w:r>
        <w:t xml:space="preserve">“</w:t>
      </w:r>
      <w:r>
        <w:t xml:space="preserve">$5/bbl benchmark</w:t>
      </w:r>
      <w:r>
        <w:t xml:space="preserve">”</w:t>
      </w:r>
      <w:r>
        <w:t xml:space="preserve"> </w:t>
      </w:r>
      <w:r>
        <w:t xml:space="preserve">as a national figure. https://www.b3insight.com/balancing-growth-and-risk-why-water-management-is-the-permian-basins-biggest-challenge/</w:t>
      </w:r>
    </w:p>
    <w:p>
      <w:pPr>
        <w:pStyle w:val="BodyText"/>
      </w:pPr>
      <w:r>
        <w:t xml:space="preserve">[V2D5-4] MIT Energy Initiative (Sourcewater),</w:t>
      </w:r>
      <w:r>
        <w:t xml:space="preserve"> </w:t>
      </w:r>
      <w:r>
        <w:t xml:space="preserve">“</w:t>
      </w:r>
      <w:r>
        <w:t xml:space="preserve">A Spot Market for Water</w:t>
      </w:r>
      <w:r>
        <w:t xml:space="preserve">”</w:t>
      </w:r>
      <w:r>
        <w:t xml:space="preserve"> </w:t>
      </w:r>
      <w:r>
        <w:t xml:space="preserve">— 2016. Disposal can exceed $20/bbl in Pennsylvania’s Marcellus Shale area. (Dated; corroborated by V2D5-5.) https://energy.mit.edu/news/a-spot-market-for-water/</w:t>
      </w:r>
    </w:p>
    <w:p>
      <w:pPr>
        <w:pStyle w:val="BodyText"/>
      </w:pPr>
      <w:r>
        <w:t xml:space="preserve">[V2D5-13] Search &amp; Discovery (AAPG),</w:t>
      </w:r>
      <w:r>
        <w:t xml:space="preserve"> </w:t>
      </w:r>
      <w:r>
        <w:t xml:space="preserve">“</w:t>
      </w:r>
      <w:r>
        <w:t xml:space="preserve">Challenges Facing Class II Disposal Well Operations in the Appalachian Basin</w:t>
      </w:r>
      <w:r>
        <w:t xml:space="preserve">”</w:t>
      </w:r>
      <w:r>
        <w:t xml:space="preserve"> </w:t>
      </w:r>
      <w:r>
        <w:t xml:space="preserve">— Utica/Marcellus brine production in OH+WV averaged 159,572 bbl/day (2018); PA lacks UIC primacy, 15 permitted disposal wells. https://www.searchanddiscovery.com/abstracts/html/2019/columbus-90373/abstracts/2019.ES.92.html</w:t>
      </w:r>
    </w:p>
    <w:p>
      <w:pPr>
        <w:pStyle w:val="BodyText"/>
      </w:pPr>
      <w:r>
        <w:t xml:space="preserve">[V2D5-14] Datashed supporting information (Lutz et al. lineage) — PA Marcellus wastewater 3–5 billion L/yr (≈52,000–86,000 bbl/day); per-well lifetime produced water 2.87 ML. https://www.datashed.org/sites/default/files/supporting_info.pdf</w:t>
      </w:r>
    </w:p>
    <w:p>
      <w:pPr>
        <w:pStyle w:val="BodyText"/>
      </w:pPr>
      <w:r>
        <w:t xml:space="preserve">[V2D5-16] MDPI Membranes 15(9):281 — 2025-09-19. ZLD of 156,700 mg/L produced water reached 98.9% recovery only via integrated membrane distillation plus crystallization — not SCWO alone. https://www.mdpi.com/2077-0375/15/9/281</w:t>
      </w:r>
    </w:p>
    <w:p>
      <w:pPr>
        <w:pStyle w:val="BodyText"/>
      </w:pPr>
      <w:r>
        <w:t xml:space="preserve">[V2D5-24] FAO/IME report citing Kumar et al. 2021, ACS Sustainable Chem. Eng. —</w:t>
      </w:r>
      <w:r>
        <w:t xml:space="preserve"> </w:t>
      </w:r>
      <w:r>
        <w:t xml:space="preserve">“</w:t>
      </w:r>
      <w:r>
        <w:t xml:space="preserve">Current [ZLD] technologies produce mixed salt products that have limited or no commercial value; in most ZLD plants today, crystalized salts are disposed of in landfill as solid waste at relatively high cost.</w:t>
      </w:r>
      <w:r>
        <w:t xml:space="preserve">”</w:t>
      </w:r>
      <w:r>
        <w:t xml:space="preserve"> </w:t>
      </w:r>
      <w:r>
        <w:t xml:space="preserve">https://openknowledge.fao.org/server/api/core/bitstreams/ba0c3198-7be7-47a8-9cf9-550391b6f93d/content</w:t>
      </w:r>
    </w:p>
    <w:p>
      <w:pPr>
        <w:pStyle w:val="BodyText"/>
      </w:pPr>
      <w:r>
        <w:t xml:space="preserve">[V2D5-25] Smackover Lithium South-West Arkansas DFS announcement (2025-09-03) — IOP Env. Res. review (2026-02-20) — DLE real economics: 148–168k bbl/day brine at 481–549 mg/L Li; $1.449B CapEx; 22,500 tpa Li₂CO₃; breakeven ~$16,000/t LCE vs ~$10,000/t spot mid-2025. https://smackoverlithium.com/newsroom/news-details/2025/Smackover-Lithium-Announces-Positive-Definitive-Feasibility-Study-Results-For-Its-South-West-Arkansas-Project/default.aspx ; https://iopscience.iop.org/article/10.1088/2753-3751/ae3e91</w:t>
      </w:r>
    </w:p>
    <w:p>
      <w:pPr>
        <w:pStyle w:val="BodyText"/>
      </w:pPr>
      <w:r>
        <w:t xml:space="preserve">[V2D5-28] Rigzone interview with Saltworks’ Sparrow — 2018-06-14.</w:t>
      </w:r>
      <w:r>
        <w:t xml:space="preserve"> </w:t>
      </w:r>
      <w:r>
        <w:t xml:space="preserve">“</w:t>
      </w:r>
      <w:r>
        <w:t xml:space="preserve">If reuse, storage or disposal is available at less than $1.50 per barrel, that is the most economic option.</w:t>
      </w:r>
      <w:r>
        <w:t xml:space="preserve">”</w:t>
      </w:r>
      <w:r>
        <w:t xml:space="preserve"> </w:t>
      </w:r>
      <w:r>
        <w:t xml:space="preserve">The investor page’s own cited source undercuts its $5/bbl premise. —</w:t>
      </w:r>
      <w:r>
        <w:t xml:space="preserve"> </w:t>
      </w:r>
      <w:r>
        <w:rPr>
          <w:bCs/>
          <w:b/>
        </w:rPr>
        <w:t xml:space="preserve">Verification basis note:</w:t>
      </w:r>
      <w:r>
        <w:t xml:space="preserve"> </w:t>
      </w:r>
      <w:r>
        <w:t xml:space="preserve">the corrected hub model figures cited in Sections 7.2.2 and 7.3 (50,000 bbl/day SCWDO-class hub; ~$70M midpoint CapEx; all-in OPEX $1.6–4.5/bbl; payback 1.2–8.5 years; 10-yr IRR −99% to +82%; breakeven at sustained ≥$2.5–3/bbl) are the analysis of research dimension hcsp_v2_dim05 (Section 2,</w:t>
      </w:r>
      <w:r>
        <w:t xml:space="preserve"> </w:t>
      </w:r>
      <w:r>
        <w:t xml:space="preserve">“</w:t>
      </w:r>
      <w:r>
        <w:t xml:space="preserve">Corrected investor-case model</w:t>
      </w:r>
      <w:r>
        <w:t xml:space="preserve">”</w:t>
      </w:r>
      <w:r>
        <w:t xml:space="preserve">), built on the sourced benchmarks above. Confidence: High on direction, Medium on exact figures (LANL CapEx back-calculation assumes CRF ≈ 0.10 and 330 operating days). https://www.rigzone.com/news/blog_theres_no_silver_bullet_with_produced_water-14-jun-2018-155939-article/</w:t>
      </w:r>
    </w:p>
    <w:p>
      <w:pPr>
        <w:pStyle w:val="BodyText"/>
      </w:pPr>
      <w:r>
        <w:t xml:space="preserve">[V2D5-1] Texas Produced Water Consortium via JD Supra (2025-03) — Permian injection disposal $0.60–0.70/bbl; treatment for reuse $2.55–10/bbl. https://www.jdsupra.com/legalnews/murky-waters-wading-through-texas-law-1272886/</w:t>
      </w:r>
    </w:p>
    <w:p>
      <w:pPr>
        <w:pStyle w:val="BodyText"/>
      </w:pPr>
      <w:r>
        <w:t xml:space="preserve">[V2D5-E1] hcsp_v2_dim05.md §2 corrected produced-water hub model (analyst model on LANL cost benchmarks) — defensible case only where sustained avoided cost ≥$2.5–3/bbl (Marcellus/Utica trucking corridors, Delaware Basin seismicity curtailment zones); best honest range IRR ~45–80% and payback 1.2–2.1 yr in the Marcellus niche, ~0–5% at Permian trucked pricing, negative at Permian pipeline pricing; Marcellus/Utica addressable volume ~0.1–0.3M bbl/d; chapter SAM row (~$0.05–0.2B/yr) annualizes hub-scale service on that volume at $3–7/bbl with 10–25% capture.</w:t>
      </w:r>
    </w:p>
    <w:bookmarkEnd w:id="185"/>
    <w:bookmarkStart w:id="186" w:name="s"/>
    <w:p>
      <w:pPr>
        <w:pStyle w:val="Heading2"/>
      </w:pPr>
      <w:r>
        <w:t xml:space="preserve">S</w:t>
      </w:r>
    </w:p>
    <w:p>
      <w:pPr>
        <w:pStyle w:val="FirstParagraph"/>
      </w:pPr>
      <w:r>
        <w:t xml:space="preserve">[S1] (Ch. 0, 1, 2, 7, 8) / [S3] (Ch. 3) / [S4] (Ch. 9) / [S2] (Ch. 10) Advanced Water Systems Engineering,</w:t>
      </w:r>
      <w:r>
        <w:t xml:space="preserve"> </w:t>
      </w:r>
      <w:r>
        <w:t xml:space="preserve">“</w:t>
      </w:r>
      <w:r>
        <w:t xml:space="preserve">Technical Briefing Memo: Hydro-Combustion Supercritical Purifier (HCSP) for Indoor Agriculture,</w:t>
      </w:r>
      <w:r>
        <w:t xml:space="preserve">”</w:t>
      </w:r>
      <w:r>
        <w:t xml:space="preserve"> </w:t>
      </w:r>
      <w:r>
        <w:t xml:space="preserve">submitted to the California State Water Resources Control Board, August 10, 2025 (user-provided PDF) — HCSP specification sheet: 10 m³/day modular SCWO skid, 380–420 °C / 25 MPa, 85–95% distilled-water recovery, 75–95 kW startup/auxiliary load, 30–40 kg/day on-demand H₂ from process-water electrolysis, self-fueling in operation per the manufacturer, working prototype produced, no air permit claim.</w:t>
      </w:r>
    </w:p>
    <w:p>
      <w:pPr>
        <w:pStyle w:val="BodyText"/>
      </w:pPr>
      <w:r>
        <w:t xml:space="preserve">[S1] (Ch. 3) HCSP v2 cross-verification study (hcsp_v2_cross_verification.md, drawing on hcsp_v2_dim01/dim02) — 2026. Scale economics: net energy 130–250 kWh/m³ at 10 m³/d → 45–110 kWh/m³ at 1,000 m³/d; autothermal threshold ~35–40 g/L COD, meaningful power export from ~60 g/L, up to −60 kWhₑ/m³ at ~150 g/L; trigeneration value stack at 1,000 m³/d ≈ 1.4 MWₑ + 4.9 MWc. Basis for v2 score upgrades (biosolids 6.4→6.6, F&amp;B 6.0→6.3, CEA 4.0→4.2).</w:t>
      </w:r>
    </w:p>
    <w:p>
      <w:pPr>
        <w:pStyle w:val="BodyText"/>
      </w:pPr>
      <w:r>
        <w:t xml:space="preserve">[S2] (Ch. 3) HCSP v2 verification of investor webpage (hcsp_v2_dim05.md, §2 corrected hub model) — 2026-09-02. Corrected 50,000 bbl/d produced-water hub: IRR −99% to +82% across scenarios; viable only at sustained ≥$2.5–3/bbl avoided cost (Marcellus niche 45–82% IRR, 1.2–2.1-yr payback; negative at Permian pipeline pricing). Basis for the 4.75 re-score and honest-niche framing.</w:t>
      </w:r>
    </w:p>
    <w:p>
      <w:pPr>
        <w:pStyle w:val="BodyText"/>
      </w:pPr>
      <w:r>
        <w:t xml:space="preserve">[S2] (Ch. 7) U.S. Energy Information Administration,</w:t>
      </w:r>
      <w:r>
        <w:t xml:space="preserve"> </w:t>
      </w:r>
      <w:r>
        <w:t xml:space="preserve">“</w:t>
      </w:r>
      <w:r>
        <w:t xml:space="preserve">Electricity Monthly Update — End Use: Average revenue per kWh by sector</w:t>
      </w:r>
      <w:r>
        <w:t xml:space="preserve">”</w:t>
      </w:r>
      <w:r>
        <w:t xml:space="preserve"> </w:t>
      </w:r>
      <w:r>
        <w:t xml:space="preserve">— accessed 2026 (industrial average ~8.6–9.2 ¢/kWh across 2025–26). Price basis for HCSP electricity-only cost arithmetic in Table 7-1. https://www.eia.gov/electricity/monthly/update/end-use.php</w:t>
      </w:r>
    </w:p>
    <w:p>
      <w:pPr>
        <w:pStyle w:val="BodyText"/>
      </w:pPr>
      <w:r>
        <w:t xml:space="preserve">[S3] (Ch. 7) / [S1] (Ch. 10) HCSP investor webpage,</w:t>
      </w:r>
      <w:r>
        <w:t xml:space="preserve"> </w:t>
      </w:r>
      <w:r>
        <w:t xml:space="preserve">“</w:t>
      </w:r>
      <w:r>
        <w:t xml:space="preserve">HCSP — Investor Economics at $5/bbl Benchmark — On-site Hydro-Combustion Supercritical Purification at 1,000,000 bbl/day scale</w:t>
      </w:r>
      <w:r>
        <w:t xml:space="preserve">”</w:t>
      </w:r>
      <w:r>
        <w:t xml:space="preserve"> </w:t>
      </w:r>
      <w:r>
        <w:t xml:space="preserve">— (local capture: /mnt/agents/output/research/hcsp_site_src/potential.html), accessed 2026-09. Source of the claims validated in Table 7-2: $5/bbl benchmark, 97–99% recovery, 1M bbl/day unit, ~$12.5M CapEx, $1.50/bbl variable OPEX, $0.10–0.50/bbl salt/metals revenue, IRR &gt;500% (5-yr), payback &lt;12 months, ~$1.31B/yr net savings. https://microdos2.github.io/HCSP/potential</w:t>
      </w:r>
    </w:p>
    <w:p>
      <w:pPr>
        <w:pStyle w:val="BodyText"/>
      </w:pPr>
      <w:r>
        <w:t xml:space="preserve">[S1] (Ch. 9) BioCycle / NERC,</w:t>
      </w:r>
      <w:r>
        <w:t xml:space="preserve"> </w:t>
      </w:r>
      <w:r>
        <w:t xml:space="preserve">“</w:t>
      </w:r>
      <w:r>
        <w:t xml:space="preserve">PFAS-driven biosolids use ban challenges Maine WWTPs,</w:t>
      </w:r>
      <w:r>
        <w:t xml:space="preserve">”</w:t>
      </w:r>
      <w:r>
        <w:t xml:space="preserve"> </w:t>
      </w:r>
      <w:r>
        <w:t xml:space="preserve">2023–2025.— Maine LD 1911 land-application ban; ~90% of state biosolids to one landfill nearing capacity (~2028); Portland Water District disposal costs doubled since 2022. https://www.biocycle.net/pfas-driven-biosolids-use-ban-challenges-maine-wwtps/ ; https://www.nerc.org/maine-maryland-pursue-pfas-biosolids-remedies-amid-landfill-capacity-concerns</w:t>
      </w:r>
    </w:p>
    <w:p>
      <w:pPr>
        <w:pStyle w:val="BodyText"/>
      </w:pPr>
      <w:r>
        <w:t xml:space="preserve">[S2] (Ch. 9) EREF 2024 landfill tipping-fee report (via WasteOptima). — Average US tipping fee +10% in one year to $62.28/ton in 2024, largest single-year jump since 2022. https://www.wasteoptima.com/blog/eref-2024-landfill-tipping-fees</w:t>
      </w:r>
    </w:p>
    <w:p>
      <w:pPr>
        <w:pStyle w:val="BodyText"/>
      </w:pPr>
      <w:r>
        <w:t xml:space="preserve">[S3] (Ch. 9) Bluefield Research,</w:t>
      </w:r>
      <w:r>
        <w:t xml:space="preserve"> </w:t>
      </w:r>
      <w:r>
        <w:t xml:space="preserve">“</w:t>
      </w:r>
      <w:r>
        <w:t xml:space="preserve">US Municipal Utilities Face US$4.8 Billion Biosolids Management Bill.</w:t>
      </w:r>
      <w:r>
        <w:t xml:space="preserve">”</w:t>
      </w:r>
      <w:r>
        <w:t xml:space="preserve"> </w:t>
      </w:r>
      <w:r>
        <w:t xml:space="preserve">— $4.8B/yr US biosolids management spend amid disposal-capacity pressure. https://www.bluefieldresearch.com/ns/u-s-municipal-utilities-face-us4-8-billion-biosolids-management-bill-as-disposal-costs-and-capacity-pressures-mount/</w:t>
      </w:r>
    </w:p>
    <w:bookmarkEnd w:id="186"/>
    <w:bookmarkEnd w:id="187"/>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7" Type="http://schemas.openxmlformats.org/officeDocument/2006/relationships/image" Target="media/rId67.png"/><Relationship Id="rId32" Type="http://schemas.openxmlformats.org/officeDocument/2006/relationships/image" Target="media/rId32.png"/><Relationship Id="rId107" Type="http://schemas.openxmlformats.org/officeDocument/2006/relationships/image" Target="media/rId107.png"/><Relationship Id="rId114" Type="http://schemas.openxmlformats.org/officeDocument/2006/relationships/image" Target="media/rId114.png"/><Relationship Id="rId139" Type="http://schemas.openxmlformats.org/officeDocument/2006/relationships/image" Target="media/rId139.png"/><Relationship Id="rId146" Type="http://schemas.openxmlformats.org/officeDocument/2006/relationships/image" Target="media/rId146.png"/><Relationship Id="rId49" Type="http://schemas.openxmlformats.org/officeDocument/2006/relationships/image" Target="media/rId49.png"/><Relationship Id="rId55" Type="http://schemas.openxmlformats.org/officeDocument/2006/relationships/image" Target="media/rId5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2026-09-02T05:07:48Z</dcterms:created>
  <dcterms:modified xsi:type="dcterms:W3CDTF">2026-09-02T05:07:48Z</dcterms:modified>
</cp:coreProperties>
</file>

<file path=docProps/custom.xml><?xml version="1.0" encoding="utf-8"?>
<Properties xmlns="http://schemas.openxmlformats.org/officeDocument/2006/custom-properties" xmlns:vt="http://schemas.openxmlformats.org/officeDocument/2006/docPropsVTypes"/>
</file>