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dual-lens (composite + cost-savings) industry ranking; HCSP pricing pending manufacturer cost model.</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dual-lens (composite + cost-savings) industry ranking; HCSP pricing pending manufacturer cost model.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The literature’s viable service band of $2–5/gal undercuts incumbents charging $5–50/gal — HCSP’s own pricing is TBD pending the manufacturer cost model — and 374Water’s own pivot (an Orlando hub targeting $3–5M/yr) validates the template.[^D11-6^][^D11-15^] Gross-savings paybacks run from ~2 months to ~2.5 years in the top verticals, with net payback not computable until the manufacturer cost model is set, and everything contingent on third-party publication of unattended-reliability data on salty feeds — salt plugging is the technology class’s documented failure mode, but HCSP’s &gt;3,000 °F (≈1,650 °C) in-reactor hydrogen-combustion design eliminates salt deposition per the manufacturer, consistent with published hydrothermal-flame research, leaving data publication rather than redesign as the open item.[^D11-29^][^S1^][^D11-28^]</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Payback (gross-savings basis*)</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&lt;1.6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2–8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0.7–2.1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rPr>
          <w:iCs/>
          <w:i/>
        </w:rPr>
        <w:t xml:space="preserve">*Gross-savings basis: benchmarked capital cost ÷ gross annual avoided disposal spend at incumbent market prices. HCSP’s own operating cost and pricing are TBD (manufacturer cost model pending — early-phase company), so net payback and ROI are not yet computable; the ranking above is robust to that gap because it orders incumbent cost umbrellas, not HCSP margins.</w:t>
      </w:r>
    </w:p>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Gross-savings paybacks span ~2 months (halogenated solvents) to roughly 2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in preheater-type designs, and HCSP inherits that credibility burden — answered at the design level by its &gt;3,000 °F in-reactor hydrogen combustion, which eliminates salt deposition per the manufacturer, but still requiring published prototype operating data to close the credibility gap with buyers.[^D11-1^][^D11-29^][^S1^][^D11-28^]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The historical lesson is unambiguous —</w:t>
      </w:r>
      <w:r>
        <w:t xml:space="preserve"> </w:t>
      </w:r>
      <w:r>
        <w:rPr>
          <w:bCs/>
          <w:b/>
        </w:rPr>
        <w:t xml:space="preserve">reliability engineering, not destruction chemistry, is the make-or-break variable</w:t>
      </w:r>
      <w:r>
        <w:t xml:space="preserve"> </w:t>
      </w:r>
      <w:r>
        <w:t xml:space="preserve">— but every failure mode catalogued above belongs to preheater-type designs that push salty feed through external heat-exchange surfaces, precisely where the literature locates the worst deposition and attack.[^D5-40^]</w:t>
      </w:r>
    </w:p>
    <w:p>
      <w:pPr>
        <w:pStyle w:val="BodyText"/>
      </w:pPr>
      <w:r>
        <w:t xml:space="preserve">The HCSP answers salt deposition at its root rather than by mitigation. Its on-demand hydrogen loop combusts at above 3,000 °F (≈1,650 °C), and that combustion heat is delivered directly inside the reactor; at those temperatures salts do not deposit or plug, so the mechanism that filled the graveyard has no purchase on this design (manufacturer design basis).[^S1^] The mechanism has independent research footing: in-reactor hydrothermal flames — combustion zones above 1,000 °C sustained within supercritical water — are a documented salt-management approach in the ETH Zürich transpiring-wall and NASA SCWO research record.[^D11-28^][^D11-29^] What remains open is evidentiary, not design: third-party publication of the working prototype’s long-run operating data on salty feeds, which converts the manufacturer’s design basis into bankable proof — a constructive validation item tracked in Chapter 10, not a red flag.</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cost and pricing TBD — pending manufacturer cost model (early-phase company); SCWO-class literature cost bands, cited in Chapter 8, are not HCSP figures</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None claimed by manufacturer — &gt;3,000 °F in-reactor H₂ combustion design eliminates salt deposition [^S1^][^D11-28^]; third-party publication of prototype operating data (energy and salty feeds) pending</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HCSP itself has no published benchmark yet — the manufacturer cost model is pending and pricing is to be determined — so the table’s cost message is carried by the</w:t>
      </w:r>
      <w:r>
        <w:t xml:space="preserve"> </w:t>
      </w:r>
      <w:r>
        <w:rPr>
          <w:iCs/>
          <w:i/>
        </w:rPr>
        <w:t xml:space="preserve">incumbent umbrella</w:t>
      </w:r>
      <w:r>
        <w:t xml:space="preserve">: incineration’s $4.2–6.1/gal equivalent for aqueous PFAS wastes and $15–20+/gal per-gallon disposal for halogenated solvents define the ceiling under which any on-site destruction service sells, while electrochemical oxidation sets a low-cost floor on dilute streams that SCWO physics cannot undercut.[^D5-15^] The HCSP’s value proposition is therefore on-site destruction priced against that umbrella once the manufacturer cost model exists — winning on</w:t>
      </w:r>
      <w:r>
        <w:t xml:space="preserve"> </w:t>
      </w:r>
      <w:r>
        <w:rPr>
          <w:iCs/>
          <w:i/>
        </w:rPr>
        <w:t xml:space="preserve">concentrated, hazardous</w:t>
      </w:r>
      <w:r>
        <w:t xml:space="preserve"> </w:t>
      </w:r>
      <w:r>
        <w:t xml:space="preserve">streams and conceding dilute ones, exactly as the autothermal physics of §1.2.1 predicts.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spec-sheet electricity allowance of roughly $0.07–0.09 per gallon.[^D4-24^][^D4-25^][^D4-26^] Tier 1 is therefore where HCSP should concentrate commercialization capital: a liability-driven buyer, federally validated destruction evidence for the technology class, and a cost umbrella wide enough to sustain destruction-service pricing with sub-1.6-year gross-savings payback — net payback pending the manufacturer cost model.</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the literature’s viable destruction-service band of $2–5 per gallon undercuts incineration and incumbent SCWO providers by 2–5×, and the umbrella that creates the room — relocation pathways at $1–28/gal that no longer extinguish liability under CERCLA — is public market data. HCSP’s own service pricing is TBD pending the manufacturer cost model; what can be stated today is the gross addressable savings pool any on-site destruction entrant can price against.</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service pricing</w:t>
            </w:r>
          </w:p>
        </w:tc>
        <w:tc>
          <w:tcPr/>
          <w:p>
            <w:pPr>
              <w:pStyle w:val="Compact"/>
              <w:jc w:val="left"/>
            </w:pPr>
            <w:r>
              <w:rPr>
                <w:bCs/>
                <w:b/>
              </w:rPr>
              <w:t xml:space="preserve">TBD — manufacturer cost model pending</w:t>
            </w:r>
          </w:p>
        </w:tc>
        <w:tc>
          <w:tcPr/>
          <w:p>
            <w:pPr>
              <w:pStyle w:val="Compact"/>
              <w:jc w:val="left"/>
            </w:pPr>
            <w:r>
              <w:t xml:space="preserve">Destruction, on-site, no air permit</w:t>
            </w:r>
          </w:p>
        </w:tc>
        <w:tc>
          <w:tcPr/>
          <w:p>
            <w:pPr>
              <w:pStyle w:val="Compact"/>
              <w:jc w:val="left"/>
            </w:pPr>
            <w:r>
              <w:rPr>
                <w:bCs/>
                <w:b/>
              </w:rPr>
              <w:t xml:space="preserve">To be priced against the $5–10/gal incineration and $6–10/gal incumbent-SCWO umbrella once the cost model exists</w:t>
            </w:r>
          </w:p>
        </w:tc>
      </w:tr>
      <w:tr>
        <w:tc>
          <w:tcPr/>
          <w:p>
            <w:pPr>
              <w:pStyle w:val="Compact"/>
              <w:jc w:val="left"/>
            </w:pPr>
            <w:r>
              <w:t xml:space="preserve">HCSP electricity allowance (spec-derived)</w:t>
            </w:r>
          </w:p>
        </w:tc>
        <w:tc>
          <w:tcPr/>
          <w:p>
            <w:pPr>
              <w:pStyle w:val="Compact"/>
              <w:jc w:val="left"/>
            </w:pPr>
            <w:r>
              <w:t xml:space="preserve">0.07–0.09 [^D4-24^]</w:t>
            </w:r>
          </w:p>
        </w:tc>
        <w:tc>
          <w:tcPr/>
          <w:p>
            <w:pPr>
              <w:pStyle w:val="Compact"/>
              <w:jc w:val="left"/>
            </w:pPr>
            <w:r>
              <w:t xml:space="preserve">75–95 kW × 24 h ≈ 0.68–0.86 kWh/gal at $0.10/kWh; startup/auxiliary bound, not a full cost</w:t>
            </w:r>
          </w:p>
        </w:tc>
        <w:tc>
          <w:tcPr/>
          <w:p>
            <w:pPr>
              <w:pStyle w:val="Compact"/>
              <w:jc w:val="left"/>
            </w:pPr>
            <w:r>
              <w:t xml:space="preserve">The only HCSP-side number currently published</w:t>
            </w:r>
          </w:p>
        </w:tc>
      </w:tr>
    </w:tbl>
    <w:p>
      <w:pPr>
        <w:pStyle w:val="BodyText"/>
      </w:pPr>
      <w:r>
        <w:t xml:space="preserve">The interpretation that matters for capital allocation: the spread between the cheapest destructive incumbent ($5–10/gal incineration) and the published SCWO-class operating benchmarks — $0.04–0.37/gal projected for slurry treatment at larger scale [^D11-16^] and a $0.5–2.0/gal skid-scale analyst band for concentrated feeds [^D4-48^], neither of them HCSP figures — is the widest in any vertical in this report, and it exists because customers currently pay for</w:t>
      </w:r>
      <w:r>
        <w:t xml:space="preserve"> </w:t>
      </w:r>
      <w:r>
        <w:rPr>
          <w:iCs/>
          <w:i/>
        </w:rPr>
        <w:t xml:space="preserve">transport and burial</w:t>
      </w:r>
      <w:r>
        <w:t xml:space="preserve">, not treatment. HCSP’s own operating cost is TBD pending the manufacturer cost model; the literature bands show only that the umbrella has room for a 2–5× undercut. The outlier — deep-well injection at $1–2/gal — is the only pathway priced below the literature’s service band,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bounds the scenario: 374Water’s AS6 service site carries $4.5–6.0M capital with a claimed 1.5–2.5-year payback, and at the literature’s $2–4/gal service band on ~0.95M gal/yr of throughput, gross service revenue of $1.9–3.8M/yr would recover a benchmarked $2.5–4.0M capex in roughly 0.7–2.1 years on a gross-savings basis — net payback is not computable until HCSP’s manufacturer cost model is set, and the underlying specs remain project-given rather than independently verified.[^D4-48^][^D4-47^] The conflict zone is documented rather than averaged away: analyst capex estimates as low as $1.5–3.0M sit against Chapter 8’s more conservative $2.5–4.0M anchor, benchmarked to the ~$5.2M Orange County Sanitation District AirSCWO-6 contract (equipment plus operation, within a $7.9M total project)[^D11-14^]; across that full capex spread the gross-savings payback stays within roughly 0.4–2.1 years.</w:t>
      </w:r>
    </w:p>
    <w:p>
      <w:pPr>
        <w:pStyle w:val="CaptionedFigure"/>
      </w:pPr>
      <w:r>
        <w:drawing>
          <wp:inline>
            <wp:extent cx="5334000" cy="2807122"/>
            <wp:effectExtent b="0" l="0" r="0" t="0"/>
            <wp:docPr descr="HCSP price umbrella: incumbent PFAS disposal/destruction pricing ($/gal). HCSP’s own service pricing is TBD pending the manufacturer cost model; the only HCSP-side figure shown is the spec-derived electricity allowance. Sources: S7 Risk; Krishnan et al.; 374Water WDS disclosure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807122"/>
                    </a:xfrm>
                    <a:prstGeom prst="rect">
                      <a:avLst/>
                    </a:prstGeom>
                    <a:noFill/>
                    <a:ln w="9525">
                      <a:noFill/>
                      <a:headEnd/>
                      <a:tailEnd/>
                    </a:ln>
                  </pic:spPr>
                </pic:pic>
              </a:graphicData>
            </a:graphic>
          </wp:inline>
        </w:drawing>
      </w:r>
    </w:p>
    <w:p>
      <w:pPr>
        <w:pStyle w:val="ImageCaption"/>
      </w:pPr>
      <w:r>
        <w:t xml:space="preserve">HCSP price umbrella: incumbent PFAS disposal/destruction pricing ($/gal). HCSP’s own service pricing is TBD pending the manufacturer cost model; the only HCSP-side figure shown is the spec-derived electricity allowance. Sources: S7 Risk; Krishnan et al.; 374Water WDS disclosures.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Salt precipitation and corrosion on salty concentrates are the documented failure mode of prior, preheater-type SCWO designs; HCSP’s &gt;3,000 °F (≈1,650 °C) in-reactor hydrogen combustion eliminates salt deposition by design per the manufacturer — consistent with published hydrothermal-flame research — so the demonstration program’s role is not to solve salt but to publish the prototype operating data that validates the manufacturer’s claim.[^D4-35^][^S1^][^D11-28^]</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on real feeds — where HCSP’s &gt;3,000 °F in-reactor combustion design answers the salt-management half of that gate per the manufacturer, with published prototype data as the validating evidence.[^D9-20^][^D9-22^][^S1^][^D11-28^]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published prototype operating data demonstrating unattended reliability on salty concentrates — the technology class’s documented failure mode on preheater-type designs, which HCSP’s &gt;3,000 °F in-reactor combustion eliminates per the manufacturer’s design basis.[^D4-35^][^D9-20^][^S1^]</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own cost and service pricing remain TBD pending the manufacturer cost model (early-phase company). That pricing umbrella therefore defines the gross addressable savings — $1.50–50+ per gallon of stream treated — and this chapter models payback strictly on that gross-savings basis (avoided disposal cost × volume against a benchmarked capital band), with net payback and ROI not computable until the manufacturer’s cost model is set. On that basis, paybacks run from months on premium streams to 1–4 years on blended streams — provided two disciplines are enforced: feed concentration above the autothermal threshold (≥120 g/L chemical oxygen demand (COD)) and realistic qualification-cycle planning. SCWO’s historical corrosion and salt-plugging failure mode — an artifact of preheater-type designs — does not transfer to HCSP, whose &gt;3,000 °F (≈1,650 °C) in-reactor hydrogen combustion eliminates salt deposition per the manufacturer, consistent with published hydrothermal-flame research.[^S1^][^D11-28^]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beat incineration’s $150–400/ton bulk tipping fee; it needs to beat the liability-laden delivered price — and the published SCWO-class cost bands clear that bar by an order of magnitude on premium streams, with HCSP’s own position within those bands to be set by the pending manufacturer cost model [^D5-14^][^D5-15^].</w:t>
      </w:r>
    </w:p>
    <w:bookmarkEnd w:id="77"/>
    <w:bookmarkStart w:id="78" w:name="X7feebb4d778ee63b63b4863f99f441dcd8b403d"/>
    <w:p>
      <w:pPr>
        <w:pStyle w:val="Heading3"/>
      </w:pPr>
      <w:r>
        <w:t xml:space="preserve">5.1.2 Gross-savings payback: 2–3 months on halogenated streams — conditional on feed discipline</w:t>
      </w:r>
    </w:p>
    <w:p>
      <w:pPr>
        <w:pStyle w:val="FirstParagraph"/>
      </w:pPr>
      <w:r>
        <w:t xml:space="preserve">The gross-savings math is the strongest quantitative case in this report. Table 5-1 models a 10 m³/day HCSP unit operating 350 days per year (~925,000 gal/yr) against published disposal baselines, with capital expenditure of $2.5–4.0 million benchmarked to public SCWO transactions (consistent with $2–10 million per commercial SCWO unit, skid-scale at the lower end) [^D5-44^]. Because HCSP’s own operating cost is TBD pending the manufacturer cost model, the table computes gross addressable savings — avoided disposal price × volume — and gross-savings payback (benchmarked capex ÷ gross annual savings); net payback cannot be computed until the manufacturer’s cost model is set.</w:t>
      </w:r>
    </w:p>
    <w:p>
      <w:pPr>
        <w:pStyle w:val="BodyText"/>
      </w:pPr>
      <w:r>
        <w:rPr>
          <w:bCs/>
          <w:b/>
        </w:rPr>
        <w:t xml:space="preserve">Table 5-1. Gross addressable savings and gross-savings payback of a 10 m³/day HCSP unit vs. haul-and-incinerate baseline, by waste class (925,000 gal/yr ≈ 3,650 t/yr; $3M midpoint benchmark capex)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Gross addressable savings/yr (avoided disposal)</w:t>
            </w:r>
          </w:p>
        </w:tc>
        <w:tc>
          <w:tcPr/>
          <w:p>
            <w:pPr>
              <w:pStyle w:val="Compact"/>
              <w:jc w:val="left"/>
            </w:pPr>
            <w:r>
              <w:t xml:space="preserve">HCSP opex/yr</w:t>
            </w:r>
          </w:p>
        </w:tc>
        <w:tc>
          <w:tcPr/>
          <w:p>
            <w:pPr>
              <w:pStyle w:val="Compact"/>
              <w:jc w:val="left"/>
            </w:pPr>
            <w:r>
              <w:t xml:space="preserve">Gross-savings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TBD — manufacturer cost model pending</w:t>
            </w:r>
          </w:p>
        </w:tc>
        <w:tc>
          <w:tcPr/>
          <w:p>
            <w:pPr>
              <w:pStyle w:val="Compact"/>
              <w:jc w:val="left"/>
            </w:pPr>
            <w:r>
              <w:t xml:space="preserve">~4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TBD — manufacturer cost model pending</w:t>
            </w:r>
          </w:p>
        </w:tc>
        <w:tc>
          <w:tcPr/>
          <w:p>
            <w:pPr>
              <w:pStyle w:val="Compact"/>
              <w:jc w:val="left"/>
            </w:pPr>
            <w:r>
              <w:rPr>
                <w:bCs/>
                <w:b/>
              </w:rPr>
              <w:t xml:space="preserve">4–8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 ($0.7–2.9M across the range)</w:t>
            </w:r>
          </w:p>
        </w:tc>
        <w:tc>
          <w:tcPr/>
          <w:p>
            <w:pPr>
              <w:pStyle w:val="Compact"/>
              <w:jc w:val="left"/>
            </w:pPr>
            <w:r>
              <w:t xml:space="preserve">TBD — manufacturer cost model pending</w:t>
            </w:r>
          </w:p>
        </w:tc>
        <w:tc>
          <w:tcPr/>
          <w:p>
            <w:pPr>
              <w:pStyle w:val="Compact"/>
              <w:jc w:val="left"/>
            </w:pPr>
            <w:r>
              <w:rPr>
                <w:bCs/>
                <w:b/>
              </w:rPr>
              <w:t xml:space="preserve">~1.7 years at midpoint (1.0–4.1 years across the range)</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TBD — manufacturer cost model pending</w:t>
            </w:r>
          </w:p>
        </w:tc>
        <w:tc>
          <w:tcPr/>
          <w:p>
            <w:pPr>
              <w:pStyle w:val="Compact"/>
              <w:jc w:val="left"/>
            </w:pPr>
            <w:r>
              <w:t xml:space="preserve">~2.7 years gross — screened out: the literature’s skid-scale SCWO operating band ($0.5–2.0/gal [^D4-48^], not an HCSP figure) consumes most or all of the baseline</w:t>
            </w:r>
          </w:p>
        </w:tc>
      </w:tr>
    </w:tbl>
    <w:p>
      <w:pPr>
        <w:pStyle w:val="BodyText"/>
      </w:pPr>
      <w:r>
        <w:t xml:space="preserve">The table carries two messages. First, payback is a stream-selection variable, not a technology variable: even on the gross-savings basis — before any HCSP operating cost, which is TBD — the spread from 2 months to roughly 4 years is driven entirely by which waste class the skid is plumbed to. Every stream above roughly $4–5 per gallon in baseline cost repays the benchmarked capex in under a year on gross savings alone; the generic bulk stream (~$1.15/gal baseline) does not clear a commercially relevant horizon once any literature-benchmark SCWO operating cost is netted against it, and is screened out.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Those lessons bind the conventional preheater-type designs that generated them. HCSP’s answer is architectural: its on-demand hydrogen loop combusts above 3,000 °F (≈1,650 °C) with the heat delivered directly in-reactor, so the salt deposition that drove the plugging and liner failures above cannot form on this design per the manufacturer — the same salt-management principle documented in the hydrothermal-flame research record [^S1^][^D11-28^]. The Inconel 625 and titanium-liner evidence therefore reads as materials pedigree rather than residual risk, and the honest open item is evidentiary, not design: third-party publication of prototype long-run data on salty and halogenated feeds. Even under a conservatively priced liner-inspection regime, the premium-stream economics remain intact: at the top of the literature’s skid-scale operating band, halogenated streams retain an order-of-magnitude margin between the baseline disposal price and destruction cost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 on a gross-savings basis. At a 10 m³/day high-strength stream (~965,000 gal/yr at 365-day operation), avoided disposal of $1.50–3.00 per gallon is worth $1.45–2.9 million per year in gross addressable savings [^D2-47^]. HCSP’s own operating cost is TBD pending the manufacturer cost model; the only published HCSP-side figure is the spec-sheet electricity allowance (75–95 kW at $0.10/kWh ≈ $66–83k/yr, with no chemicals claimed), which is small against the savings pool. On $2.0–3.0 million benchmarked capex per skid, gross-savings payback is 0.7–2.1 years — and under one year wherever the stream is manifested as hazardous at $5+ per gallon — with net payback computable only once the manufacturer cost model exists.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gross-savings payback of 1.5–4 years on aggregated side-streams (net payback pending the manufacturer cost model)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Gross-savings payback (net pending mfr. cost model)</w:t>
            </w:r>
          </w:p>
        </w:tc>
        <w:tc>
          <w:tcPr/>
          <w:p>
            <w:pPr>
              <w:pStyle w:val="Compact"/>
              <w:jc w:val="left"/>
            </w:pPr>
            <w:r>
              <w:t xml:space="preserve">2 months–1.7 yrs (stream-dependent)</w:t>
            </w:r>
          </w:p>
        </w:tc>
        <w:tc>
          <w:tcPr/>
          <w:p>
            <w:pPr>
              <w:pStyle w:val="Compact"/>
              <w:jc w:val="left"/>
            </w:pPr>
            <w:r>
              <w:t xml:space="preserve">0.7–2.1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qualification pace (salt/corrosion: none claimed — &gt;3,000 °F in-reactor combustion design [^S1^][^D11-28^])</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gross-savings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were SCWO’s leading historical failure mode (chloride corrosion and salt precipitation) in preheater-type designs; HCSP’s &gt;3,000 °F (≈1,650 °C) in-reactor hydrogen combustion eliminates salt deposition per the manufacturer, so brine-concentrate deployments are gated not on materials risk but on third-party publication of prototype operating data validating the design basis on salty feeds.[^D10-16^][^D10-17^][^S1^]</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1"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 the deposition, plugging, and corrosion that blocked conventional preheater-type direct-feed SCWO for three decades; HCSP’s &gt;3,000 °F (≈1,650 °C) in-reactor hydrogen combustion eliminates that deposition by design per the manufacturer, so salt is not the binding constraint here.[^D8-13^][^S1^][^D11-28^]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hub-scale reliability that no vendor has yet commercialized — the two largest SCWO plants ever built, Hanwha’s 2,000 and 5,500 kg/h units, both failed on salt handling in preheater-type designs, the failure mode HCSP’s &gt;3,000 °F in-reactor combustion eliminates per the manufacturer.[^V2D5-17^][^S1^]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End w:id="101"/>
    <w:bookmarkStart w:id="118"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3" w:name="tamsam-summary"/>
    <w:p>
      <w:pPr>
        <w:pStyle w:val="Heading2"/>
      </w:pPr>
      <w:r>
        <w:t xml:space="preserve">8.1 TAM/SAM Summary</w:t>
      </w:r>
    </w:p>
    <w:bookmarkStart w:id="102"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2"/>
    <w:bookmarkEnd w:id="103"/>
    <w:bookmarkStart w:id="105" w:name="unit-economics-of-a-10-m³day-module"/>
    <w:p>
      <w:pPr>
        <w:pStyle w:val="Heading2"/>
      </w:pPr>
      <w:r>
        <w:t xml:space="preserve">8.2 Unit Economics of a 10 m³/day Module</w:t>
      </w:r>
    </w:p>
    <w:bookmarkStart w:id="104" w:name="X3b3b6629a458b33af46fe220b20d398e12e6966"/>
    <w:p>
      <w:pPr>
        <w:pStyle w:val="Heading3"/>
      </w:pPr>
      <w:r>
        <w:t xml:space="preserve">8.2.1 CapEx and the per-gallon service-cost stack</w:t>
      </w:r>
    </w:p>
    <w:p>
      <w:pPr>
        <w:pStyle w:val="FirstParagraph"/>
      </w:pPr>
      <w:r>
        <w:rPr>
          <w:bCs/>
          <w:b/>
        </w:rPr>
        <w:t xml:space="preserve">Stated assumptions and the honesty boundary.</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HCSP has no published cost or price benchmark: the manufacturer cost model is pending, and every HCSP-side cost line below is therefore TBD.</w:t>
      </w:r>
      <w:r>
        <w:t xml:space="preserve"> </w:t>
      </w:r>
      <w:r>
        <w:t xml:space="preserve">What the analysis can legitimately use is (a) the manufacturer-specified electrical allowance, and (b) public capital benchmarks for the SCWO class — anchored to the only verifiable commercial transaction of this class, the AirSCWO 6’s $5.2M equipment-plus-operation contract inside a $7.9M total project at Orange County Sanitation District [^D11-14^], with vendor-deck list prices of $5–6M for the same 6 wet-ton/day unit and an explicit vendor caveat that no unit has yet closed at those prices [^D6-25^]. A smaller, simpler skid without bundled operation would benchmark at roughly $2.5–4.0M; a fully installed site with pre/post-treatment realistically lands at $4.5–6.0M, matching the incumbent’s waste-destruction-service (WDS) site-capital benchmark [^D4-48^]. That benchmarked capital band — not any HCSP cost figure — is the capital basis for the gross-savings payback scenarios in Section 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$/gal (or status)</w:t>
            </w:r>
          </w:p>
        </w:tc>
      </w:tr>
      <w:tr>
        <w:tc>
          <w:tcPr/>
          <w:p>
            <w:pPr>
              <w:pStyle w:val="Compact"/>
              <w:jc w:val="left"/>
            </w:pPr>
            <w:r>
              <w:t xml:space="preserve">Electricity — startup/auxiliary allowance</w:t>
            </w:r>
          </w:p>
        </w:tc>
        <w:tc>
          <w:tcPr/>
          <w:p>
            <w:pPr>
              <w:pStyle w:val="Compact"/>
              <w:jc w:val="left"/>
            </w:pPr>
            <w:r>
              <w:t xml:space="preserve">75–95 kW manufacturer spec × 8,400 h → 180–228 kWh/m³ × $0.066–0.10/kWh [^D12-64^][^D12-65^]</w:t>
            </w:r>
          </w:p>
        </w:tc>
        <w:tc>
          <w:tcPr/>
          <w:p>
            <w:pPr>
              <w:pStyle w:val="Compact"/>
              <w:jc w:val="left"/>
            </w:pPr>
            <w:r>
              <w:t xml:space="preserve">$0.05–0.09 ($12–23/m³) — conservative bound; self-fueling in operation per manufacturer [^S1^]</w:t>
            </w:r>
          </w:p>
        </w:tc>
      </w:tr>
      <w:tr>
        <w:tc>
          <w:tcPr/>
          <w:p>
            <w:pPr>
              <w:pStyle w:val="Compact"/>
              <w:jc w:val="left"/>
            </w:pPr>
            <w:r>
              <w:t xml:space="preserve">Labor</w:t>
            </w:r>
          </w:p>
        </w:tc>
        <w:tc>
          <w:tcPr/>
          <w:p>
            <w:pPr>
              <w:pStyle w:val="Compact"/>
              <w:jc w:val="left"/>
            </w:pPr>
            <w:r>
              <w:t xml:space="preserve">240-bar system staffing</w:t>
            </w:r>
          </w:p>
        </w:tc>
        <w:tc>
          <w:tcPr/>
          <w:p>
            <w:pPr>
              <w:pStyle w:val="Compact"/>
              <w:jc w:val="left"/>
            </w:pPr>
            <w:r>
              <w:t xml:space="preserve">TBD — manufacturer cost model pending</w:t>
            </w:r>
          </w:p>
        </w:tc>
      </w:tr>
      <w:tr>
        <w:tc>
          <w:tcPr/>
          <w:p>
            <w:pPr>
              <w:pStyle w:val="Compact"/>
              <w:jc w:val="left"/>
            </w:pPr>
            <w:r>
              <w:t xml:space="preserve">Maintenance &amp; materials</w:t>
            </w:r>
          </w:p>
        </w:tc>
        <w:tc>
          <w:tcPr/>
          <w:p>
            <w:pPr>
              <w:pStyle w:val="Compact"/>
              <w:jc w:val="left"/>
            </w:pPr>
            <w:r>
              <w:t xml:space="preserve">Corrosion/salt plugging was the dominant failure mode of preheater-type SCWO designs [^D11-29^]; HCSP’s &gt;3,000 °F in-reactor H₂ combustion eliminates salt deposition per manufacturer [^S1^][^D11-28^]</w:t>
            </w:r>
          </w:p>
        </w:tc>
        <w:tc>
          <w:tcPr/>
          <w:p>
            <w:pPr>
              <w:pStyle w:val="Compact"/>
              <w:jc w:val="left"/>
            </w:pPr>
            <w:r>
              <w:t xml:space="preserve">TBD — manufacturer cost model pending</w:t>
            </w:r>
          </w:p>
        </w:tc>
      </w:tr>
      <w:tr>
        <w:tc>
          <w:tcPr/>
          <w:p>
            <w:pPr>
              <w:pStyle w:val="Compact"/>
              <w:jc w:val="left"/>
            </w:pPr>
            <w:r>
              <w:t xml:space="preserve">Oxidant, residue disposal, misc.</w:t>
            </w:r>
          </w:p>
        </w:tc>
        <w:tc>
          <w:tcPr/>
          <w:p>
            <w:pPr>
              <w:pStyle w:val="Compact"/>
              <w:jc w:val="left"/>
            </w:pPr>
            <w:r>
              <w:t xml:space="preserve">No chemicals claimed; mineral residue off-take</w:t>
            </w:r>
          </w:p>
        </w:tc>
        <w:tc>
          <w:tcPr/>
          <w:p>
            <w:pPr>
              <w:pStyle w:val="Compact"/>
              <w:jc w:val="left"/>
            </w:pPr>
            <w:r>
              <w:t xml:space="preserve">TBD — manufacturer cost model pending</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TBD</w:t>
            </w:r>
          </w:p>
        </w:tc>
      </w:tr>
      <w:tr>
        <w:tc>
          <w:tcPr/>
          <w:p>
            <w:pPr>
              <w:pStyle w:val="Compact"/>
              <w:jc w:val="left"/>
            </w:pPr>
            <w:r>
              <w:t xml:space="preserve">CapEx amortization</w:t>
            </w:r>
          </w:p>
        </w:tc>
        <w:tc>
          <w:tcPr/>
          <w:p>
            <w:pPr>
              <w:pStyle w:val="Compact"/>
              <w:jc w:val="left"/>
            </w:pPr>
            <w:r>
              <w:t xml:space="preserve">Module pricing TBD; class capital benchmarks in text</w:t>
            </w:r>
          </w:p>
        </w:tc>
        <w:tc>
          <w:tcPr/>
          <w:p>
            <w:pPr>
              <w:pStyle w:val="Compact"/>
              <w:jc w:val="left"/>
            </w:pPr>
            <w:r>
              <w:rPr>
                <w:bCs/>
                <w:b/>
              </w:rPr>
              <w:t xml:space="preserve">TBD</w:t>
            </w:r>
          </w:p>
        </w:tc>
      </w:tr>
      <w:tr>
        <w:tc>
          <w:tcPr/>
          <w:p>
            <w:pPr>
              <w:pStyle w:val="Compact"/>
              <w:jc w:val="left"/>
            </w:pPr>
            <w:r>
              <w:rPr>
                <w:bCs/>
                <w:b/>
              </w:rPr>
              <w:t xml:space="preserve">Fully loaded HCSP cost stack</w:t>
            </w:r>
          </w:p>
        </w:tc>
        <w:tc>
          <w:tcPr/>
          <w:p>
            <w:pPr>
              <w:pStyle w:val="Compact"/>
            </w:pPr>
          </w:p>
        </w:tc>
        <w:tc>
          <w:tcPr/>
          <w:p>
            <w:pPr>
              <w:pStyle w:val="Compact"/>
              <w:jc w:val="left"/>
            </w:pPr>
            <w:r>
              <w:rPr>
                <w:bCs/>
                <w:b/>
              </w:rPr>
              <w:t xml:space="preserve">TBD — pending manufacturer cost model</w:t>
            </w:r>
          </w:p>
        </w:tc>
      </w:tr>
      <w:tr>
        <w:tc>
          <w:tcPr/>
          <w:p>
            <w:pPr>
              <w:pStyle w:val="Compact"/>
              <w:jc w:val="left"/>
            </w:pPr>
            <w:r>
              <w:t xml:space="preserve">SCWO-class literature calibration (not HCSP figures)</w:t>
            </w:r>
          </w:p>
        </w:tc>
        <w:tc>
          <w:tcPr/>
          <w:p>
            <w:pPr>
              <w:pStyle w:val="Compact"/>
              <w:jc w:val="left"/>
            </w:pPr>
            <w:r>
              <w:t xml:space="preserve">Slurry treatment projected at larger scale, amortization-dominant [^D11-16^][^D5-38^]; skid-scale analyst band for concentrated feeds [^D4-48^]</w:t>
            </w:r>
          </w:p>
        </w:tc>
        <w:tc>
          <w:tcPr/>
          <w:p>
            <w:pPr>
              <w:pStyle w:val="Compact"/>
              <w:jc w:val="left"/>
            </w:pPr>
            <w:r>
              <w:t xml:space="preserve">$0.04–0.37/gal at scale; $0.5–2.0/gal skid-scale</w:t>
            </w:r>
          </w:p>
        </w:tc>
      </w:tr>
    </w:tbl>
    <w:p>
      <w:pPr>
        <w:pStyle w:val="BodyText"/>
      </w:pPr>
      <w:r>
        <w:rPr>
          <w:bCs/>
          <w:b/>
        </w:rPr>
        <w:t xml:space="preserve">Interpretation.</w:t>
      </w:r>
      <w:r>
        <w:t xml:space="preserve"> </w:t>
      </w:r>
      <w:r>
        <w:t xml:space="preserve">HCSP’s fully loaded per-gallon cost cannot yet be stated — it awaits the manufacturer cost model — but the decision question does not wait on it. The SCWO literature supplies two independent calibration bands for the technology class: slurry treatment projected at $0.04–0.37/gal at larger scale where amortization dominates [^D11-16^][^D5-38^], and a $0.5–2.0/gal operating band modeled for concentrated feeds at skid scale [^D4-48^]. Both sit far below the incumbent price umbrella any SCWO module sells against: hazardous-waste incineration at $1,110–1,610/ton [^D11-20^] (≈$4.2–6.1/gal for aqueous waste), PFAS incineration service at $5–10/gal, and incumbent SCWO service at $6–10/gal [^D4-47^]. Where HCSP lands inside — or below — those literature bands will set its margin, not its market: the umbrella is wide enough to absorb the full range of published class costs. Two sensitivities will matter more than any line item once the cost model exists.</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allowance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in preheater-type designs, not chemistry failures [^D11-9^][^D4-35^]. HCSP’s &gt;3,000 °F (≈1,650 °C) in-reactor hydrogen combustion eliminates the salt deposition behind those failures per the manufacturer — consistent with the published hydrothermal-flame research record [^S1^][^D11-28^] — so the maintenance question narrows to a single evidentiary item: third-party publication of prototype long-run data on salty feeds to confirm the design basis, with a measured service regime materially shorter than several thousand hours being the signal that would push a skid-scale stack toward the top of the literature band.</w:t>
      </w:r>
    </w:p>
    <w:p>
      <w:pPr>
        <w:pStyle w:val="BodyText"/>
      </w:pPr>
      <w:r>
        <w:rPr>
          <w:bCs/>
          <w:b/>
        </w:rPr>
        <w:t xml:space="preserve">Worked example 1 — PFAS concentrate destruction service (gross-savings scenario).</w:t>
      </w:r>
      <w:r>
        <w:t xml:space="preserve"> </w:t>
      </w:r>
      <w:r>
        <w:t xml:space="preserve">Take foam-fractionate or ion-exchange regenerant at an illustrative contract price of</w:t>
      </w:r>
      <w:r>
        <w:t xml:space="preserve"> </w:t>
      </w:r>
      <w:r>
        <w:rPr>
          <w:bCs/>
          <w:b/>
        </w:rPr>
        <w:t xml:space="preserve">$3/gal</w:t>
      </w:r>
      <w:r>
        <w:t xml:space="preserve"> </w:t>
      </w:r>
      <w:r>
        <w:t xml:space="preserve">— the middle of the $2–4/gal band the literature identifies as viable for undercutting incineration 2–5× [^D4-48^], and consistent with the field-proven $1.63–4.88/gal cost range for incumbent SCWO services on PFAS concentrates [^D11-19^]. HCSP’s actual service pricing is TBD; this is a scenario, not a quote. Annual gross revenue: 925,000 gal × $3/gal ≈ $2.78M. Electricity allowance: 0.68–0.86 kWh/gal × $0.10/kWh ≈ $0.07–0.09/gal [^D4-48^], i.e., $63–80k/yr — under 3% of gross revenue. Deducting only this conservatively bounded energy allowance leaves ~$2.7M/yr of gross margin before labor, maintenance, and other operating costs that remain TBD pending the manufacturer cost model; against the benchmarked $2.5–4.0M capital band, gross revenue alone implies a gross-savings payback of</w:t>
      </w:r>
      <w:r>
        <w:t xml:space="preserve"> </w:t>
      </w:r>
      <w:r>
        <w:rPr>
          <w:bCs/>
          <w:b/>
        </w:rPr>
        <w:t xml:space="preserve">~0.9–1.4 years</w:t>
      </w:r>
      <w:r>
        <w:t xml:space="preserve">, ahead of the incumbent’s own claimed 1.5–2.5-year WDS payback [^D4-48^] — with net payback and EBITDA not computable until the cost model exists. The strategic reading survives intact: at destruction-service prices, power cost is nearly irrelevant to margin; utilization and uptime are the entire game.</w:t>
      </w:r>
    </w:p>
    <w:bookmarkEnd w:id="104"/>
    <w:bookmarkEnd w:id="105"/>
    <w:bookmarkStart w:id="110" w:name="payback-by-vertical"/>
    <w:p>
      <w:pPr>
        <w:pStyle w:val="Heading2"/>
      </w:pPr>
      <w:r>
        <w:t xml:space="preserve">8.3 Payback by Vertical</w:t>
      </w:r>
    </w:p>
    <w:bookmarkStart w:id="109" w:name="payback-table-and-ranking"/>
    <w:p>
      <w:pPr>
        <w:pStyle w:val="Heading3"/>
      </w:pPr>
      <w:r>
        <w:t xml:space="preserve">8.3.1 Payback table and ranking</w:t>
      </w:r>
    </w:p>
    <w:p>
      <w:pPr>
        <w:pStyle w:val="FirstParagraph"/>
      </w:pPr>
      <w:r>
        <w:rPr>
          <w:bCs/>
          <w:b/>
        </w:rPr>
        <w:t xml:space="preserve">Worked example 2 — halogenated solvent displacement (gross-savings scenario).</w:t>
      </w:r>
      <w:r>
        <w:t xml:space="preserve"> </w:t>
      </w:r>
      <w:r>
        <w:t xml:space="preserve">A generator paying the published $15–20/gal (halogenated) to $5–10/gal (non-halogenated) commercial disposal rates [^D5-15^][^D5-16^] spends $13.9–18.5M/yr to haul and incinerate one module’s throughput. That spend is the gross addressable savings pool: against a $3M benchmarked module capital cost, the gross-savings payback is</w:t>
      </w:r>
      <w:r>
        <w:t xml:space="preserve"> </w:t>
      </w:r>
      <w:r>
        <w:rPr>
          <w:bCs/>
          <w:b/>
        </w:rPr>
        <w:t xml:space="preserve">roughly 2–3 months</w:t>
      </w:r>
      <w:r>
        <w:t xml:space="preserve">, and even at the $9.50/gal municipal-program price for chlorinated solvents it is ~4 months [^D5-16^]. Net savings and net payback require HCSP’s operating cost, which is TBD pending the manufacturer cost model — but even at the top of the literature’s $0.5–2.0/gal skid-scale SCWO band [^D4-48^], an order-of-magnitude margin against a $15–20/gal baseline remains. At the premium end — halogenated or API-active streams manifest at $15–50+/gal [^D3-46^][^D2-8^] — the gross-savings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 (gross)</w:t>
            </w:r>
          </w:p>
        </w:tc>
        <w:tc>
          <w:tcPr/>
          <w:p>
            <w:pPr>
              <w:pStyle w:val="Compact"/>
              <w:jc w:val="left"/>
            </w:pPr>
            <w:r>
              <w:t xml:space="preserve">CapEx basis (benchmark)</w:t>
            </w:r>
          </w:p>
        </w:tc>
        <w:tc>
          <w:tcPr/>
          <w:p>
            <w:pPr>
              <w:pStyle w:val="Compact"/>
              <w:jc w:val="left"/>
            </w:pPr>
            <w:r>
              <w:t xml:space="preserve">Payback — gross-savings basis*</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$4.6–18.5M gross avoided disposal</w:t>
            </w:r>
          </w:p>
        </w:tc>
        <w:tc>
          <w:tcPr/>
          <w:p>
            <w:pPr>
              <w:pStyle w:val="Compact"/>
              <w:jc w:val="left"/>
            </w:pPr>
            <w:r>
              <w:t xml:space="preserve">$3M</w:t>
            </w:r>
          </w:p>
        </w:tc>
        <w:tc>
          <w:tcPr/>
          <w:p>
            <w:pPr>
              <w:pStyle w:val="Compact"/>
              <w:jc w:val="left"/>
            </w:pPr>
            <w:r>
              <w:rPr>
                <w:bCs/>
                <w:b/>
              </w:rPr>
              <w:t xml:space="preserve">0.2–0.7 yr (2–8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illustrative service revenue at the $2–4/gal literature band (HCSP pricing TBD)</w:t>
            </w:r>
          </w:p>
        </w:tc>
        <w:tc>
          <w:tcPr/>
          <w:p>
            <w:pPr>
              <w:pStyle w:val="Compact"/>
              <w:jc w:val="left"/>
            </w:pPr>
            <w:r>
              <w:t xml:space="preserve">$2.5–3.0M</w:t>
            </w:r>
          </w:p>
        </w:tc>
        <w:tc>
          <w:tcPr/>
          <w:p>
            <w:pPr>
              <w:pStyle w:val="Compact"/>
              <w:jc w:val="left"/>
            </w:pPr>
            <w:r>
              <w:rPr>
                <w:bCs/>
                <w:b/>
              </w:rPr>
              <w:t xml:space="preserve">~0.7–1.6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$1.4–2.9M gross avoided disposal</w:t>
            </w:r>
          </w:p>
        </w:tc>
        <w:tc>
          <w:tcPr/>
          <w:p>
            <w:pPr>
              <w:pStyle w:val="Compact"/>
              <w:jc w:val="left"/>
            </w:pPr>
            <w:r>
              <w:t xml:space="preserve">$2.0–3.0M [^D2-47^]</w:t>
            </w:r>
          </w:p>
        </w:tc>
        <w:tc>
          <w:tcPr/>
          <w:p>
            <w:pPr>
              <w:pStyle w:val="Compact"/>
              <w:jc w:val="left"/>
            </w:pPr>
            <w:r>
              <w:rPr>
                <w:bCs/>
                <w:b/>
              </w:rPr>
              <w:t xml:space="preserve">0.7–2.1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$1.8M gross at the midpoint ($0.7–2.9M across $200–800/t)</w:t>
            </w:r>
          </w:p>
        </w:tc>
        <w:tc>
          <w:tcPr/>
          <w:p>
            <w:pPr>
              <w:pStyle w:val="Compact"/>
              <w:jc w:val="left"/>
            </w:pPr>
            <w:r>
              <w:t xml:space="preserve">$3M</w:t>
            </w:r>
          </w:p>
        </w:tc>
        <w:tc>
          <w:tcPr/>
          <w:p>
            <w:pPr>
              <w:pStyle w:val="Compact"/>
              <w:jc w:val="left"/>
            </w:pPr>
            <w:r>
              <w:rPr>
                <w:bCs/>
                <w:b/>
              </w:rPr>
              <w:t xml:space="preserve">~1.7 yr at midpoint (1.0–4.1 yr across the range)</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BodyText"/>
      </w:pPr>
      <w:r>
        <w:rPr>
          <w:iCs/>
          <w:i/>
        </w:rPr>
        <w:t xml:space="preserve">*Gross-savings basis: payback = benchmarked capital cost ÷ gross annual avoided disposal spend (or illustrative service revenue) at incumbent market prices. HCSP’s own operating cost and service pricing are TBD — manufacturer cost model pending — so net payback and ROI are not yet computable. Rows sourced to third-party models (biosolids, textile, F&amp;B, distillery, islands) retain those models’ own bases and citations.</w:t>
      </w:r>
    </w:p>
    <w:p>
      <w:pPr>
        <w:pStyle w:val="CaptionedFigure"/>
      </w:pPr>
      <w:r>
        <w:drawing>
          <wp:inline>
            <wp:extent cx="5334000" cy="3465153"/>
            <wp:effectExtent b="0" l="0" r="0" t="0"/>
            <wp:docPr descr="Gross-savings payback by vertical for a 10 m³/day HCSP module (benchmarked capex ÷ gross annual avoided disposal at incumbent market prices); net payback pending the manufacturer cost model. Source: HCSP research dimension reports Dims 01–08, 10–12." title="" id="107" name="Picture"/>
            <a:graphic>
              <a:graphicData uri="http://schemas.openxmlformats.org/drawingml/2006/picture">
                <pic:pic>
                  <pic:nvPicPr>
                    <pic:cNvPr descr="hcsp_sec08_payback_by_vertical.png" id="108" name="Picture"/>
                    <pic:cNvPicPr>
                      <a:picLocks noChangeArrowheads="1" noChangeAspect="1"/>
                    </pic:cNvPicPr>
                  </pic:nvPicPr>
                  <pic:blipFill>
                    <a:blip r:embed="rId106"/>
                    <a:stretch>
                      <a:fillRect/>
                    </a:stretch>
                  </pic:blipFill>
                  <pic:spPr bwMode="auto">
                    <a:xfrm>
                      <a:off x="0" y="0"/>
                      <a:ext cx="5334000" cy="3465153"/>
                    </a:xfrm>
                    <a:prstGeom prst="rect">
                      <a:avLst/>
                    </a:prstGeom>
                    <a:noFill/>
                    <a:ln w="9525">
                      <a:noFill/>
                      <a:headEnd/>
                      <a:tailEnd/>
                    </a:ln>
                  </pic:spPr>
                </pic:pic>
              </a:graphicData>
            </a:graphic>
          </wp:inline>
        </w:drawing>
      </w:r>
    </w:p>
    <w:p>
      <w:pPr>
        <w:pStyle w:val="ImageCaption"/>
      </w:pPr>
      <w:r>
        <w:t xml:space="preserve">Gross-savings payback by vertical for a 10 m³/day HCSP module (benchmarked capex ÷ gross annual avoided disposal at incumbent market prices); net payback pending the manufacturer cost model. Source: HCSP research dimension reports Dims 01–08, 10–12.</w:t>
      </w:r>
    </w:p>
    <w:p>
      <w:pPr>
        <w:pStyle w:val="BodyText"/>
      </w:pPr>
      <w:r>
        <w:rPr>
          <w:bCs/>
          <w:b/>
        </w:rPr>
        <w:t xml:space="preserve">Interpretation.</w:t>
      </w:r>
      <w:r>
        <w:t xml:space="preserve"> </w:t>
      </w:r>
      <w:r>
        <w:t xml:space="preserve">Every rung of the ladder is a gross-savings ratio — benchmarked capital against avoided disposal spend at incumbent market prices — because HCSP’s own cost stack is TBD pending the manufacturer cost model; the ranking is nonetheless decision-ready, since the published SCWO-class cost bands ($1.63–4.88/gal field-proven for incumbent PFAS-concentrate service [^D11-19^]; $0.5–2.0/gal skid-scale analyst band [^D4-48^]) sit far below the destruction-priced baselines that head the table. Read that way, 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gross-savings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09"/>
    <w:bookmarkEnd w:id="110"/>
    <w:bookmarkStart w:id="112" w:name="regional-breakdown-us-and-global"/>
    <w:p>
      <w:pPr>
        <w:pStyle w:val="Heading2"/>
      </w:pPr>
      <w:r>
        <w:t xml:space="preserve">8.4 Regional Breakdown: US and Global</w:t>
      </w:r>
    </w:p>
    <w:bookmarkStart w:id="111"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1"/>
    <w:bookmarkEnd w:id="112"/>
    <w:bookmarkStart w:id="116"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in the analyst scale-ladder model,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a module-scale fully loaded cost in the analyst model’s ~$215–310/m³ band would be fatal but the modeled at-scale stack of ~$33–120/m³ undercuts the incumbent thermal trains. These are literature-anchored analyst benchmarks for the SCWO class, not HCSP figures — HCSP’s own cost model and pricing are pending.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The ladder is an analyst benchmark model for the SCWO technology class with stated assumptions — no figure in the table is an HCSP manufacturer cost or price, which remain TBD.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analyst model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 a salt-fouled recuperator being the classic preheater-type failure mode — returns any scale to the 300–500 kWh/m³ regime, adding $10–35/m³; HCSP’s &gt;3,000 °F in-reactor combustion eliminates in-reactor salt deposition per the manufacturer [^S1^][^D11-28^], making the Chapter 10 reliability gate (published prototype long-run data)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4" name="Picture"/>
            <a:graphic>
              <a:graphicData uri="http://schemas.openxmlformats.org/drawingml/2006/picture">
                <pic:pic>
                  <pic:nvPicPr>
                    <pic:cNvPr descr="hcsp_sec08_scale_curve.png" id="115" name="Picture"/>
                    <pic:cNvPicPr>
                      <a:picLocks noChangeArrowheads="1" noChangeAspect="1"/>
                    </pic:cNvPicPr>
                  </pic:nvPicPr>
                  <pic:blipFill>
                    <a:blip r:embed="rId113"/>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6"/>
    <w:bookmarkStart w:id="117"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7"/>
    <w:bookmarkEnd w:id="118"/>
    <w:bookmarkStart w:id="124"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0"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19"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with the energy architecture common across the family and salt deposition answered by the &gt;3,000 °F (≈1,650 °C) in-reactor combustion design per the manufacturer [^S4^][^D11-28^], engineering budget should concentrate on what actually differentiates the variants — feed handling, pre-modules, and materials pedigree for the harshest streams.</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19"/>
    <w:bookmarkEnd w:id="120"/>
    <w:bookmarkStart w:id="122" w:name="the-variant-portfolio"/>
    <w:p>
      <w:pPr>
        <w:pStyle w:val="Heading2"/>
      </w:pPr>
      <w:r>
        <w:t xml:space="preserve">9.2 The Variant Portfolio</w:t>
      </w:r>
    </w:p>
    <w:bookmarkStart w:id="121"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carry the industry’s credibility burden on exactly that history — which HCSP’s &gt;3,000 °F in-reactor combustion design answers at the deposition mechanism per the manufacturer [^S4^][^D11-28^]; the Inconel 625 and titanium-liner evidence base is therefore a materials-pedigree asset for the halogen-facing share of the portfolio, not an admission of a residual salt problem.[^D5-40^]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the SCWO industry’s corrosion history and its pricing power both peak. The engineering pedigree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On top of that pedigree, HCSP’s &gt;3,000 °F in-reactor hydrogen combustion eliminates the salt-deposition mechanism itself per the manufacturer, consistent with hydrothermal-flame research.[^S4^][^D11-28^] This variant justifies premium pricing because the alternative — special incineration of halogenated or reactive waste — costs $15–50+/gal.[^D2-9^] Differentiation is therefore the materials package plus one evidentiary step: third-party publication of prototype long-run data on halogenated feeds, which converts the manufacturer’s design basis into a bankable answer to the industry’s corrosion history.</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1"/>
    <w:bookmarkEnd w:id="122"/>
    <w:bookmarkStart w:id="123"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3"/>
    <w:bookmarkEnd w:id="124"/>
    <w:bookmarkStart w:id="131"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6" w:name="sequencing"/>
    <w:p>
      <w:pPr>
        <w:pStyle w:val="Heading2"/>
      </w:pPr>
      <w:r>
        <w:t xml:space="preserve">10.1 Sequencing</w:t>
      </w:r>
    </w:p>
    <w:bookmarkStart w:id="125"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gross-savings paybacks in the analysis — roughly two to eight months against solvent-disposal pricing of $5–20+/gal, with net payback pending the manufacturer cost model —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5"/>
    <w:bookmarkEnd w:id="126"/>
    <w:bookmarkStart w:id="128" w:name="risk-register"/>
    <w:p>
      <w:pPr>
        <w:pStyle w:val="Heading2"/>
      </w:pPr>
      <w:r>
        <w:t xml:space="preserve">10.2 Risk Register</w:t>
      </w:r>
    </w:p>
    <w:bookmarkStart w:id="127"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 (historical industry failure mode — design-answered in HCSP)</w:t>
            </w:r>
          </w:p>
        </w:tc>
        <w:tc>
          <w:tcPr/>
          <w:p>
            <w:pPr>
              <w:pStyle w:val="Compact"/>
              <w:jc w:val="left"/>
            </w:pPr>
            <w:r>
              <w:t xml:space="preserve">Low</w:t>
            </w:r>
          </w:p>
        </w:tc>
        <w:tc>
          <w:tcPr/>
          <w:p>
            <w:pPr>
              <w:pStyle w:val="Compact"/>
              <w:jc w:val="left"/>
            </w:pPr>
            <w:r>
              <w:t xml:space="preserve">Very High (existential) only if the design basis were disproven in operation</w:t>
            </w:r>
          </w:p>
        </w:tc>
        <w:tc>
          <w:tcPr/>
          <w:p>
            <w:pPr>
              <w:pStyle w:val="Compact"/>
              <w:jc w:val="left"/>
            </w:pPr>
            <w:r>
              <w:t xml:space="preserve">HCSP’s &gt;3,000 °F (≈1,650 °C) in-reactor hydrogen combustion eliminates salt deposition per the manufacturer — consistent with published hydrothermal-flame research — so mitigation is evidentiary: publish third-party-witnessed prototype long-run data on salty feeds; Inconel 625 core (0.6 mm/yr demonstrated at 600 °C/25 MPa) and titanium-liner architecture retained as materials pedigree [^S2^][^D11-28^]</w:t>
            </w:r>
          </w:p>
        </w:tc>
        <w:tc>
          <w:tcPr/>
          <w:p>
            <w:pPr>
              <w:pStyle w:val="Compact"/>
              <w:jc w:val="left"/>
            </w:pPr>
            <w:r>
              <w:t xml:space="preserve">Historical failure mode of preheater-type designs: 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the</w:t>
      </w:r>
      <w:r>
        <w:t xml:space="preserve"> </w:t>
      </w:r>
      <w:r>
        <w:rPr>
          <w:iCs/>
          <w:i/>
        </w:rPr>
        <w:t xml:space="preserve">supply-side</w:t>
      </w:r>
      <w:r>
        <w:t xml:space="preserve"> </w:t>
      </w:r>
      <w:r>
        <w:t xml:space="preserve">risks are the ones that can invalidate the unit itself — and here the picture has improved: salt-plugging/corrosion, the historical supply-side failure mode of preheater-type SCWO designs, is answered at the mechanism level by HCSP’s &gt;3,000 °F in-reactor hydrogen combustion per the manufacturer [^S2^][^D11-28^], leaving scale-up as the dominant residual supply-side risk. Phase 1–3 demonstrations must therefore be instrumented to publish liner-wear, salty-feed, and availability data at each ladder rung — the validation agenda that converts the manufacturer’s salt-design claim into bankable evidence —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uptime, feed discipline, honest scaling, and publishing the prototype operating data that validates the manufacturer’s salt-design basis — not market existence.</w:t>
      </w:r>
    </w:p>
    <w:bookmarkEnd w:id="127"/>
    <w:bookmarkEnd w:id="128"/>
    <w:bookmarkStart w:id="130" w:name="strategic-recommendations"/>
    <w:p>
      <w:pPr>
        <w:pStyle w:val="Heading2"/>
      </w:pPr>
      <w:r>
        <w:t xml:space="preserve">10.3 Strategic Recommendations</w:t>
      </w:r>
    </w:p>
    <w:bookmarkStart w:id="129"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a service model captures the disposal-price umbrella directly, as recurring revenue, rather than as a one-time equipment margin — with actual service margins to be set once the manufacturer cost model exists.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First — the validation agenda for the manufacturer’s salt claim, stated as a falsification test: prototype long-run data on salty feeds showing salt deposition or liner wear materially worse than the &gt;3,000 °F in-reactor combustion design basis would invalidate the design answer; the test is specified here precisely so that published third-party data can retire it [^S2^][^D11-28^]. Second, a guidance or policy shift that re-legitimizes cheap relocation over destruction. And — the v2 addition — third,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29"/>
    <w:bookmarkEnd w:id="130"/>
    <w:bookmarkEnd w:id="131"/>
    <w:bookmarkStart w:id="143"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5" w:name="the-physics-of-scaling-scwo"/>
    <w:p>
      <w:pPr>
        <w:pStyle w:val="Heading2"/>
      </w:pPr>
      <w:r>
        <w:t xml:space="preserve">11.1 The Physics of Scaling SCWO</w:t>
      </w:r>
    </w:p>
    <w:bookmarkStart w:id="132"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2"/>
    <w:bookmarkStart w:id="133"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 the largest operating line in the analyst cost model of Section 11.2 — is a solvable engineering problem at hub scale even before feed strength enters the picture.</w:t>
      </w:r>
    </w:p>
    <w:bookmarkEnd w:id="133"/>
    <w:bookmarkStart w:id="134"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4"/>
    <w:bookmarkEnd w:id="135"/>
    <w:bookmarkStart w:id="137" w:name="the-cost-model-by-class"/>
    <w:p>
      <w:pPr>
        <w:pStyle w:val="Heading2"/>
      </w:pPr>
      <w:r>
        <w:t xml:space="preserve">11.2 The Cost Model by Class</w:t>
      </w:r>
    </w:p>
    <w:bookmarkStart w:id="136"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 This is an analyst benchmark model for the SCWO technology class with stated assumptions: HCSP’s own manufacturer cost model and pricing are pending (early-phase company), so no figure in the table is an HCSP cost or price.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analyst model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analyst model’s ~$215–310/m³ fully loaded cost at module scale — a literature benchmark, not an HCSP manufacturer figure — is not a failure of the technology: it is the arithmetic of a $300k+/m³-d capital intensity amortized over 3,300 m³/yr, which is why Part I positioned the module only under destruction-priced umbrellas ($1.63–4.88/gal PFAS-concentrate incumbents), never against treatment-priced ones. Second, the 100 m³/d rung is where the modeled cost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6"/>
    <w:bookmarkEnd w:id="137"/>
    <w:bookmarkStart w:id="142" w:name="the-energy-crossover"/>
    <w:p>
      <w:pPr>
        <w:pStyle w:val="Heading2"/>
      </w:pPr>
      <w:r>
        <w:t xml:space="preserve">11.3 The Energy Crossover</w:t>
      </w:r>
    </w:p>
    <w:bookmarkStart w:id="141"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39" name="Picture"/>
            <a:graphic>
              <a:graphicData uri="http://schemas.openxmlformats.org/drawingml/2006/picture">
                <pic:pic>
                  <pic:nvPicPr>
                    <pic:cNvPr descr="hcsp_sec11_energy_crossover.png" id="140" name="Picture"/>
                    <pic:cNvPicPr>
                      <a:picLocks noChangeArrowheads="1" noChangeAspect="1"/>
                    </pic:cNvPicPr>
                  </pic:nvPicPr>
                  <pic:blipFill>
                    <a:blip r:embed="rId138"/>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1"/>
    <w:bookmarkEnd w:id="142"/>
    <w:bookmarkEnd w:id="143"/>
    <w:bookmarkStart w:id="159"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49" w:name="the-heat-allocation-model"/>
    <w:p>
      <w:pPr>
        <w:pStyle w:val="Heading2"/>
      </w:pPr>
      <w:r>
        <w:t xml:space="preserve">12.1 The Heat-Allocation Model</w:t>
      </w:r>
    </w:p>
    <w:bookmarkStart w:id="144"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4"/>
    <w:bookmarkStart w:id="148"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6" name="Picture"/>
            <a:graphic>
              <a:graphicData uri="http://schemas.openxmlformats.org/drawingml/2006/picture">
                <pic:pic>
                  <pic:nvPicPr>
                    <pic:cNvPr descr="hcsp_sec12_heat_allocation.png" id="147" name="Picture"/>
                    <pic:cNvPicPr>
                      <a:picLocks noChangeArrowheads="1" noChangeAspect="1"/>
                    </pic:cNvPicPr>
                  </pic:nvPicPr>
                  <pic:blipFill>
                    <a:blip r:embed="rId145"/>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8"/>
    <w:bookmarkEnd w:id="149"/>
    <w:bookmarkStart w:id="152" w:name="cooling-from-waste-heat"/>
    <w:p>
      <w:pPr>
        <w:pStyle w:val="Heading2"/>
      </w:pPr>
      <w:r>
        <w:t xml:space="preserve">12.2 Cooling From Waste Heat</w:t>
      </w:r>
    </w:p>
    <w:bookmarkStart w:id="150"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0"/>
    <w:bookmarkStart w:id="151"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1"/>
    <w:bookmarkEnd w:id="152"/>
    <w:bookmarkStart w:id="158"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3"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3"/>
    <w:bookmarkStart w:id="154"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4"/>
    <w:bookmarkStart w:id="155"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5"/>
    <w:bookmarkStart w:id="156"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6"/>
    <w:bookmarkStart w:id="157"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7"/>
    <w:bookmarkEnd w:id="158"/>
    <w:bookmarkEnd w:id="159"/>
    <w:bookmarkStart w:id="167"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0"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0"/>
    <w:bookmarkStart w:id="163" w:name="the-contenders"/>
    <w:p>
      <w:pPr>
        <w:pStyle w:val="Heading2"/>
      </w:pPr>
      <w:r>
        <w:t xml:space="preserve">13.2 The Contenders</w:t>
      </w:r>
    </w:p>
    <w:bookmarkStart w:id="161"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1"/>
    <w:bookmarkStart w:id="162"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2"/>
    <w:bookmarkEnd w:id="163"/>
    <w:bookmarkStart w:id="166" w:name="the-decision-rule"/>
    <w:p>
      <w:pPr>
        <w:pStyle w:val="Heading2"/>
      </w:pPr>
      <w:r>
        <w:t xml:space="preserve">13.3 The Decision Rule</w:t>
      </w:r>
    </w:p>
    <w:bookmarkStart w:id="164"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4"/>
    <w:bookmarkStart w:id="165"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5"/>
    <w:bookmarkEnd w:id="166"/>
    <w:bookmarkEnd w:id="167"/>
    <w:bookmarkStart w:id="186" w:name="references"/>
    <w:p>
      <w:pPr>
        <w:pStyle w:val="Heading1"/>
      </w:pPr>
      <w:r>
        <w:t xml:space="preserve">References</w:t>
      </w:r>
    </w:p>
    <w:bookmarkStart w:id="168"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68"/>
    <w:bookmarkStart w:id="169"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69"/>
    <w:bookmarkStart w:id="170"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 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bookmarkEnd w:id="170"/>
    <w:bookmarkStart w:id="171"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71"/>
    <w:bookmarkStart w:id="172"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72"/>
    <w:bookmarkStart w:id="173"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73"/>
    <w:bookmarkStart w:id="174"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 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74"/>
    <w:bookmarkStart w:id="175"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75"/>
    <w:bookmarkStart w:id="176"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76"/>
    <w:bookmarkStart w:id="177"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bookmarkEnd w:id="177"/>
    <w:bookmarkStart w:id="178"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[D11-28] J. Supercritical Fluids (Wellig 2005/2009); NASA NTRS 20150023100; MDPI Appl. Sci. 2020 review — In-reactor hydrothermal flames (&gt;1,000 °C combustion zones within supercritical water) as an internal SCWO heat source and documented salt-management approach (ETH Zürich transpiring-wall reactor; NASA SCWO-FPV). https://ntrs.nasa.gov/api/citations/20150023100/downloads/20150023100.pdf ; https://www.mdpi.com/2076-3417/10/5/1645</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78"/>
    <w:bookmarkStart w:id="179"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79"/>
    <w:bookmarkStart w:id="180"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80"/>
    <w:bookmarkStart w:id="181"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bookmarkEnd w:id="181"/>
    <w:bookmarkStart w:id="182"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bookmarkEnd w:id="182"/>
    <w:bookmarkStart w:id="183"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83"/>
    <w:bookmarkStart w:id="184"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84"/>
    <w:bookmarkStart w:id="185" w:name="s"/>
    <w:p>
      <w:pPr>
        <w:pStyle w:val="Heading2"/>
      </w:pPr>
      <w:r>
        <w:t xml:space="preserve">S</w:t>
      </w:r>
    </w:p>
    <w:p>
      <w:pPr>
        <w:pStyle w:val="FirstParagraph"/>
      </w:pPr>
      <w:r>
        <w:t xml:space="preserve">[S1] (Ch. 0, 1, 2, 4, 5, 6,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185"/>
    <w:bookmarkEnd w:id="186"/>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6" Type="http://schemas.openxmlformats.org/officeDocument/2006/relationships/image" Target="media/rId106.png"/><Relationship Id="rId113" Type="http://schemas.openxmlformats.org/officeDocument/2006/relationships/image" Target="media/rId113.png"/><Relationship Id="rId138" Type="http://schemas.openxmlformats.org/officeDocument/2006/relationships/image" Target="media/rId138.png"/><Relationship Id="rId145" Type="http://schemas.openxmlformats.org/officeDocument/2006/relationships/image" Target="media/rId145.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2026-09-03T00:10:20Z</dcterms:created>
  <dcterms:modified xsi:type="dcterms:W3CDTF">2026-09-03T00:10:20Z</dcterms:modified>
</cp:coreProperties>
</file>

<file path=docProps/custom.xml><?xml version="1.0" encoding="utf-8"?>
<Properties xmlns="http://schemas.openxmlformats.org/officeDocument/2006/custom-properties" xmlns:vt="http://schemas.openxmlformats.org/officeDocument/2006/docPropsVTypes"/>
</file>