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0F172A"/>
          <w:sz w:val="60"/>
        </w:rPr>
        <w:t>LLM 模型架构演进图谱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475569"/>
          <w:sz w:val="28"/>
        </w:rPr>
        <w:t>2023–2026 · Component-centric · Hardware-aware · v0.1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334155"/>
          <w:sz w:val="26"/>
        </w:rPr>
        <w:t>面向模型架构研究、芯片需求分析与 BP 技术趋势表达</w:t>
      </w:r>
    </w:p>
    <w:p>
      <w:pPr>
        <w:spacing w:before="900"/>
        <w:jc w:val="center"/>
      </w:pPr>
      <w:r>
        <w:rPr>
          <w:rFonts w:ascii="Noto Sans CJK SC" w:hAnsi="Noto Sans CJK SC" w:eastAsia="Noto Sans CJK SC"/>
          <w:color w:val="475569"/>
          <w:sz w:val="21"/>
        </w:rPr>
        <w:t>第一版范围：2023–2026 年形成显著影响、已在大规模模型验证，或对硬件方向具有明确启示的架构路线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64748B"/>
          <w:sz w:val="20"/>
        </w:rPr>
        <w:t>版本日期：2026-07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0. 使用说明与核心结论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E0F2F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38BDF8"/>
              <w:left w:val="single" w:sz="8" w:color="38BDF8"/>
              <w:bottom w:val="single" w:sz="8" w:color="38BDF8"/>
              <w:right w:val="single" w:sz="8" w:color="38BDF8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图谱的纳入边界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纳入：会改变模型前向计算图、持久状态、Token/Layer 计算分配、位置表示或生成因子分解的技术。不纳入核心图谱：FlashAttention 等 Kernel、FP8/FP4 混合精度训练、Muon/Adam 等优化器、GRPO/RL、vLLM/DistServe 等 Serving 技术。但若低比特本身成为原生模型参数化方式（如 BitNet b1.58），则纳入。</w:t>
            </w:r>
          </w:p>
        </w:tc>
      </w:tr>
    </w:tbl>
    <w:p>
      <w:pPr>
        <w:spacing w:after="20"/>
      </w:pP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Transformer 并没有被单一新架构替代，而是被拆解为可独立演进的组件：Attention/KV、FFN、Routing、Position、Residual、Prediction 与 Token Granularity。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Attention 主线最清晰：KV Head 共享 → Latent KV 压缩 → 稀疏选择 → 沿序列维压缩 → 异构/分层记忆。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FFN 主线从 Dense 走向条件计算：Sparse MoE → Fine-Grained/Shared Experts → 无辅助损失均衡 → Token 级动态深度。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非 Transformer 主干没有形成单一赢家；Mamba、RWKV、RetNet、Griffin 更现实的落地方式是与局部/全局 Attention 或 MoE 混合。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生成范式开始分叉：NTP 仍是主流，但 MTP 与 Diffusion/Block Diffusion 正在削弱严格逐 Token 串行生成的唯一性。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对芯片而言，瓶颈正从规则 Dense GEMM + HBM，迁移到低比特矩阵、Sparse Gather/Top-k、Scan/State Update、MoE All-to-All、异构 KV Cache 与动态调度。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color w:val="475569"/>
          <w:sz w:val="19"/>
        </w:rPr>
        <w:t>成熟度定义：M1=行业主流；M2=大规模验证且快速扩散；M3=已验证但采用有限；M4=探索/预览阶段。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1. 架构演进主图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8000" cy="5473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_architecture_evolu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8000" cy="547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2. 组件级架构图谱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color w:val="334155"/>
          <w:sz w:val="19"/>
        </w:rPr>
        <w:t>以下表格以“相对同代 Dense MHA Transformer”为参照描述主要硬件影响。箭头是定性方向，不代表跨模型可直接比较的绝对数值。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0F172A"/>
          <w:sz w:val="26"/>
        </w:rPr>
        <w:t>2.1 Attention 与 KV Cache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709"/>
            <w:shd w:fill="1D4ED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531"/>
            <w:shd w:fill="1D4ED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4025"/>
            <w:shd w:fill="1D4ED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核心机制</w:t>
            </w:r>
          </w:p>
        </w:tc>
        <w:tc>
          <w:tcPr>
            <w:tcW w:type="dxa" w:w="2154"/>
            <w:shd w:fill="1D4ED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代表模型/路线</w:t>
            </w:r>
          </w:p>
        </w:tc>
        <w:tc>
          <w:tcPr>
            <w:tcW w:type="dxa" w:w="680"/>
            <w:shd w:fill="1D4ED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成熟度</w:t>
            </w:r>
          </w:p>
        </w:tc>
        <w:tc>
          <w:tcPr>
            <w:tcW w:type="dxa" w:w="2778"/>
            <w:shd w:fill="1D4ED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主要硬件影响</w:t>
            </w:r>
          </w:p>
        </w:tc>
        <w:tc>
          <w:tcPr>
            <w:tcW w:type="dxa" w:w="850"/>
            <w:shd w:fill="1D4ED8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2023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GQA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在多个 Query Head 之间共享较少数量的 K/V Head；介于 MHA 与 MQA 之间。</w:t>
            </w:r>
          </w:p>
        </w:tc>
        <w:tc>
          <w:tcPr>
            <w:tcW w:type="dxa" w:w="215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Mistral、Llama 3、Qwen2/3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M1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KV 容量↓↓；Decode 带宽↓↓；算力≈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[1][2]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2023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SWA / Local Attention</w:t>
            </w:r>
          </w:p>
        </w:tc>
        <w:tc>
          <w:tcPr>
            <w:tcW w:type="dxa" w:w="402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每个 Token 仅关注固定窗口；把长序列 Attention 从全局改为局部。</w:t>
            </w:r>
          </w:p>
        </w:tc>
        <w:tc>
          <w:tcPr>
            <w:tcW w:type="dxa" w:w="215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Mistral 7B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M2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长上下文算力↓↓；KV/BW ↓；规则访问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[2]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2024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Local–Global Interleaving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局部层与全局层交错，在效率与全局检索能力之间折中。</w:t>
            </w:r>
          </w:p>
        </w:tc>
        <w:tc>
          <w:tcPr>
            <w:tcW w:type="dxa" w:w="215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Gemma 2、Qwen2 系列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M2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算力/BW ↓；全局层仍保留长程成本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[20]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2025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QK-Norm / Logit Stabilization</w:t>
            </w:r>
          </w:p>
        </w:tc>
        <w:tc>
          <w:tcPr>
            <w:tcW w:type="dxa" w:w="402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对 Q/K 归一化，或对 Attention Logit 软截断，抑制大模型训练中的 Logit 爆炸。</w:t>
            </w:r>
          </w:p>
        </w:tc>
        <w:tc>
          <w:tcPr>
            <w:tcW w:type="dxa" w:w="215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Qwen3、Gemma 2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M2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额外算力极小；训练稳定性↑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[20][25]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2024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MLA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将 K/V 联合低秩压缩为 Latent KV，并将位置分支与内容分支解耦。</w:t>
            </w:r>
          </w:p>
        </w:tc>
        <w:tc>
          <w:tcPr>
            <w:tcW w:type="dxa" w:w="215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DeepSeek-V2/V3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M2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KV 容量↓↓↓；Decode BW↓↓↓；投影算力小幅↑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[10]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2024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YOCO / Cross-Layer KV Reuse</w:t>
            </w:r>
          </w:p>
        </w:tc>
        <w:tc>
          <w:tcPr>
            <w:tcW w:type="dxa" w:w="402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先由 Self-Decoder 形成一次性全局 KV，后续 Cross-Decoder 跨层复用。</w:t>
            </w:r>
          </w:p>
        </w:tc>
        <w:tc>
          <w:tcPr>
            <w:tcW w:type="dxa" w:w="215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YOCO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KV 容量↓↓↓；Prefill 延迟↓；跨模块复用复杂度↑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[18]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2024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Infini-attention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局部精确 Attention + 压缩长期记忆，在有界状态下支持流式长上下文。</w:t>
            </w:r>
          </w:p>
        </w:tc>
        <w:tc>
          <w:tcPr>
            <w:tcW w:type="dxa" w:w="215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Google Infini-attention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M4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长期状态容量有界；内存更新/检索控制↑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[16]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2025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NSA</w:t>
            </w:r>
          </w:p>
        </w:tc>
        <w:tc>
          <w:tcPr>
            <w:tcW w:type="dxa" w:w="402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层次化稀疏策略：块级压缩、细粒度选择与局部窗口并存，并面向硬件算术强度设计。</w:t>
            </w:r>
          </w:p>
        </w:tc>
        <w:tc>
          <w:tcPr>
            <w:tcW w:type="dxa" w:w="215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Native Sparse Attention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Attention FLOPs↓↓；KV 读取↓↓；Top-k/Gather 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[26]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2025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DSA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轻量 Indexer 对历史 Token 打分，仅对 Top-k Latent KV 执行核心 Attention。</w:t>
            </w:r>
          </w:p>
        </w:tc>
        <w:tc>
          <w:tcPr>
            <w:tcW w:type="dxa" w:w="215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DeepSeek-V3.2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算力/BW ↓↓；KV 总容量≈；稀疏 Gather ↑↑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[34]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2025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KDA / Kimi Linear</w:t>
            </w:r>
          </w:p>
        </w:tc>
        <w:tc>
          <w:tcPr>
            <w:tcW w:type="dxa" w:w="402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以门控 Delta Rule 构造有限状态 Linear Attention，并与 MLA 分层混合。</w:t>
            </w:r>
          </w:p>
        </w:tc>
        <w:tc>
          <w:tcPr>
            <w:tcW w:type="dxa" w:w="215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Kimi Linear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长序列算力/BW ↓↓；状态更新/Scan 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[33]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2026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CSA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先沿序列维压缩 KV Block，再通过稀疏 Indexer 选择 Top-k 压缩块。</w:t>
            </w:r>
          </w:p>
        </w:tc>
        <w:tc>
          <w:tcPr>
            <w:tcW w:type="dxa" w:w="215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DeepSeek-V4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M4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FLOPs/KV/BW ↓↓↓；压缩器+Top-k+异构缓存↑↑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[36]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2026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HCA</w:t>
            </w:r>
          </w:p>
        </w:tc>
        <w:tc>
          <w:tcPr>
            <w:tcW w:type="dxa" w:w="402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用更大压缩率把多个 Token 汇总成单一 KV Entry，再对压缩序列做 Dense Attention。</w:t>
            </w:r>
          </w:p>
        </w:tc>
        <w:tc>
          <w:tcPr>
            <w:tcW w:type="dxa" w:w="215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DeepSeek-V4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M4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KV/FLOPs ↓↓↓；局部精度依赖窗口分支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[36]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0F172A"/>
          <w:sz w:val="26"/>
        </w:rPr>
        <w:t>2.2 FFN、Routing 与条件计算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709"/>
            <w:shd w:fill="15803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701"/>
            <w:shd w:fill="15803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139"/>
            <w:shd w:fill="15803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核心机制</w:t>
            </w:r>
          </w:p>
        </w:tc>
        <w:tc>
          <w:tcPr>
            <w:tcW w:type="dxa" w:w="2041"/>
            <w:shd w:fill="15803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代表模型/路线</w:t>
            </w:r>
          </w:p>
        </w:tc>
        <w:tc>
          <w:tcPr>
            <w:tcW w:type="dxa" w:w="680"/>
            <w:shd w:fill="15803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成熟度</w:t>
            </w:r>
          </w:p>
        </w:tc>
        <w:tc>
          <w:tcPr>
            <w:tcW w:type="dxa" w:w="2778"/>
            <w:shd w:fill="15803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主要硬件影响</w:t>
            </w:r>
          </w:p>
        </w:tc>
        <w:tc>
          <w:tcPr>
            <w:tcW w:type="dxa" w:w="850"/>
            <w:shd w:fill="15803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基线</w:t>
            </w:r>
          </w:p>
        </w:tc>
        <w:tc>
          <w:tcPr>
            <w:tcW w:type="dxa" w:w="170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Dense FFN + SwiGLU</w:t>
            </w:r>
          </w:p>
        </w:tc>
        <w:tc>
          <w:tcPr>
            <w:tcW w:type="dxa" w:w="41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每个 Token 经过相同的稠密 FFN；SwiGLU 已成为主流门控激活形式。</w:t>
            </w:r>
          </w:p>
        </w:tc>
        <w:tc>
          <w:tcPr>
            <w:tcW w:type="dxa" w:w="204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Llama、Mistral、Qwen 等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M1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规则 GEMM；算力与权重带宽随模型宽度增长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2023/24</w:t>
            </w:r>
          </w:p>
        </w:tc>
        <w:tc>
          <w:tcPr>
            <w:tcW w:type="dxa" w:w="170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Sparse MoE / Top-k Experts</w:t>
            </w:r>
          </w:p>
        </w:tc>
        <w:tc>
          <w:tcPr>
            <w:tcW w:type="dxa" w:w="41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每层拥有多个 FFN 专家，路由器仅激活少量专家。</w:t>
            </w:r>
          </w:p>
        </w:tc>
        <w:tc>
          <w:tcPr>
            <w:tcW w:type="dxa" w:w="204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Mixtral 8x7B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M1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Active Compute↓↓；总权重容量↑↑；All-to-All↑↑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[3]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2024</w:t>
            </w:r>
          </w:p>
        </w:tc>
        <w:tc>
          <w:tcPr>
            <w:tcW w:type="dxa" w:w="170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Fine-Grained + Shared Experts</w:t>
            </w:r>
          </w:p>
        </w:tc>
        <w:tc>
          <w:tcPr>
            <w:tcW w:type="dxa" w:w="41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把专家切得更细，并用共享专家承载通用知识，提升专业化和参数效率。</w:t>
            </w:r>
          </w:p>
        </w:tc>
        <w:tc>
          <w:tcPr>
            <w:tcW w:type="dxa" w:w="204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DeepSeekMoE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M2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Active Compute↓；专家权重/路由/通信复杂度↑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[10]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2024/25</w:t>
            </w:r>
          </w:p>
        </w:tc>
        <w:tc>
          <w:tcPr>
            <w:tcW w:type="dxa" w:w="170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Aux-Loss-Free Routing</w:t>
            </w:r>
          </w:p>
        </w:tc>
        <w:tc>
          <w:tcPr>
            <w:tcW w:type="dxa" w:w="41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用动态专家偏置调节 Top-k 选择，而不让均衡辅助损失干扰主任务目标。</w:t>
            </w:r>
          </w:p>
        </w:tc>
        <w:tc>
          <w:tcPr>
            <w:tcW w:type="dxa" w:w="204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DeepSeek-V3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M2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负载均衡↑；Straggler↓；主计算≈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[24]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2024</w:t>
            </w:r>
          </w:p>
        </w:tc>
        <w:tc>
          <w:tcPr>
            <w:tcW w:type="dxa" w:w="170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Mixture-of-Depths</w:t>
            </w:r>
          </w:p>
        </w:tc>
        <w:tc>
          <w:tcPr>
            <w:tcW w:type="dxa" w:w="41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每层仅让预算内 Top-k Token 进入 Attention/MLP，其余 Token 旁路。</w:t>
            </w:r>
          </w:p>
        </w:tc>
        <w:tc>
          <w:tcPr>
            <w:tcW w:type="dxa" w:w="204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MoD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M3</w:t>
            </w:r>
          </w:p>
        </w:tc>
        <w:tc>
          <w:tcPr>
            <w:tcW w:type="dxa" w:w="277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Token 级计算↓；静态总预算；动态调度/Gather↑↑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[15]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2026</w:t>
            </w:r>
          </w:p>
        </w:tc>
        <w:tc>
          <w:tcPr>
            <w:tcW w:type="dxa" w:w="170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Hash Routing</w:t>
            </w:r>
          </w:p>
        </w:tc>
        <w:tc>
          <w:tcPr>
            <w:tcW w:type="dxa" w:w="41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根据 Token ID 的预定义哈希分配早期层专家，减少学习式路由的不稳定和开销。</w:t>
            </w:r>
          </w:p>
        </w:tc>
        <w:tc>
          <w:tcPr>
            <w:tcW w:type="dxa" w:w="204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DeepSeek-V4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M4</w:t>
            </w:r>
          </w:p>
        </w:tc>
        <w:tc>
          <w:tcPr>
            <w:tcW w:type="dxa" w:w="277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Router 开销↓；访问更可预测；专家容量仍高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[36]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ECFDF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2C55E"/>
              <w:left w:val="single" w:sz="8" w:color="22C55E"/>
              <w:bottom w:val="single" w:sz="8" w:color="22C55E"/>
              <w:right w:val="single" w:sz="8" w:color="22C55E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MoE 的关键判断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MoE 不是“硬件需求下降”，而是“Active Compute 下降、总权重容量与通信复杂度上升”。当 Expert Batch 很小或跨节点路由不均衡时，权重带宽和 All-to-All 可能取代 Dense GEMM 成为瓶颈。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0F172A"/>
          <w:sz w:val="26"/>
        </w:rPr>
        <w:t>2.3 Backbone 与 Sequence Mixer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709"/>
            <w:shd w:fill="A16207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587"/>
            <w:shd w:fill="A16207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4082"/>
            <w:shd w:fill="A16207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核心机制</w:t>
            </w:r>
          </w:p>
        </w:tc>
        <w:tc>
          <w:tcPr>
            <w:tcW w:type="dxa" w:w="1928"/>
            <w:shd w:fill="A16207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代表模型/路线</w:t>
            </w:r>
          </w:p>
        </w:tc>
        <w:tc>
          <w:tcPr>
            <w:tcW w:type="dxa" w:w="680"/>
            <w:shd w:fill="A16207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成熟度</w:t>
            </w:r>
          </w:p>
        </w:tc>
        <w:tc>
          <w:tcPr>
            <w:tcW w:type="dxa" w:w="2948"/>
            <w:shd w:fill="A16207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主要硬件影响</w:t>
            </w:r>
          </w:p>
        </w:tc>
        <w:tc>
          <w:tcPr>
            <w:tcW w:type="dxa" w:w="850"/>
            <w:shd w:fill="A16207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2023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Hyena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用隐式长卷积与数据控制门控替代 Attention，实现亚二次序列混合。</w:t>
            </w:r>
          </w:p>
        </w:tc>
        <w:tc>
          <w:tcPr>
            <w:tcW w:type="dxa" w:w="192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Hyena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94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长序列算力↓；卷积/FFT/长滤波器 Kernel 需求↑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[4]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2023</w:t>
            </w:r>
          </w:p>
        </w:tc>
        <w:tc>
          <w:tcPr>
            <w:tcW w:type="dxa" w:w="158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RetNet</w:t>
            </w:r>
          </w:p>
        </w:tc>
        <w:tc>
          <w:tcPr>
            <w:tcW w:type="dxa" w:w="4082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Retention 同时支持并行训练、递归 Decode 和分块递归长序列。</w:t>
            </w:r>
          </w:p>
        </w:tc>
        <w:tc>
          <w:tcPr>
            <w:tcW w:type="dxa" w:w="192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RetNet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94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Decode 状态 O(1)；KV 容量↓↓↓；递归状态更新↑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[5]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2023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Mamba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输入依赖的 Selective SSM，以固定状态选择性传播/遗忘信息。</w:t>
            </w:r>
          </w:p>
        </w:tc>
        <w:tc>
          <w:tcPr>
            <w:tcW w:type="dxa" w:w="192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Mamba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M2</w:t>
            </w:r>
          </w:p>
        </w:tc>
        <w:tc>
          <w:tcPr>
            <w:tcW w:type="dxa" w:w="294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序列复杂度线性；KV 消失；Scan/State Kernel↑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[6]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2024</w:t>
            </w:r>
          </w:p>
        </w:tc>
        <w:tc>
          <w:tcPr>
            <w:tcW w:type="dxa" w:w="158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Mamba-2 / SSD</w:t>
            </w:r>
          </w:p>
        </w:tc>
        <w:tc>
          <w:tcPr>
            <w:tcW w:type="dxa" w:w="4082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通过 Structured State Space Duality 统一 SSM 与 Attention，并重构为更高效核心层。</w:t>
            </w:r>
          </w:p>
        </w:tc>
        <w:tc>
          <w:tcPr>
            <w:tcW w:type="dxa" w:w="192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Mamba-2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M2</w:t>
            </w:r>
          </w:p>
        </w:tc>
        <w:tc>
          <w:tcPr>
            <w:tcW w:type="dxa" w:w="294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线性复杂度；核心层硬件效率↑；状态路径仍非标准 GEMM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[14]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2024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Griffin / Hawk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门控线性递归与局部 Attention 混合，用固定状态保留长程摘要。</w:t>
            </w:r>
          </w:p>
        </w:tc>
        <w:tc>
          <w:tcPr>
            <w:tcW w:type="dxa" w:w="192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RecurrentGemma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94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状态内存低；局部 Attention 保精度；双路径调度↑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[11][13]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2024</w:t>
            </w:r>
          </w:p>
        </w:tc>
        <w:tc>
          <w:tcPr>
            <w:tcW w:type="dxa" w:w="158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Jamba</w:t>
            </w:r>
          </w:p>
        </w:tc>
        <w:tc>
          <w:tcPr>
            <w:tcW w:type="dxa" w:w="4082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Transformer、Mamba 与 MoE 分层混合，兼顾检索能力、长序列效率和模型容量。</w:t>
            </w:r>
          </w:p>
        </w:tc>
        <w:tc>
          <w:tcPr>
            <w:tcW w:type="dxa" w:w="192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Jamba/Jamba 1.5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M2</w:t>
            </w:r>
          </w:p>
        </w:tc>
        <w:tc>
          <w:tcPr>
            <w:tcW w:type="dxa" w:w="294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KV/BW ↓；MoE 通信↑；多类 Block 调度↑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[12]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2024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RWKV-5/6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矩阵值状态与动态递归，在 Transformer 式并行训练和 RNN 式 Decode 间折中。</w:t>
            </w:r>
          </w:p>
        </w:tc>
        <w:tc>
          <w:tcPr>
            <w:tcW w:type="dxa" w:w="192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Eagle / Finch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94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固定状态；单 Token 成本稳定；专用 WKV Kernel↑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[21]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2025</w:t>
            </w:r>
          </w:p>
        </w:tc>
        <w:tc>
          <w:tcPr>
            <w:tcW w:type="dxa" w:w="158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RWKV-7</w:t>
            </w:r>
          </w:p>
        </w:tc>
        <w:tc>
          <w:tcPr>
            <w:tcW w:type="dxa" w:w="4082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引入向量门控、上下文学习率与更强动态状态演化。</w:t>
            </w:r>
          </w:p>
        </w:tc>
        <w:tc>
          <w:tcPr>
            <w:tcW w:type="dxa" w:w="192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RWKV-7 Goose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M3</w:t>
            </w:r>
          </w:p>
        </w:tc>
        <w:tc>
          <w:tcPr>
            <w:tcW w:type="dxa" w:w="294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固定内存/固定每 Token 时间；状态算子复杂度↑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[29]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2025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Titans / Test-Time Memory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可学习长期记忆在推理时写入历史；Attention 负责短期精确依赖。</w:t>
            </w:r>
          </w:p>
        </w:tc>
        <w:tc>
          <w:tcPr>
            <w:tcW w:type="dxa" w:w="192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Titans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M4</w:t>
            </w:r>
          </w:p>
        </w:tc>
        <w:tc>
          <w:tcPr>
            <w:tcW w:type="dxa" w:w="294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超长上下文缓存可压缩；在线记忆更新和一致性↑↑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[27]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2025</w:t>
            </w:r>
          </w:p>
        </w:tc>
        <w:tc>
          <w:tcPr>
            <w:tcW w:type="dxa" w:w="158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ATLAS / DeepTransformer</w:t>
            </w:r>
          </w:p>
        </w:tc>
        <w:tc>
          <w:tcPr>
            <w:tcW w:type="dxa" w:w="4082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扩展测试时记忆容量与优化方式，使长期记忆基于当前及过去 Token 更新。</w:t>
            </w:r>
          </w:p>
        </w:tc>
        <w:tc>
          <w:tcPr>
            <w:tcW w:type="dxa" w:w="192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ATLAS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M4</w:t>
            </w:r>
          </w:p>
        </w:tc>
        <w:tc>
          <w:tcPr>
            <w:tcW w:type="dxa" w:w="294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长期记忆能力↑；动态优化/状态管理成本↑↑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[28]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2026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5"/>
              </w:rPr>
              <w:t>Mamba-3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改进选择性 SSM 的离散化与架构细节，增强检索、状态跟踪和下游能力。</w:t>
            </w:r>
          </w:p>
        </w:tc>
        <w:tc>
          <w:tcPr>
            <w:tcW w:type="dxa" w:w="192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Mamba-3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M4</w:t>
            </w:r>
          </w:p>
        </w:tc>
        <w:tc>
          <w:tcPr>
            <w:tcW w:type="dxa" w:w="294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线性状态路径延续；生态和大规模验证待观察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5"/>
              </w:rPr>
              <w:t>[35]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0F172A"/>
          <w:sz w:val="26"/>
        </w:rPr>
        <w:t>2.4 Position Encoding 与上下文扩展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709"/>
            <w:shd w:fill="7C3AE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587"/>
            <w:shd w:fill="7C3AE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082"/>
            <w:shd w:fill="7C3AE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核心机制</w:t>
            </w:r>
          </w:p>
        </w:tc>
        <w:tc>
          <w:tcPr>
            <w:tcW w:type="dxa" w:w="2098"/>
            <w:shd w:fill="7C3AE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代表模型/路线</w:t>
            </w:r>
          </w:p>
        </w:tc>
        <w:tc>
          <w:tcPr>
            <w:tcW w:type="dxa" w:w="680"/>
            <w:shd w:fill="7C3AE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成熟度</w:t>
            </w:r>
          </w:p>
        </w:tc>
        <w:tc>
          <w:tcPr>
            <w:tcW w:type="dxa" w:w="2835"/>
            <w:shd w:fill="7C3AE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主要硬件影响</w:t>
            </w:r>
          </w:p>
        </w:tc>
        <w:tc>
          <w:tcPr>
            <w:tcW w:type="dxa" w:w="850"/>
            <w:shd w:fill="7C3AED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基线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RoPE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用旋转变换把相对位置信息编码进 Q/K，是当前 Decoder-only LLM 的主要基线。</w:t>
            </w:r>
          </w:p>
        </w:tc>
        <w:tc>
          <w:tcPr>
            <w:tcW w:type="dxa" w:w="209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Llama、Mistral、Qwen、DeepSeek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M1</w:t>
            </w:r>
          </w:p>
        </w:tc>
        <w:tc>
          <w:tcPr>
            <w:tcW w:type="dxa" w:w="28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本身不减少硬件需求；支持相对位置建模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2023</w:t>
            </w:r>
          </w:p>
        </w:tc>
        <w:tc>
          <w:tcPr>
            <w:tcW w:type="dxa" w:w="158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Position Interpolation</w:t>
            </w:r>
          </w:p>
        </w:tc>
        <w:tc>
          <w:tcPr>
            <w:tcW w:type="dxa" w:w="4082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把更长位置索引压缩回预训练范围，而非直接外推。</w:t>
            </w:r>
          </w:p>
        </w:tc>
        <w:tc>
          <w:tcPr>
            <w:tcW w:type="dxa" w:w="209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Llama 长上下文扩展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M2</w:t>
            </w:r>
          </w:p>
        </w:tc>
        <w:tc>
          <w:tcPr>
            <w:tcW w:type="dxa" w:w="283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单 Token 成本≈；可用 Context↑，总 KV/算力随长度↑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[7]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2023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YaRN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非均匀 RoPE 缩放并调整 Attention 温度，以较少继续训练扩展上下文。</w:t>
            </w:r>
          </w:p>
        </w:tc>
        <w:tc>
          <w:tcPr>
            <w:tcW w:type="dxa" w:w="209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DeepSeek-V2、Qwen 等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M2</w:t>
            </w:r>
          </w:p>
        </w:tc>
        <w:tc>
          <w:tcPr>
            <w:tcW w:type="dxa" w:w="28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能力扩展而非降本；需与稀疏/压缩 Attention 组合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[8]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2023</w:t>
            </w:r>
          </w:p>
        </w:tc>
        <w:tc>
          <w:tcPr>
            <w:tcW w:type="dxa" w:w="158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PoSE</w:t>
            </w:r>
          </w:p>
        </w:tc>
        <w:tc>
          <w:tcPr>
            <w:tcW w:type="dxa" w:w="4082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通过跳跃位置索引，在短训练序列中模拟目标长位置分布。</w:t>
            </w:r>
          </w:p>
        </w:tc>
        <w:tc>
          <w:tcPr>
            <w:tcW w:type="dxa" w:w="209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RoPE 模型长上下文适配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M3</w:t>
            </w:r>
          </w:p>
        </w:tc>
        <w:tc>
          <w:tcPr>
            <w:tcW w:type="dxa" w:w="283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降低扩展训练成本；推理硬件成本不变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[9]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2024</w:t>
            </w:r>
          </w:p>
        </w:tc>
        <w:tc>
          <w:tcPr>
            <w:tcW w:type="dxa" w:w="158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LongRoPE</w:t>
            </w:r>
          </w:p>
        </w:tc>
        <w:tc>
          <w:tcPr>
            <w:tcW w:type="dxa" w:w="4082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搜索非均匀维度/位置缩放，并渐进扩展到百万级上下文。</w:t>
            </w:r>
          </w:p>
        </w:tc>
        <w:tc>
          <w:tcPr>
            <w:tcW w:type="dxa" w:w="209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Phi-3/研究模型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M3</w:t>
            </w:r>
          </w:p>
        </w:tc>
        <w:tc>
          <w:tcPr>
            <w:tcW w:type="dxa" w:w="28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仅扩展可达长度；若仍 Dense Attention，成本仍快速增长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[19]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5F3FF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8B5CF6"/>
              <w:left w:val="single" w:sz="8" w:color="8B5CF6"/>
              <w:bottom w:val="single" w:sz="8" w:color="8B5CF6"/>
              <w:right w:val="single" w:sz="8" w:color="8B5CF6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必须区分“上下文可达长度”和“上下文计算效率”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PI、YaRN、PoSE、LongRoPE 解决模型能否理解更远的位置，但不会自动降低 Attention FLOPs 或 KV Cache。真正的硬件降本来自 GQA/MLA、Sparse/Linear Attention、CSA/HCA 等结构变化。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0F172A"/>
          <w:sz w:val="26"/>
        </w:rPr>
        <w:t>2.5 Prediction / Generation 范式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709"/>
            <w:shd w:fill="BE123C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701"/>
            <w:shd w:fill="BE123C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025"/>
            <w:shd w:fill="BE123C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核心机制</w:t>
            </w:r>
          </w:p>
        </w:tc>
        <w:tc>
          <w:tcPr>
            <w:tcW w:type="dxa" w:w="2041"/>
            <w:shd w:fill="BE123C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代表模型/路线</w:t>
            </w:r>
          </w:p>
        </w:tc>
        <w:tc>
          <w:tcPr>
            <w:tcW w:type="dxa" w:w="680"/>
            <w:shd w:fill="BE123C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成熟度</w:t>
            </w:r>
          </w:p>
        </w:tc>
        <w:tc>
          <w:tcPr>
            <w:tcW w:type="dxa" w:w="2835"/>
            <w:shd w:fill="BE123C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主要硬件影响</w:t>
            </w:r>
          </w:p>
        </w:tc>
        <w:tc>
          <w:tcPr>
            <w:tcW w:type="dxa" w:w="850"/>
            <w:shd w:fill="BE123C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基线</w:t>
            </w:r>
          </w:p>
        </w:tc>
        <w:tc>
          <w:tcPr>
            <w:tcW w:type="dxa" w:w="170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Next-Token Prediction / AR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按严格因果顺序逐 Token 生成；成熟、质量稳定，但 Decode 串行。</w:t>
            </w:r>
          </w:p>
        </w:tc>
        <w:tc>
          <w:tcPr>
            <w:tcW w:type="dxa" w:w="204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主流 Decoder-only LLM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M1</w:t>
            </w:r>
          </w:p>
        </w:tc>
        <w:tc>
          <w:tcPr>
            <w:tcW w:type="dxa" w:w="28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每步计算小但串行；权重/KV 每 Token 重复读取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2024</w:t>
            </w:r>
          </w:p>
        </w:tc>
        <w:tc>
          <w:tcPr>
            <w:tcW w:type="dxa" w:w="170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Multi-Token Prediction</w:t>
            </w:r>
          </w:p>
        </w:tc>
        <w:tc>
          <w:tcPr>
            <w:tcW w:type="dxa" w:w="402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共享主干上预测多个未来 Token；可作为辅助训练目标或推测解码草稿。</w:t>
            </w:r>
          </w:p>
        </w:tc>
        <w:tc>
          <w:tcPr>
            <w:tcW w:type="dxa" w:w="204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DeepSeek-V3、MTP 研究模型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M2</w:t>
            </w:r>
          </w:p>
        </w:tc>
        <w:tc>
          <w:tcPr>
            <w:tcW w:type="dxa" w:w="283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训练算力↑；可提升 Decode TPS；候选验证/临时 KV↑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[17][24]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2025</w:t>
            </w:r>
          </w:p>
        </w:tc>
        <w:tc>
          <w:tcPr>
            <w:tcW w:type="dxa" w:w="170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Masked Diffusion LM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通过掩码扩散与迭代去噪并行更新多个 Token，挑战纯自回归范式。</w:t>
            </w:r>
          </w:p>
        </w:tc>
        <w:tc>
          <w:tcPr>
            <w:tcW w:type="dxa" w:w="204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LLaDA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M3</w:t>
            </w:r>
          </w:p>
        </w:tc>
        <w:tc>
          <w:tcPr>
            <w:tcW w:type="dxa" w:w="28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串行依赖↓；每轮全序列计算↑；KV/调度范式改变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[30]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2025</w:t>
            </w:r>
          </w:p>
        </w:tc>
        <w:tc>
          <w:tcPr>
            <w:tcW w:type="dxa" w:w="170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Block Diffusion</w:t>
            </w:r>
          </w:p>
        </w:tc>
        <w:tc>
          <w:tcPr>
            <w:tcW w:type="dxa" w:w="402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块间自回归、块内扩散，在可变长度、KV Cache 与并行采样间折中。</w:t>
            </w:r>
          </w:p>
        </w:tc>
        <w:tc>
          <w:tcPr>
            <w:tcW w:type="dxa" w:w="204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Block Diffusion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M3</w:t>
            </w:r>
          </w:p>
        </w:tc>
        <w:tc>
          <w:tcPr>
            <w:tcW w:type="dxa" w:w="283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Token 并行↑；块级 KV 可复用；多轮迭代仍有成本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[31]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2025</w:t>
            </w:r>
          </w:p>
        </w:tc>
        <w:tc>
          <w:tcPr>
            <w:tcW w:type="dxa" w:w="170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Commercial-Scale Diffusion</w:t>
            </w:r>
          </w:p>
        </w:tc>
        <w:tc>
          <w:tcPr>
            <w:tcW w:type="dxa" w:w="402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用 Transformer 参数化扩散模型并并行预测 Token，面向高吞吐代码生成。</w:t>
            </w:r>
          </w:p>
        </w:tc>
        <w:tc>
          <w:tcPr>
            <w:tcW w:type="dxa" w:w="204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Mercury Coder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M3</w:t>
            </w:r>
          </w:p>
        </w:tc>
        <w:tc>
          <w:tcPr>
            <w:tcW w:type="dxa" w:w="28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高吞吐矩阵计算↑；Decode 延迟路径不同于 AR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[32]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FF1F2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FB7185"/>
              <w:left w:val="single" w:sz="8" w:color="FB7185"/>
              <w:bottom w:val="single" w:sz="8" w:color="FB7185"/>
              <w:right w:val="single" w:sz="8" w:color="FB7185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MTP 与 Diffusion 的差异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MTP 仍保留自回归主模型，只增加未来 Token 预测头/模块；Diffusion LM 则改变生成分解方式，通过多轮并行去噪生成 Token。前者更接近当前生态，后者潜在并行度更高，但总迭代次数和质量/延迟折中尚未收敛。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0F172A"/>
          <w:sz w:val="26"/>
        </w:rPr>
        <w:t>2.6 Residual、Token Granularity 与原生数值参数化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709"/>
            <w:shd w:fill="0E749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701"/>
            <w:shd w:fill="0E749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535"/>
            <w:shd w:fill="0E749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核心机制</w:t>
            </w:r>
          </w:p>
        </w:tc>
        <w:tc>
          <w:tcPr>
            <w:tcW w:type="dxa" w:w="1984"/>
            <w:shd w:fill="0E749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代表模型/路线</w:t>
            </w:r>
          </w:p>
        </w:tc>
        <w:tc>
          <w:tcPr>
            <w:tcW w:type="dxa" w:w="680"/>
            <w:shd w:fill="0E749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成熟度</w:t>
            </w:r>
          </w:p>
        </w:tc>
        <w:tc>
          <w:tcPr>
            <w:tcW w:type="dxa" w:w="2835"/>
            <w:shd w:fill="0E749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主要硬件影响</w:t>
            </w:r>
          </w:p>
        </w:tc>
        <w:tc>
          <w:tcPr>
            <w:tcW w:type="dxa" w:w="850"/>
            <w:shd w:fill="0E749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2024</w:t>
            </w:r>
          </w:p>
        </w:tc>
        <w:tc>
          <w:tcPr>
            <w:tcW w:type="dxa" w:w="170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BitNet b1.58</w:t>
            </w:r>
          </w:p>
        </w:tc>
        <w:tc>
          <w:tcPr>
            <w:tcW w:type="dxa" w:w="45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从头训练三值权重 {-1,0,+1} 的 Transformer，而非训练后量化。</w:t>
            </w:r>
          </w:p>
        </w:tc>
        <w:tc>
          <w:tcPr>
            <w:tcW w:type="dxa" w:w="198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BitNet b1.58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M3</w:t>
            </w:r>
          </w:p>
        </w:tc>
        <w:tc>
          <w:tcPr>
            <w:tcW w:type="dxa" w:w="28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权重容量/BW ↓↓↓；乘法复杂度↓；需要原生三值 Kernel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[23]</w:t>
            </w:r>
          </w:p>
        </w:tc>
      </w:tr>
      <w:tr>
        <w:trPr>
          <w:cantSplit/>
        </w:trPr>
        <w:tc>
          <w:tcPr>
            <w:tcW w:type="dxa" w:w="70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2024</w:t>
            </w:r>
          </w:p>
        </w:tc>
        <w:tc>
          <w:tcPr>
            <w:tcW w:type="dxa" w:w="170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Byte Latent Transformer</w:t>
            </w:r>
          </w:p>
        </w:tc>
        <w:tc>
          <w:tcPr>
            <w:tcW w:type="dxa" w:w="453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直接处理 Byte，并按局部熵动态组成可变长度 Patch；主干在 Patch 级计算。</w:t>
            </w:r>
          </w:p>
        </w:tc>
        <w:tc>
          <w:tcPr>
            <w:tcW w:type="dxa" w:w="198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BLT</w:t>
            </w:r>
          </w:p>
        </w:tc>
        <w:tc>
          <w:tcPr>
            <w:tcW w:type="dxa" w:w="68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M3</w:t>
            </w:r>
          </w:p>
        </w:tc>
        <w:tc>
          <w:tcPr>
            <w:tcW w:type="dxa" w:w="2835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Latent 序列长度↓；词表/LM Head↓；动态 Patching↑</w:t>
            </w:r>
          </w:p>
        </w:tc>
        <w:tc>
          <w:tcPr>
            <w:tcW w:type="dxa" w:w="850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[22]</w:t>
            </w:r>
          </w:p>
        </w:tc>
      </w:tr>
      <w:tr>
        <w:trPr>
          <w:cantSplit/>
        </w:trPr>
        <w:tc>
          <w:tcPr>
            <w:tcW w:type="dxa" w:w="70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2026</w:t>
            </w:r>
          </w:p>
        </w:tc>
        <w:tc>
          <w:tcPr>
            <w:tcW w:type="dxa" w:w="170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mHC</w:t>
            </w:r>
          </w:p>
        </w:tc>
        <w:tc>
          <w:tcPr>
            <w:tcW w:type="dxa" w:w="45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扩宽残差流，并把动态残差混合约束在双随机矩阵流形上，提升深层传播稳定性。</w:t>
            </w:r>
          </w:p>
        </w:tc>
        <w:tc>
          <w:tcPr>
            <w:tcW w:type="dxa" w:w="198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DeepSeek-V4</w:t>
            </w:r>
          </w:p>
        </w:tc>
        <w:tc>
          <w:tcPr>
            <w:tcW w:type="dxa" w:w="68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M4</w:t>
            </w:r>
          </w:p>
        </w:tc>
        <w:tc>
          <w:tcPr>
            <w:tcW w:type="dxa" w:w="2835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计算/激活小幅↑；训练稳定性与表达能力↑</w:t>
            </w:r>
          </w:p>
        </w:tc>
        <w:tc>
          <w:tcPr>
            <w:tcW w:type="dxa" w:w="850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[36]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3. 硬件影响矩阵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color w:val="334155"/>
          <w:sz w:val="19"/>
        </w:rPr>
        <w:t>参照对象：具有相近能力目标的 Dense MHA Transformer。由于模型规模、Batch、Context、量化精度和部署策略不同，矩阵只表达第一阶结构性影响。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</w:trPr>
        <w:tc>
          <w:tcPr>
            <w:tcW w:type="dxa" w:w="1871"/>
            <w:shd w:fill="0F172A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1077"/>
            <w:shd w:fill="0F172A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算力</w:t>
            </w:r>
          </w:p>
        </w:tc>
        <w:tc>
          <w:tcPr>
            <w:tcW w:type="dxa" w:w="1077"/>
            <w:shd w:fill="0F172A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容量</w:t>
            </w:r>
          </w:p>
        </w:tc>
        <w:tc>
          <w:tcPr>
            <w:tcW w:type="dxa" w:w="1247"/>
            <w:shd w:fill="0F172A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HBM 带宽</w:t>
            </w:r>
          </w:p>
        </w:tc>
        <w:tc>
          <w:tcPr>
            <w:tcW w:type="dxa" w:w="1247"/>
            <w:shd w:fill="0F172A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互联通信</w:t>
            </w:r>
          </w:p>
        </w:tc>
        <w:tc>
          <w:tcPr>
            <w:tcW w:type="dxa" w:w="1531"/>
            <w:shd w:fill="0F172A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不规则性/控制</w:t>
            </w:r>
          </w:p>
        </w:tc>
        <w:tc>
          <w:tcPr>
            <w:tcW w:type="dxa" w:w="5386"/>
            <w:shd w:fill="0F172A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关键说明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GQA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≈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低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成熟、直接收益明确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SWA / Local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↓↓(长文)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↓/↓↓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低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牺牲部分全局可见性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MLA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≈/↑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中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KV 压缩收益极强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YOCO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↓(Prefill)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中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跨层/跨模块复用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NSA / DSA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↓↓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KV 仍可能完整保存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KDA / Linear Attention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↓↓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依赖 Scan/State Kernel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CSA / HCA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↓↓↓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压缩、稀疏与多级缓存组合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Sparse MoE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↓↓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依实现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算力换通信与容量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Aux-Free Routing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≈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↓(有效暴露)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缓解 Straggler/路由塌缩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Mixture-of-Depths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Token 级动态旁路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Mamba / RetNet / RWKV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↓↓(长文)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固定状态，强依赖递归/Scan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Hybrid SSM-Attention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MoE 时↑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兼顾检索与效率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Position Scaling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≈/总量↑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总量↑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总量↑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低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扩展能力，不是硬件降本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MTP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训练↑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≈/临时↑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可换取更高 Decode TPS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Diffusion LM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依步数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结构变化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结构变化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并行 Token 与多轮去噪折中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BitNet b1.58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↓↓↓*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↓↓↓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*需专用三值算子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BLT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↓(Patch 主干)</w:t>
            </w:r>
          </w:p>
        </w:tc>
        <w:tc>
          <w:tcPr>
            <w:tcW w:type="dxa" w:w="107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词表↓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主干 BW↓</w:t>
            </w:r>
          </w:p>
        </w:tc>
        <w:tc>
          <w:tcPr>
            <w:tcW w:type="dxa" w:w="1247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↑↑</w:t>
            </w:r>
          </w:p>
        </w:tc>
        <w:tc>
          <w:tcPr>
            <w:tcW w:type="dxa" w:w="5386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Byte 编解码与动态 Patch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mHC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↑</w:t>
            </w:r>
          </w:p>
        </w:tc>
        <w:tc>
          <w:tcPr>
            <w:tcW w:type="dxa" w:w="107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↑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247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≈</w:t>
            </w:r>
          </w:p>
        </w:tc>
        <w:tc>
          <w:tcPr>
            <w:tcW w:type="dxa" w:w="1531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中</w:t>
            </w:r>
          </w:p>
        </w:tc>
        <w:tc>
          <w:tcPr>
            <w:tcW w:type="dxa" w:w="5386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用小开销换稳定/表达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E0F2F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0284C7"/>
              <w:left w:val="single" w:sz="8" w:color="0284C7"/>
              <w:bottom w:val="single" w:sz="8" w:color="0284C7"/>
              <w:right w:val="single" w:sz="8" w:color="0284C7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最重要的硬件趋势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规则 Dense GEMM 仍是基础，但增长最快的能力需求已转向：① FP4/INT4/三值原生计算；② Top-k、Sparse Gather 与压缩 Attention；③ Scan/State Update；④ MoE Dispatch/Combine；⑤ 多级异构 KV Cache；⑥ 动态 Token/Layer 调度。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4. 六条主干演进路线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64748B"/>
              <w:left w:val="single" w:sz="8" w:color="64748B"/>
              <w:bottom w:val="single" w:sz="8" w:color="64748B"/>
              <w:right w:val="single" w:sz="8" w:color="64748B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路线 A：KV Cache 压缩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MHA → MQA/GQA → MLA → YOCO/跨层复用 → CSA/HCA。</w:t>
              <w:br/>
              <w:t>硬件含义：容量和 Decode 带宽持续下降，但模型需要支持多种 KV 格式、低秩投影、压缩块与缓存复用。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64748B"/>
              <w:left w:val="single" w:sz="8" w:color="64748B"/>
              <w:bottom w:val="single" w:sz="8" w:color="64748B"/>
              <w:right w:val="single" w:sz="8" w:color="64748B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路线 B：长上下文 Attention 降复杂度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SWA/Local-Global → NSA/DSA → CSA/HCA。</w:t>
              <w:br/>
              <w:t>硬件含义：从连续块访问走向 Top-k/Gather；需要高吞吐 Indexer、选择器、元数据和异构存储。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64748B"/>
              <w:left w:val="single" w:sz="8" w:color="64748B"/>
              <w:bottom w:val="single" w:sz="8" w:color="64748B"/>
              <w:right w:val="single" w:sz="8" w:color="64748B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路线 C：固定状态 / 线性序列模型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RetNet、RWKV、Mamba → Mamba-2/3 → Griffin/Jamba/Kimi Linear 混合。</w:t>
              <w:br/>
              <w:t>硬件含义：KV Cache 减少，但计算不再完全是大 GEMM，Scan、递归状态和小矩阵路径的重要性上升。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64748B"/>
              <w:left w:val="single" w:sz="8" w:color="64748B"/>
              <w:bottom w:val="single" w:sz="8" w:color="64748B"/>
              <w:right w:val="single" w:sz="8" w:color="64748B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路线 D：条件计算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Dense FFN → Sparse MoE → Fine-Grained/Shared Experts → Aux-Free Routing → MoD/Hash Routing。</w:t>
              <w:br/>
              <w:t>硬件含义：峰值算力不是唯一指标，Expert 权重供给、All-to-All、负载均衡和小 Batch GEMM 决定有效利用率。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64748B"/>
              <w:left w:val="single" w:sz="8" w:color="64748B"/>
              <w:bottom w:val="single" w:sz="8" w:color="64748B"/>
              <w:right w:val="single" w:sz="8" w:color="64748B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路线 E：并行生成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NTP → MTP → Masked/Block Diffusion。</w:t>
              <w:br/>
              <w:t>硬件含义：用更多并行计算替代逐 Token 串行；需要候选验证、块级 KV 或多轮全序列更新。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8FA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64748B"/>
              <w:left w:val="single" w:sz="8" w:color="64748B"/>
              <w:bottom w:val="single" w:sz="8" w:color="64748B"/>
              <w:right w:val="single" w:sz="8" w:color="64748B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路线 F：输入与数值粒度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固定 Subword Token + BF16/FP16 → BLT 动态 Byte Patch + BitNet 原生三值权重。</w:t>
              <w:br/>
              <w:t>硬件含义：计算粒度和数据格式开始由模型本身定义，传统 Token/GEMM 假设不再恒定。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5. 代表模型的组件组合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color w:val="334155"/>
          <w:sz w:val="19"/>
        </w:rPr>
        <w:t>模型创新通常不是单点技术，而是多个组件的组合。以下表格用于把“论文节点”重新还原成“系统级模型架构”。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268"/>
            <w:shd w:fill="334155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模型/系列</w:t>
            </w:r>
          </w:p>
        </w:tc>
        <w:tc>
          <w:tcPr>
            <w:tcW w:type="dxa" w:w="1134"/>
            <w:shd w:fill="334155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783"/>
            <w:shd w:fill="334155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核心架构组合</w:t>
            </w:r>
          </w:p>
        </w:tc>
        <w:tc>
          <w:tcPr>
            <w:tcW w:type="dxa" w:w="5839"/>
            <w:shd w:fill="334155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图谱意义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Mistral 7B</w:t>
            </w:r>
          </w:p>
        </w:tc>
        <w:tc>
          <w:tcPr>
            <w:tcW w:type="dxa" w:w="113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2023</w:t>
            </w:r>
          </w:p>
        </w:tc>
        <w:tc>
          <w:tcPr>
            <w:tcW w:type="dxa" w:w="5783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GQA + SWA + Dense SwiGLU</w:t>
            </w:r>
          </w:p>
        </w:tc>
        <w:tc>
          <w:tcPr>
            <w:tcW w:type="dxa" w:w="58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KV Head 共享与局部 Attention 首次形成高效开源模型组合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Mixtral 8x7B</w:t>
            </w:r>
          </w:p>
        </w:tc>
        <w:tc>
          <w:tcPr>
            <w:tcW w:type="dxa" w:w="113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2023/24</w:t>
            </w:r>
          </w:p>
        </w:tc>
        <w:tc>
          <w:tcPr>
            <w:tcW w:type="dxa" w:w="5783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GQA + SWA + Top-2 Sparse MoE</w:t>
            </w:r>
          </w:p>
        </w:tc>
        <w:tc>
          <w:tcPr>
            <w:tcW w:type="dxa" w:w="58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从 Dense FFN 转向条件激活；算力下降但通信/容量上升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DeepSeek-V2</w:t>
            </w:r>
          </w:p>
        </w:tc>
        <w:tc>
          <w:tcPr>
            <w:tcW w:type="dxa" w:w="113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2024</w:t>
            </w:r>
          </w:p>
        </w:tc>
        <w:tc>
          <w:tcPr>
            <w:tcW w:type="dxa" w:w="5783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MLA + Fine-Grained/Shared-Expert MoE</w:t>
            </w:r>
          </w:p>
        </w:tc>
        <w:tc>
          <w:tcPr>
            <w:tcW w:type="dxa" w:w="58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同时压缩 KV 与 Active FFN Compute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RecurrentGemma</w:t>
            </w:r>
          </w:p>
        </w:tc>
        <w:tc>
          <w:tcPr>
            <w:tcW w:type="dxa" w:w="113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2024</w:t>
            </w:r>
          </w:p>
        </w:tc>
        <w:tc>
          <w:tcPr>
            <w:tcW w:type="dxa" w:w="5783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Local Attention + Gated Linear Recurrence</w:t>
            </w:r>
          </w:p>
        </w:tc>
        <w:tc>
          <w:tcPr>
            <w:tcW w:type="dxa" w:w="58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固定状态 Backbone 与局部 Attention 的混合路线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Jamba</w:t>
            </w:r>
          </w:p>
        </w:tc>
        <w:tc>
          <w:tcPr>
            <w:tcW w:type="dxa" w:w="113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2024</w:t>
            </w:r>
          </w:p>
        </w:tc>
        <w:tc>
          <w:tcPr>
            <w:tcW w:type="dxa" w:w="5783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Transformer + Mamba + MoE</w:t>
            </w:r>
          </w:p>
        </w:tc>
        <w:tc>
          <w:tcPr>
            <w:tcW w:type="dxa" w:w="58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把 Attention、SSM 与条件计算组合在同一模型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Gemma 2</w:t>
            </w:r>
          </w:p>
        </w:tc>
        <w:tc>
          <w:tcPr>
            <w:tcW w:type="dxa" w:w="113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2024</w:t>
            </w:r>
          </w:p>
        </w:tc>
        <w:tc>
          <w:tcPr>
            <w:tcW w:type="dxa" w:w="5783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Local–Global Interleaving + GQA + Softcapping</w:t>
            </w:r>
          </w:p>
        </w:tc>
        <w:tc>
          <w:tcPr>
            <w:tcW w:type="dxa" w:w="58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采用保守但工程有效的混合 Attention 与稳定化设计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DeepSeek-V3</w:t>
            </w:r>
          </w:p>
        </w:tc>
        <w:tc>
          <w:tcPr>
            <w:tcW w:type="dxa" w:w="113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2024/25</w:t>
            </w:r>
          </w:p>
        </w:tc>
        <w:tc>
          <w:tcPr>
            <w:tcW w:type="dxa" w:w="5783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MLA + DeepSeekMoE + Aux-Free Routing + MTP</w:t>
            </w:r>
          </w:p>
        </w:tc>
        <w:tc>
          <w:tcPr>
            <w:tcW w:type="dxa" w:w="58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高效 MoE 基座进一步强化路由稳定与预测目标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Qwen3</w:t>
            </w:r>
          </w:p>
        </w:tc>
        <w:tc>
          <w:tcPr>
            <w:tcW w:type="dxa" w:w="113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2025</w:t>
            </w:r>
          </w:p>
        </w:tc>
        <w:tc>
          <w:tcPr>
            <w:tcW w:type="dxa" w:w="5783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GQA + QK-Norm + Dense/MoE 双系列</w:t>
            </w:r>
          </w:p>
        </w:tc>
        <w:tc>
          <w:tcPr>
            <w:tcW w:type="dxa" w:w="58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主流 Transformer 组件趋于收敛并提升大规模训练稳定性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Kimi Linear</w:t>
            </w:r>
          </w:p>
        </w:tc>
        <w:tc>
          <w:tcPr>
            <w:tcW w:type="dxa" w:w="113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2025</w:t>
            </w:r>
          </w:p>
        </w:tc>
        <w:tc>
          <w:tcPr>
            <w:tcW w:type="dxa" w:w="5783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KDA + MLA Layerwise Hybrid + MoE</w:t>
            </w:r>
          </w:p>
        </w:tc>
        <w:tc>
          <w:tcPr>
            <w:tcW w:type="dxa" w:w="58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线性 Attention 不再只作为小规模替代，而与 MLA 混合扩展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DeepSeek-V3.2</w:t>
            </w:r>
          </w:p>
        </w:tc>
        <w:tc>
          <w:tcPr>
            <w:tcW w:type="dxa" w:w="113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2025</w:t>
            </w:r>
          </w:p>
        </w:tc>
        <w:tc>
          <w:tcPr>
            <w:tcW w:type="dxa" w:w="5783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DSA instantiated under MLA</w:t>
            </w:r>
          </w:p>
        </w:tc>
        <w:tc>
          <w:tcPr>
            <w:tcW w:type="dxa" w:w="58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保留 Latent KV，同时将核心 Attention 稀疏化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LLaDA / Mercury</w:t>
            </w:r>
          </w:p>
        </w:tc>
        <w:tc>
          <w:tcPr>
            <w:tcW w:type="dxa" w:w="113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2025</w:t>
            </w:r>
          </w:p>
        </w:tc>
        <w:tc>
          <w:tcPr>
            <w:tcW w:type="dxa" w:w="5783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Diffusion Generation</w:t>
            </w:r>
          </w:p>
        </w:tc>
        <w:tc>
          <w:tcPr>
            <w:tcW w:type="dxa" w:w="58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从严格 AR 迈向并行 Token 生成的另一条范式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DeepSeek-V4</w:t>
            </w:r>
          </w:p>
        </w:tc>
        <w:tc>
          <w:tcPr>
            <w:tcW w:type="dxa" w:w="1134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2026</w:t>
            </w:r>
          </w:p>
        </w:tc>
        <w:tc>
          <w:tcPr>
            <w:tcW w:type="dxa" w:w="5783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CSA/HCA Hybrid + mHC + MoE + MTP</w:t>
            </w:r>
          </w:p>
        </w:tc>
        <w:tc>
          <w:tcPr>
            <w:tcW w:type="dxa" w:w="5839"/>
            <w:shd w:fill="FFFFF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沿序列维压缩 KV，面向百万 Token Context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Mamba-3</w:t>
            </w:r>
          </w:p>
        </w:tc>
        <w:tc>
          <w:tcPr>
            <w:tcW w:type="dxa" w:w="1134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E293B"/>
                <w:sz w:val="16"/>
              </w:rPr>
              <w:t>2026</w:t>
            </w:r>
          </w:p>
        </w:tc>
        <w:tc>
          <w:tcPr>
            <w:tcW w:type="dxa" w:w="5783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Improved Selective SSM</w:t>
            </w:r>
          </w:p>
        </w:tc>
        <w:tc>
          <w:tcPr>
            <w:tcW w:type="dxa" w:w="5839"/>
            <w:shd w:fill="F8FAFC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E293B"/>
                <w:sz w:val="16"/>
              </w:rPr>
              <w:t>非 Attention Backbone 继续优化，但大规模主流化仍待验证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6. BP 中如何使用这张图谱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4"/>
      </w:tblGrid>
      <w:tr>
        <w:trPr>
          <w:cantSplit/>
        </w:trPr>
        <w:tc>
          <w:tcPr>
            <w:tcW w:type="dxa" w:w="15420"/>
            <w:shd w:fill="FFF7E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F97316"/>
              <w:left w:val="single" w:sz="8" w:color="F97316"/>
              <w:bottom w:val="single" w:sz="8" w:color="F97316"/>
              <w:right w:val="single" w:sz="8" w:color="F97316"/>
            </w:tcBorders>
          </w:tcPr>
          <w:p>
            <w:pPr>
              <w:keepNext/>
            </w:pPr>
            <w:r>
              <w:rPr>
                <w:rFonts w:ascii="Noto Sans CJK SC" w:hAnsi="Noto Sans CJK SC" w:eastAsia="Noto Sans CJK SC"/>
                <w:b/>
                <w:color w:val="0F172A"/>
                <w:sz w:val="23"/>
              </w:rPr>
              <w:t>不建议把全部节点直接放进 BP</w:t>
            </w:r>
          </w:p>
          <w:p>
            <w:pPr>
              <w:keepLines/>
            </w:pPr>
            <w:r>
              <w:rPr>
                <w:rFonts w:ascii="Noto Sans CJK SC" w:hAnsi="Noto Sans CJK SC" w:eastAsia="Noto Sans CJK SC"/>
                <w:color w:val="334155"/>
                <w:sz w:val="20"/>
              </w:rPr>
              <w:t>完整图谱适合作为内部研究与附录。主 BP 只应保留 4 条与芯片能力直接相关的路线：KV 压缩、条件计算、长上下文稀疏/压缩 Attention、并行生成/动态推理。</w:t>
            </w:r>
          </w:p>
        </w:tc>
      </w:tr>
    </w:tbl>
    <w:p>
      <w:pPr>
        <w:spacing w:after="20"/>
      </w:pP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2023：GQA、SWA、Sparse MoE 开始压缩 KV Head、Attention Window 与 Active FFN Compute。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2024：MLA、Mamba/Hybrid、YOCO、MTP 把优化推进到 Latent KV、固定状态、跨层复用和多 Token 预测。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2025：NSA/DSA、Kimi Linear、Diffusion LM、Test-Time Memory 进一步挑战 Dense Attention 与严格 AR Decode。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2026：CSA/HCA、mHC、Mamba-3 把重点推向百万 Token、序列维压缩和更稳定的超大模型结构。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BP 结论不应是“算法让硬件需求下降”，而应是“算法压缩旧瓶颈并释放更大任务边界，硬件需求迁移到低精度、稀疏访问、状态更新、通信与缓存层级”。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7. 观察清单与尚未收敛的问题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Sparse Attention：理论 FLOPs 降低能否转化为端到端收益，取决于 Top-k、Gather、Index Metadata 和 Batch 形态。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Linear/SSM：固定状态对精确长程检索仍可能弱于 Full Attention；混合架构可能比纯替代更现实。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MoE：在小 Expert Batch 与跨节点部署下，权重带宽和通信可能抵消 Active Compute 的收益。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Diffusion LM：并行 Token 生成很有吸引力，但去噪步数、KV 复用、长序列质量和现有 Serving 生态仍在演进。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BLT/Byte-level：动态 Patch 改变 Token 统计与算子粒度，能否形成成熟编译/Serving 生态仍需观察。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BitNet/原生低比特：若硬件缺少三值/1-bit 数据通路，理论容量收益未必等价于实际吞吐收益。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Test-Time Memory：在线写入参数/状态会引入稳定性、隔离、多租户与可复现性问题。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color w:val="334155"/>
          <w:sz w:val="20"/>
        </w:rPr>
        <w:t>DeepSeek-V4、Mamba-3 等 2026 技术仍处于较早阶段，本图谱将其标为 M4，不应与 GQA/MoE 等成熟技术等量齐观。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0F172A"/>
          <w:sz w:val="36"/>
        </w:rPr>
        <w:t>8. 主要参考资料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color w:val="334155"/>
          <w:sz w:val="19"/>
        </w:rPr>
        <w:t>以下均为论文或官方技术报告。正文中的 [n] 与本节序号对应。DeepSeek 系列条目同时基于本次讨论中提供的原始论文。</w:t>
      </w:r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[1] GQA: Training Generalized Multi-Query Transformer Models from Multi-Head Checkpoints. 2023. arXiv:2305.13245. </w:t>
      </w:r>
      <w:hyperlink r:id="rId12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[2] Mistral 7B. 2023. arXiv:2310.06825. </w:t>
      </w:r>
      <w:hyperlink r:id="rId13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[3] Mixtral of Experts. 2024. arXiv:2401.04088. </w:t>
      </w:r>
      <w:hyperlink r:id="rId14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[4] Hyena Hierarchy: Towards Larger Convolutional Language Models. 2023. arXiv:2302.10866. </w:t>
      </w:r>
      <w:hyperlink r:id="rId15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[5] Retentive Network: A Successor to Transformer for Large Language Models. 2023. arXiv:2307.08621. </w:t>
      </w:r>
      <w:hyperlink r:id="rId16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[6] Mamba: Linear-Time Sequence Modeling with Selective State Spaces. 2023. arXiv:2312.00752. </w:t>
      </w:r>
      <w:hyperlink r:id="rId17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[7] Extending Context Window of Large Language Models via Positional Interpolation. 2023. arXiv:2306.15595. </w:t>
      </w:r>
      <w:hyperlink r:id="rId18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[8] YaRN: Efficient Context Window Extension of Large Language Models. 2023. arXiv:2309.00071. </w:t>
      </w:r>
      <w:hyperlink r:id="rId19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[9] PoSE: Efficient Context Window Extension of LLMs via Positional Skip-wise Training. 2023. arXiv:2309.10400. </w:t>
      </w:r>
      <w:hyperlink r:id="rId20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[10] DeepSeek-V2: A Strong, Economical, and Efficient Mixture-of-Experts Language Model. 2024. arXiv:2405.04434. </w:t>
      </w:r>
      <w:hyperlink r:id="rId21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[11] Griffin: Mixing Gated Linear Recurrences with Local Attention for Efficient Language Models. 2024. arXiv:2402.19427. </w:t>
      </w:r>
      <w:hyperlink r:id="rId22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[12] Jamba: A Hybrid Transformer-Mamba Language Model. 2024. arXiv:2403.19887. </w:t>
      </w:r>
      <w:hyperlink r:id="rId23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[13] RecurrentGemma: Moving Past Transformers for Efficient Open Language Models. 2024. arXiv:2404.07839. </w:t>
      </w:r>
      <w:hyperlink r:id="rId24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[14] Transformers are SSMs: Structured State Space Duality and Mamba-2. 2024. arXiv:2405.21060. </w:t>
      </w:r>
      <w:hyperlink r:id="rId25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[15] Mixture-of-Depths: Dynamically Allocating Compute in Transformer-Based Language Models. 2024. arXiv:2404.02258. </w:t>
      </w:r>
      <w:hyperlink r:id="rId26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[16] Leave No Context Behind: Efficient Infinite Context Transformers with Infini-attention. 2024. arXiv:2404.07143. </w:t>
      </w:r>
      <w:hyperlink r:id="rId27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[17] Better &amp; Faster Large Language Models via Multi-token Prediction. 2024. arXiv:2404.19737. </w:t>
      </w:r>
      <w:hyperlink r:id="rId28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[18] You Only Cache Once: Decoder-Decoder Architectures for Language Models. 2024. arXiv:2405.05254. </w:t>
      </w:r>
      <w:hyperlink r:id="rId29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[19] LongRoPE: Extending LLM Context Window Beyond 2 Million Tokens. 2024. arXiv:2402.13753. </w:t>
      </w:r>
      <w:hyperlink r:id="rId30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[20] Gemma 2: Improving Open Language Models at a Practical Size. 2024. arXiv:2408.00118. </w:t>
      </w:r>
      <w:hyperlink r:id="rId31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[21] RWKV with Matrix-Valued States and Dynamic Recurrence (Eagle/Finch). 2024. arXiv:2404.05892. </w:t>
      </w:r>
      <w:hyperlink r:id="rId32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[22] Byte Latent Transformer: Patches Scale Better Than Tokens. 2024. arXiv:2412.09871. </w:t>
      </w:r>
      <w:hyperlink r:id="rId33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[23] The Era of 1-bit LLMs: All Large Language Models are in 1.58 Bits. 2024. arXiv:2402.17764. </w:t>
      </w:r>
      <w:hyperlink r:id="rId34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[24] DeepSeek-V3 Technical Report. 2024/25. arXiv:2412.19437. </w:t>
      </w:r>
      <w:hyperlink r:id="rId35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[25] Qwen3 Technical Report. 2025. arXiv:2505.09388. </w:t>
      </w:r>
      <w:hyperlink r:id="rId36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[26] Native Sparse Attention: Hardware-Aligned and Natively Trainable Sparse Attention. 2025. arXiv:2502.11089. </w:t>
      </w:r>
      <w:hyperlink r:id="rId37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[27] Titans: Learning to Memorize at Test Time. 2025. arXiv:2501.00663. </w:t>
      </w:r>
      <w:hyperlink r:id="rId38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[28] ATLAS: Learning to Optimally Memorize the Context at Test Time. 2025. arXiv:2505.23735. </w:t>
      </w:r>
      <w:hyperlink r:id="rId39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[29] RWKV-7 “Goose” with Expressive Dynamic State Evolution. 2025. arXiv:2503.14456. </w:t>
      </w:r>
      <w:hyperlink r:id="rId40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[30] Large Language Diffusion Models (LLaDA). 2025. arXiv:2502.09992. </w:t>
      </w:r>
      <w:hyperlink r:id="rId41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[31] Block Diffusion: Interpolating Between Autoregressive and Diffusion Language Models. 2025. arXiv:2503.09573. </w:t>
      </w:r>
      <w:hyperlink r:id="rId42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[32] Mercury: Ultra-Fast Language Models Based on Diffusion. 2025. arXiv:2506.17298. </w:t>
      </w:r>
      <w:hyperlink r:id="rId43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[33] Kimi Linear: An Expressive, Efficient Attention Architecture. 2025. arXiv:2510.26692. </w:t>
      </w:r>
      <w:hyperlink r:id="rId44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[34] DeepSeek-V3.2: Pushing the Frontier of Open Large Language Models. 2025. arXiv:2512.02556. </w:t>
      </w:r>
      <w:hyperlink r:id="rId45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[35] Mamba-3: Improved Sequence Modeling using State Space Principles. 2026. arXiv:2603.15569. </w:t>
      </w:r>
      <w:hyperlink r:id="rId46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p>
      <w:pPr>
        <w:spacing w:after="40"/>
      </w:pPr>
      <w:r>
        <w:rPr>
          <w:rFonts w:ascii="Noto Sans CJK SC" w:hAnsi="Noto Sans CJK SC" w:eastAsia="Noto Sans CJK SC"/>
          <w:color w:val="334155"/>
          <w:sz w:val="17"/>
        </w:rPr>
        <w:t xml:space="preserve">[36] DeepSeek-V4: Towards Highly Efficient Million-Token Context Intelligence. 2026. arXiv:2606.19348. </w:t>
      </w:r>
      <w:hyperlink r:id="rId47">
        <w:r>
          <w:rPr>
            <w:color w:val="2563EB"/>
            <w:u w:val="single"/>
            <w:rFonts w:eastAsia="Noto Sans CJK SC" w:ascii="Noto Sans CJK SC" w:hAnsi="Noto Sans CJK SC"/>
            <w:sz w:val="18"/>
          </w:rPr>
          <w:t>打开论文</w:t>
        </w:r>
      </w:hyperlink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748B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4748B"/>
        <w:sz w:val="16"/>
      </w:rPr>
      <w:t>LLM Architecture Evolution Map  |  2023–2026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rxiv.org/abs/2305.13245" TargetMode="External"/><Relationship Id="rId13" Type="http://schemas.openxmlformats.org/officeDocument/2006/relationships/hyperlink" Target="https://arxiv.org/abs/2310.06825" TargetMode="External"/><Relationship Id="rId14" Type="http://schemas.openxmlformats.org/officeDocument/2006/relationships/hyperlink" Target="https://arxiv.org/abs/2401.04088" TargetMode="External"/><Relationship Id="rId15" Type="http://schemas.openxmlformats.org/officeDocument/2006/relationships/hyperlink" Target="https://arxiv.org/abs/2302.10866" TargetMode="External"/><Relationship Id="rId16" Type="http://schemas.openxmlformats.org/officeDocument/2006/relationships/hyperlink" Target="https://arxiv.org/abs/2307.08621" TargetMode="External"/><Relationship Id="rId17" Type="http://schemas.openxmlformats.org/officeDocument/2006/relationships/hyperlink" Target="https://arxiv.org/abs/2312.00752" TargetMode="External"/><Relationship Id="rId18" Type="http://schemas.openxmlformats.org/officeDocument/2006/relationships/hyperlink" Target="https://arxiv.org/abs/2306.15595" TargetMode="External"/><Relationship Id="rId19" Type="http://schemas.openxmlformats.org/officeDocument/2006/relationships/hyperlink" Target="https://arxiv.org/abs/2309.00071" TargetMode="External"/><Relationship Id="rId20" Type="http://schemas.openxmlformats.org/officeDocument/2006/relationships/hyperlink" Target="https://arxiv.org/abs/2309.10400" TargetMode="External"/><Relationship Id="rId21" Type="http://schemas.openxmlformats.org/officeDocument/2006/relationships/hyperlink" Target="https://arxiv.org/abs/2405.04434" TargetMode="External"/><Relationship Id="rId22" Type="http://schemas.openxmlformats.org/officeDocument/2006/relationships/hyperlink" Target="https://arxiv.org/abs/2402.19427" TargetMode="External"/><Relationship Id="rId23" Type="http://schemas.openxmlformats.org/officeDocument/2006/relationships/hyperlink" Target="https://arxiv.org/abs/2403.19887" TargetMode="External"/><Relationship Id="rId24" Type="http://schemas.openxmlformats.org/officeDocument/2006/relationships/hyperlink" Target="https://arxiv.org/abs/2404.07839" TargetMode="External"/><Relationship Id="rId25" Type="http://schemas.openxmlformats.org/officeDocument/2006/relationships/hyperlink" Target="https://arxiv.org/abs/2405.21060" TargetMode="External"/><Relationship Id="rId26" Type="http://schemas.openxmlformats.org/officeDocument/2006/relationships/hyperlink" Target="https://arxiv.org/abs/2404.02258" TargetMode="External"/><Relationship Id="rId27" Type="http://schemas.openxmlformats.org/officeDocument/2006/relationships/hyperlink" Target="https://arxiv.org/abs/2404.07143" TargetMode="External"/><Relationship Id="rId28" Type="http://schemas.openxmlformats.org/officeDocument/2006/relationships/hyperlink" Target="https://arxiv.org/abs/2404.19737" TargetMode="External"/><Relationship Id="rId29" Type="http://schemas.openxmlformats.org/officeDocument/2006/relationships/hyperlink" Target="https://arxiv.org/abs/2405.05254" TargetMode="External"/><Relationship Id="rId30" Type="http://schemas.openxmlformats.org/officeDocument/2006/relationships/hyperlink" Target="https://arxiv.org/abs/2402.13753" TargetMode="External"/><Relationship Id="rId31" Type="http://schemas.openxmlformats.org/officeDocument/2006/relationships/hyperlink" Target="https://arxiv.org/abs/2408.00118" TargetMode="External"/><Relationship Id="rId32" Type="http://schemas.openxmlformats.org/officeDocument/2006/relationships/hyperlink" Target="https://arxiv.org/abs/2404.05892" TargetMode="External"/><Relationship Id="rId33" Type="http://schemas.openxmlformats.org/officeDocument/2006/relationships/hyperlink" Target="https://arxiv.org/abs/2412.09871" TargetMode="External"/><Relationship Id="rId34" Type="http://schemas.openxmlformats.org/officeDocument/2006/relationships/hyperlink" Target="https://arxiv.org/abs/2402.17764" TargetMode="External"/><Relationship Id="rId35" Type="http://schemas.openxmlformats.org/officeDocument/2006/relationships/hyperlink" Target="https://arxiv.org/abs/2412.19437" TargetMode="External"/><Relationship Id="rId36" Type="http://schemas.openxmlformats.org/officeDocument/2006/relationships/hyperlink" Target="https://arxiv.org/abs/2505.09388" TargetMode="External"/><Relationship Id="rId37" Type="http://schemas.openxmlformats.org/officeDocument/2006/relationships/hyperlink" Target="https://arxiv.org/abs/2502.11089" TargetMode="External"/><Relationship Id="rId38" Type="http://schemas.openxmlformats.org/officeDocument/2006/relationships/hyperlink" Target="https://arxiv.org/abs/2501.00663" TargetMode="External"/><Relationship Id="rId39" Type="http://schemas.openxmlformats.org/officeDocument/2006/relationships/hyperlink" Target="https://arxiv.org/abs/2505.23735" TargetMode="External"/><Relationship Id="rId40" Type="http://schemas.openxmlformats.org/officeDocument/2006/relationships/hyperlink" Target="https://arxiv.org/abs/2503.14456" TargetMode="External"/><Relationship Id="rId41" Type="http://schemas.openxmlformats.org/officeDocument/2006/relationships/hyperlink" Target="https://arxiv.org/abs/2502.09992" TargetMode="External"/><Relationship Id="rId42" Type="http://schemas.openxmlformats.org/officeDocument/2006/relationships/hyperlink" Target="https://arxiv.org/abs/2503.09573" TargetMode="External"/><Relationship Id="rId43" Type="http://schemas.openxmlformats.org/officeDocument/2006/relationships/hyperlink" Target="https://arxiv.org/abs/2506.17298" TargetMode="External"/><Relationship Id="rId44" Type="http://schemas.openxmlformats.org/officeDocument/2006/relationships/hyperlink" Target="https://arxiv.org/abs/2510.26692" TargetMode="External"/><Relationship Id="rId45" Type="http://schemas.openxmlformats.org/officeDocument/2006/relationships/hyperlink" Target="https://arxiv.org/abs/2512.02556" TargetMode="External"/><Relationship Id="rId46" Type="http://schemas.openxmlformats.org/officeDocument/2006/relationships/hyperlink" Target="https://arxiv.org/abs/2603.15569" TargetMode="External"/><Relationship Id="rId47" Type="http://schemas.openxmlformats.org/officeDocument/2006/relationships/hyperlink" Target="https://arxiv.org/abs/2606.193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模型架构演进图谱（2023–2026）v0.1</dc:title>
  <dc:subject>Component-centric and hardware-aware LLM architecture evolution map</dc:subject>
  <dc:creator>OpenAI</dc:creator>
  <cp:keywords>LLM, architecture, attention, KV cache, MoE, Mamba, sparse attention, hardware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