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3E07" w14:textId="4C2E2181" w:rsidR="00A201D5" w:rsidRDefault="00E87738" w:rsidP="00E87738">
      <w:pPr>
        <w:pStyle w:val="Heading1"/>
      </w:pPr>
      <w:r>
        <w:t>Learning resource for MAPS</w:t>
      </w:r>
    </w:p>
    <w:p w14:paraId="453DC308" w14:textId="7AC5EBCE" w:rsidR="00585CA4" w:rsidRDefault="00585CA4">
      <w:r>
        <w:t xml:space="preserve">This guide is aimed at anyone looking to develop participatory teaching/training in food systems thinking to improve dietary micronutrients, using the MAPS tool as part of the learning activity. </w:t>
      </w:r>
    </w:p>
    <w:p w14:paraId="7CFAA30C" w14:textId="0155DD25" w:rsidR="00585CA4" w:rsidRDefault="00585CA4">
      <w:r>
        <w:t>We</w:t>
      </w:r>
      <w:r w:rsidR="00CD02E5">
        <w:t xml:space="preserve"> provide examples used in university teaching, or professional training, during the MAPS project. These are intended as examples which </w:t>
      </w:r>
      <w:r w:rsidR="00FD5D20">
        <w:t>we recommend are</w:t>
      </w:r>
      <w:r w:rsidR="00CD02E5">
        <w:t xml:space="preserve"> adapted to suit local learning needs in any setting where the MAPS tool is relevant.</w:t>
      </w:r>
      <w:r w:rsidR="00DE71D6">
        <w:t xml:space="preserve"> </w:t>
      </w:r>
      <w:r w:rsidR="00FD5D20">
        <w:t>We provide examples from undergraduate, postgraduate and professional level training provided in the MAPS project</w:t>
      </w:r>
      <w:r>
        <w:t>. This is intended to help guide use of MAPS in similar settings elsewhere</w:t>
      </w:r>
      <w:r w:rsidR="00FD5D20">
        <w:t xml:space="preserve">. </w:t>
      </w:r>
    </w:p>
    <w:p w14:paraId="241A1B3F" w14:textId="6D9EB7B6" w:rsidR="00DE71D6" w:rsidRDefault="00FD5D20">
      <w:r>
        <w:t xml:space="preserve">We also summarise our training resources for the R language, in which our “offline” modelling development has taken place. </w:t>
      </w:r>
    </w:p>
    <w:p w14:paraId="3C946F4B" w14:textId="0013D8E2" w:rsidR="00E87738" w:rsidRDefault="00DE71D6">
      <w:r>
        <w:t>The MAPS tool has been developed to meet the previously unmet needs of users for an “easy to use” system that does not require extensive training; we see this as an advantage in an educational setting as well, because it should maximise the time in which learners can focus on the</w:t>
      </w:r>
      <w:r w:rsidR="00FD5D20">
        <w:t>i</w:t>
      </w:r>
      <w:r>
        <w:t xml:space="preserve">r understanding and interpretation of the data presented. </w:t>
      </w:r>
    </w:p>
    <w:p w14:paraId="559C71E6" w14:textId="1BC65BD1" w:rsidR="00FD5D20" w:rsidRDefault="00FD5D20">
      <w:r>
        <w:t>The MAPS tool user guide [</w:t>
      </w:r>
      <w:r w:rsidRPr="00FD5D20">
        <w:rPr>
          <w:highlight w:val="yellow"/>
        </w:rPr>
        <w:t>link</w:t>
      </w:r>
      <w:r>
        <w:t xml:space="preserve">] provides support for the features and functionality within the tool.  </w:t>
      </w:r>
    </w:p>
    <w:p w14:paraId="7C4B9016" w14:textId="5151C38D" w:rsidR="00E87738" w:rsidRDefault="00E87738" w:rsidP="00E87738">
      <w:pPr>
        <w:pStyle w:val="Heading2"/>
      </w:pPr>
      <w:r>
        <w:t>Using the MAPS tool in undergraduate teaching</w:t>
      </w:r>
    </w:p>
    <w:p w14:paraId="7530EF87" w14:textId="1CBA2079" w:rsidR="00E87738" w:rsidRDefault="00E87738">
      <w:r>
        <w:t>The MAPS tool provides an opportunity to allow undergraduate students to develop their understanding of nutritious food systems</w:t>
      </w:r>
      <w:r w:rsidR="00585CA4">
        <w:t>, using example micronutrients</w:t>
      </w:r>
      <w:r>
        <w:t xml:space="preserve">. The example provided here has been used </w:t>
      </w:r>
      <w:r w:rsidR="00585CA4">
        <w:t>since &lt;</w:t>
      </w:r>
      <w:r w:rsidR="00585CA4" w:rsidRPr="00585CA4">
        <w:rPr>
          <w:highlight w:val="yellow"/>
        </w:rPr>
        <w:t>year</w:t>
      </w:r>
      <w:r w:rsidR="00585CA4">
        <w:t>&gt;</w:t>
      </w:r>
      <w:r>
        <w:t xml:space="preserve"> </w:t>
      </w:r>
      <w:r w:rsidR="00FD5D20">
        <w:t xml:space="preserve">in the School of Biosciences </w:t>
      </w:r>
      <w:r>
        <w:t>at the University of Nottingham</w:t>
      </w:r>
      <w:r w:rsidR="00585CA4">
        <w:t>. It is designed for a course which includes</w:t>
      </w:r>
      <w:r>
        <w:t xml:space="preserve"> first year undergraduates drawn from </w:t>
      </w:r>
      <w:r w:rsidR="00940433">
        <w:t xml:space="preserve">across </w:t>
      </w:r>
      <w:r>
        <w:t>agriculture, agricultural economics, nutrition and dietetics</w:t>
      </w:r>
      <w:r w:rsidR="00940433">
        <w:t xml:space="preserve"> degree schemes</w:t>
      </w:r>
      <w:r>
        <w:t xml:space="preserve">. </w:t>
      </w:r>
      <w:r w:rsidR="00585CA4">
        <w:t>The module</w:t>
      </w:r>
      <w:r w:rsidR="002F095F">
        <w:t xml:space="preserve"> ran for a full academic year each year, with the assessment component developed in the second half of the year alongside continuing scientific lectures.</w:t>
      </w:r>
    </w:p>
    <w:p w14:paraId="7CBE798F" w14:textId="5256A17C" w:rsidR="00E87738" w:rsidRDefault="00FD5D20">
      <w:r>
        <w:t>We recommend</w:t>
      </w:r>
      <w:r w:rsidR="00E87738">
        <w:t xml:space="preserve"> adapting</w:t>
      </w:r>
      <w:r w:rsidR="00DE71D6">
        <w:t xml:space="preserve"> the approach described here</w:t>
      </w:r>
      <w:r w:rsidR="00E87738">
        <w:t xml:space="preserve"> to suit the learning </w:t>
      </w:r>
      <w:r>
        <w:t xml:space="preserve">subject </w:t>
      </w:r>
      <w:r w:rsidR="00E87738">
        <w:t xml:space="preserve">focus and </w:t>
      </w:r>
      <w:r>
        <w:t xml:space="preserve">educational </w:t>
      </w:r>
      <w:r w:rsidR="00E87738">
        <w:t xml:space="preserve">stage of the cohort for whom the training will apply. </w:t>
      </w:r>
    </w:p>
    <w:p w14:paraId="5B5343AD" w14:textId="5B14C9A9" w:rsidR="00585CA4" w:rsidRDefault="00585CA4" w:rsidP="00585CA4">
      <w:pPr>
        <w:pStyle w:val="Heading3"/>
      </w:pPr>
      <w:r>
        <w:t>Intended learning outcomes</w:t>
      </w:r>
    </w:p>
    <w:p w14:paraId="79ABA7AD" w14:textId="273B7F51" w:rsidR="00585CA4" w:rsidRDefault="00585CA4">
      <w:r>
        <w:t>&lt;insert&gt;</w:t>
      </w:r>
    </w:p>
    <w:p w14:paraId="59055FD0" w14:textId="48ED92D7" w:rsidR="00E87738" w:rsidRDefault="00E87738" w:rsidP="00E87738">
      <w:pPr>
        <w:pStyle w:val="Heading3"/>
      </w:pPr>
      <w:r>
        <w:t>Context</w:t>
      </w:r>
    </w:p>
    <w:p w14:paraId="01B2113F" w14:textId="2599C7EC" w:rsidR="00171F9A" w:rsidRDefault="00E87738">
      <w:r>
        <w:t>This exercise was used as the basis for a teamwork assessed exercise</w:t>
      </w:r>
      <w:r w:rsidR="002F095F">
        <w:t xml:space="preserve"> for first year students</w:t>
      </w:r>
      <w:r>
        <w:t xml:space="preserve">. The </w:t>
      </w:r>
      <w:r w:rsidR="00104281">
        <w:t xml:space="preserve">groups were drawn together with members from the different agriculture-nutrition degree schemes in the School of Biosciences, generally with 4-6 members. </w:t>
      </w:r>
    </w:p>
    <w:p w14:paraId="3F98EDE6" w14:textId="36AEF178" w:rsidR="00E87738" w:rsidRDefault="00104281">
      <w:r>
        <w:t>In addition to their scientific understanding, this assessment included</w:t>
      </w:r>
      <w:r w:rsidR="00171F9A">
        <w:t xml:space="preserve"> </w:t>
      </w:r>
      <w:r w:rsidR="00940433">
        <w:t xml:space="preserve">both </w:t>
      </w:r>
      <w:r w:rsidR="00171F9A">
        <w:t>teaching support and assessment</w:t>
      </w:r>
      <w:r>
        <w:t xml:space="preserve"> criteria around team-working and presentation skills, which are not </w:t>
      </w:r>
      <w:r w:rsidR="000C5B3C">
        <w:t>included</w:t>
      </w:r>
      <w:r>
        <w:t xml:space="preserve"> here. </w:t>
      </w:r>
    </w:p>
    <w:p w14:paraId="630FFE6B" w14:textId="422E3889" w:rsidR="00104281" w:rsidRDefault="00104281" w:rsidP="00104281">
      <w:pPr>
        <w:pStyle w:val="Heading3"/>
      </w:pPr>
      <w:r>
        <w:t>Setting the group exercise</w:t>
      </w:r>
    </w:p>
    <w:p w14:paraId="36103EEF" w14:textId="4341AE54" w:rsidR="00CD02E5" w:rsidRDefault="00104281">
      <w:r>
        <w:t xml:space="preserve">Each group </w:t>
      </w:r>
      <w:r w:rsidR="00171F9A">
        <w:t>i</w:t>
      </w:r>
      <w:r>
        <w:t xml:space="preserve">s presented with a </w:t>
      </w:r>
      <w:r w:rsidR="00940433">
        <w:t xml:space="preserve">unique </w:t>
      </w:r>
      <w:r>
        <w:t xml:space="preserve">nutrient – country combination available in the MAPS tool. </w:t>
      </w:r>
      <w:r w:rsidR="00940433">
        <w:t>This</w:t>
      </w:r>
      <w:r w:rsidR="000C5B3C">
        <w:t xml:space="preserve"> information</w:t>
      </w:r>
      <w:r w:rsidR="00940433">
        <w:t xml:space="preserve"> was shared with students before the first in-person</w:t>
      </w:r>
      <w:r w:rsidR="000C5B3C">
        <w:t xml:space="preserve"> practical</w:t>
      </w:r>
      <w:r w:rsidR="00940433">
        <w:t xml:space="preserve"> session. </w:t>
      </w:r>
    </w:p>
    <w:p w14:paraId="31E43809" w14:textId="25C786E0" w:rsidR="00104281" w:rsidRDefault="00104281" w:rsidP="000C5B3C">
      <w:pPr>
        <w:pStyle w:val="ListParagraph"/>
        <w:numPr>
          <w:ilvl w:val="0"/>
          <w:numId w:val="3"/>
        </w:numPr>
      </w:pPr>
      <w:r>
        <w:t xml:space="preserve">We use </w:t>
      </w:r>
      <w:r w:rsidR="00940433">
        <w:t>only countries</w:t>
      </w:r>
      <w:r>
        <w:t xml:space="preserve"> with national-scale data</w:t>
      </w:r>
      <w:r w:rsidR="002F095F">
        <w:t xml:space="preserve">. </w:t>
      </w:r>
      <w:proofErr w:type="gramStart"/>
      <w:r w:rsidR="002F095F">
        <w:t>This</w:t>
      </w:r>
      <w:r w:rsidR="00940433">
        <w:t xml:space="preserve"> balances</w:t>
      </w:r>
      <w:proofErr w:type="gramEnd"/>
      <w:r w:rsidR="00940433">
        <w:t xml:space="preserve"> having sufficient information for the learning objectives, whilst</w:t>
      </w:r>
      <w:r>
        <w:t xml:space="preserve"> keep</w:t>
      </w:r>
      <w:r w:rsidR="00940433">
        <w:t>ing</w:t>
      </w:r>
      <w:r>
        <w:t xml:space="preserve"> the</w:t>
      </w:r>
      <w:r w:rsidR="00940433">
        <w:t xml:space="preserve"> volume</w:t>
      </w:r>
      <w:r>
        <w:t xml:space="preserve"> </w:t>
      </w:r>
      <w:r w:rsidR="000C5B3C">
        <w:t>of data</w:t>
      </w:r>
      <w:r>
        <w:t xml:space="preserve"> manageable for th</w:t>
      </w:r>
      <w:r w:rsidR="002F095F">
        <w:t>e</w:t>
      </w:r>
      <w:r>
        <w:t xml:space="preserve"> </w:t>
      </w:r>
      <w:r w:rsidR="00940433">
        <w:t>course requirements</w:t>
      </w:r>
      <w:r>
        <w:t xml:space="preserve">. </w:t>
      </w:r>
    </w:p>
    <w:p w14:paraId="4A94CC17" w14:textId="52A3B0A8" w:rsidR="00CD02E5" w:rsidRDefault="00940433" w:rsidP="000C5B3C">
      <w:pPr>
        <w:pStyle w:val="ListParagraph"/>
        <w:numPr>
          <w:ilvl w:val="0"/>
          <w:numId w:val="3"/>
        </w:numPr>
      </w:pPr>
      <w:r>
        <w:t>W</w:t>
      </w:r>
      <w:r w:rsidR="00CD02E5">
        <w:t>e prioritise nutrients with</w:t>
      </w:r>
      <w:r w:rsidR="00171F9A">
        <w:t xml:space="preserve"> both</w:t>
      </w:r>
      <w:r w:rsidR="00CD02E5">
        <w:t xml:space="preserve"> large-scale food fortification and biofortification strategies that are reasonably well documented, as well as a dietary change option</w:t>
      </w:r>
      <w:r>
        <w:t xml:space="preserve">, </w:t>
      </w:r>
      <w:proofErr w:type="gramStart"/>
      <w:r>
        <w:t>in order to</w:t>
      </w:r>
      <w:proofErr w:type="gramEnd"/>
      <w:r>
        <w:t xml:space="preserve"> provide an equal academic opportunity to all the groups</w:t>
      </w:r>
      <w:r w:rsidR="00CD02E5">
        <w:t xml:space="preserve">. </w:t>
      </w:r>
    </w:p>
    <w:p w14:paraId="5D7B2F24" w14:textId="27C2004C" w:rsidR="00104281" w:rsidRDefault="00CD02E5">
      <w:r>
        <w:lastRenderedPageBreak/>
        <w:t>In undertaking this group exercise, s</w:t>
      </w:r>
      <w:r w:rsidR="00104281">
        <w:t>tudents were encouraged to draw upon their own degree experience</w:t>
      </w:r>
      <w:r w:rsidR="00171F9A">
        <w:t xml:space="preserve"> complementary to their team colleagues. This was in addition to the commonly taken </w:t>
      </w:r>
      <w:r w:rsidR="00104281">
        <w:t xml:space="preserve">taught (lecture) </w:t>
      </w:r>
      <w:r w:rsidR="002F095F">
        <w:t>c</w:t>
      </w:r>
      <w:r w:rsidR="00104281">
        <w:t xml:space="preserve">omponent </w:t>
      </w:r>
      <w:r w:rsidR="002F095F">
        <w:t xml:space="preserve">of this course </w:t>
      </w:r>
      <w:r w:rsidR="00104281">
        <w:t xml:space="preserve">in </w:t>
      </w:r>
      <w:r w:rsidR="002F095F">
        <w:t>“</w:t>
      </w:r>
      <w:r w:rsidR="00104281">
        <w:t>sustainable agriculture, food and nutrition</w:t>
      </w:r>
      <w:r w:rsidR="002F095F">
        <w:t>”. The assessment took place in the regular university exam period after all taught components of the course were complete</w:t>
      </w:r>
      <w:r w:rsidR="00104281">
        <w:t xml:space="preserve">. </w:t>
      </w:r>
    </w:p>
    <w:p w14:paraId="44BBF4D8" w14:textId="05DDE532" w:rsidR="00E87738" w:rsidRDefault="002F095F" w:rsidP="00104281">
      <w:pPr>
        <w:pStyle w:val="Heading3"/>
      </w:pPr>
      <w:r>
        <w:t>Classroom teaching of</w:t>
      </w:r>
      <w:r w:rsidR="00104281">
        <w:t xml:space="preserve"> the MAPS tool</w:t>
      </w:r>
    </w:p>
    <w:p w14:paraId="41A4F10B" w14:textId="18089A69" w:rsidR="002F095F" w:rsidRDefault="00171F9A">
      <w:r>
        <w:t>A computer lab was used to train the approximately 90 students in each cohort</w:t>
      </w:r>
      <w:r w:rsidR="000C5B3C">
        <w:t>, either concurrently or asynchronously depending on room availability</w:t>
      </w:r>
      <w:r w:rsidR="002F095F">
        <w:t xml:space="preserve">. The MAPS tool was designed to work efficiently on low-bandwidth systems, with the </w:t>
      </w:r>
      <w:proofErr w:type="gramStart"/>
      <w:r w:rsidR="002F095F">
        <w:t>added bonus</w:t>
      </w:r>
      <w:proofErr w:type="gramEnd"/>
      <w:r w:rsidR="002F095F">
        <w:t xml:space="preserve"> that performance was not compromised during the first hands-on session when</w:t>
      </w:r>
      <w:r w:rsidR="000C5B3C">
        <w:t xml:space="preserve"> all 90</w:t>
      </w:r>
      <w:r w:rsidR="002F095F">
        <w:t xml:space="preserve"> students individually connected</w:t>
      </w:r>
      <w:r>
        <w:t>.</w:t>
      </w:r>
    </w:p>
    <w:p w14:paraId="7543FD00" w14:textId="391F1E58" w:rsidR="00104281" w:rsidRDefault="002F095F">
      <w:r>
        <w:t>The MAPS practical teaching was structured in two-hour blocks of contact time, as follows:</w:t>
      </w:r>
    </w:p>
    <w:p w14:paraId="5FD7E5EB" w14:textId="3055A641" w:rsidR="00893B53" w:rsidRDefault="00893B53" w:rsidP="00893B53">
      <w:r>
        <w:t xml:space="preserve">Session 1: </w:t>
      </w:r>
      <w:r w:rsidR="00171F9A">
        <w:t>Background to the MAPS tool (</w:t>
      </w:r>
      <w:r w:rsidR="002F095F">
        <w:t>lecture</w:t>
      </w:r>
      <w:r w:rsidR="00171F9A">
        <w:t>)</w:t>
      </w:r>
      <w:r w:rsidR="002F095F">
        <w:t xml:space="preserve">, with additional practical examples of biofortification and </w:t>
      </w:r>
      <w:proofErr w:type="gramStart"/>
      <w:r w:rsidR="002F095F">
        <w:t>large scale</w:t>
      </w:r>
      <w:proofErr w:type="gramEnd"/>
      <w:r w:rsidR="002F095F">
        <w:t xml:space="preserve"> fortification. F</w:t>
      </w:r>
      <w:r w:rsidR="00171F9A">
        <w:t>ollow-along use of the MAPS tool (participatory)</w:t>
      </w:r>
      <w:r w:rsidR="002F095F">
        <w:t xml:space="preserve">, walking through examples in </w:t>
      </w:r>
      <w:proofErr w:type="spellStart"/>
      <w:r w:rsidR="002F095F">
        <w:t>QuickMAPS</w:t>
      </w:r>
      <w:proofErr w:type="spellEnd"/>
      <w:r w:rsidR="002F095F">
        <w:t xml:space="preserve"> and how to navigate and change selected country-nutrient options</w:t>
      </w:r>
      <w:r w:rsidR="00171F9A">
        <w:t>.</w:t>
      </w:r>
      <w:r>
        <w:t xml:space="preserve">  </w:t>
      </w:r>
    </w:p>
    <w:p w14:paraId="522017CF" w14:textId="73955220" w:rsidR="00893B53" w:rsidRDefault="00893B53" w:rsidP="00893B53">
      <w:r>
        <w:t>Session 2: Reinforcement participatory training using the MAPS tool “</w:t>
      </w:r>
      <w:proofErr w:type="spellStart"/>
      <w:r>
        <w:t>QuickMAPS</w:t>
      </w:r>
      <w:proofErr w:type="spellEnd"/>
      <w:r>
        <w:t>” baseline and projection data</w:t>
      </w:r>
      <w:r w:rsidR="002F095F">
        <w:t>. This was student led, with g</w:t>
      </w:r>
      <w:r w:rsidR="002F095F">
        <w:t>roups work</w:t>
      </w:r>
      <w:r w:rsidR="002F095F">
        <w:t>ing</w:t>
      </w:r>
      <w:r w:rsidR="002F095F">
        <w:t xml:space="preserve"> in their assignment teams</w:t>
      </w:r>
      <w:r w:rsidR="002F095F">
        <w:t>. The examples which they tackled were different</w:t>
      </w:r>
      <w:r>
        <w:t xml:space="preserve"> to any of the country-nutrient combinations preset as an assessment. </w:t>
      </w:r>
      <w:r w:rsidR="002F095F">
        <w:t>This provided o</w:t>
      </w:r>
      <w:r>
        <w:t xml:space="preserve">pportunities </w:t>
      </w:r>
      <w:proofErr w:type="gramStart"/>
      <w:r>
        <w:t>to</w:t>
      </w:r>
      <w:r w:rsidR="002F095F">
        <w:t>:</w:t>
      </w:r>
      <w:proofErr w:type="gramEnd"/>
      <w:r>
        <w:t xml:space="preserve"> </w:t>
      </w:r>
      <w:r w:rsidR="002F095F">
        <w:t xml:space="preserve">work as a team; </w:t>
      </w:r>
      <w:r>
        <w:t>contribute to answering the classroom questions; asking academic staff for any clarifications</w:t>
      </w:r>
      <w:r w:rsidR="002F095F">
        <w:t xml:space="preserve">; and, developing their food systems thinking for the countries they were looking at. </w:t>
      </w:r>
    </w:p>
    <w:p w14:paraId="03E7B96C" w14:textId="6BC11FA6" w:rsidR="007706DB" w:rsidRDefault="00893B53" w:rsidP="00893B53">
      <w:r>
        <w:t xml:space="preserve">Session 3: Learning how to use other online tools to support interpretation and realistic interventions to avert micronutrient deficiencies. </w:t>
      </w:r>
      <w:r w:rsidR="00171F9A">
        <w:t xml:space="preserve"> </w:t>
      </w:r>
      <w:r>
        <w:t xml:space="preserve">Starting with examples in MAPS and then drawing information from supporting information. </w:t>
      </w:r>
      <w:r w:rsidR="007706DB">
        <w:t>For instance:</w:t>
      </w:r>
    </w:p>
    <w:p w14:paraId="22610D41" w14:textId="38702D01" w:rsidR="007706DB" w:rsidRPr="006D4034" w:rsidRDefault="007706DB" w:rsidP="006D4034">
      <w:r w:rsidRPr="006D4034">
        <w:t xml:space="preserve">Navigate to explore data for &lt;country&gt; and &lt;nutrient&gt; in MAPS in </w:t>
      </w:r>
      <w:proofErr w:type="spellStart"/>
      <w:r w:rsidRPr="006D4034">
        <w:t>QuickMAPS</w:t>
      </w:r>
      <w:proofErr w:type="spellEnd"/>
      <w:r w:rsidRPr="006D4034">
        <w:t xml:space="preserve"> Baseline pages:</w:t>
      </w:r>
    </w:p>
    <w:p w14:paraId="5C3F3243" w14:textId="68001590" w:rsidR="007706DB" w:rsidRPr="006D4034" w:rsidRDefault="007706DB" w:rsidP="006D4034">
      <w:r w:rsidRPr="006D4034">
        <w:t>Is there deficiency at the national level?</w:t>
      </w:r>
    </w:p>
    <w:p w14:paraId="0F06297E" w14:textId="7773702F" w:rsidR="007706DB" w:rsidRPr="006D4034" w:rsidRDefault="007706DB" w:rsidP="006D4034">
      <w:r w:rsidRPr="006D4034">
        <w:t xml:space="preserve">What differences might be experienced by populations within the country that are masked by the national-scale data? </w:t>
      </w:r>
    </w:p>
    <w:p w14:paraId="2C291A08" w14:textId="05596FD6" w:rsidR="007706DB" w:rsidRPr="006D4034" w:rsidRDefault="007706DB" w:rsidP="006D4034">
      <w:r w:rsidRPr="006D4034">
        <w:t>What might be the cause(s) of these differences?</w:t>
      </w:r>
    </w:p>
    <w:p w14:paraId="667B4242" w14:textId="5FC54A6E" w:rsidR="007706DB" w:rsidRPr="006D4034" w:rsidRDefault="007706DB" w:rsidP="006D4034">
      <w:r w:rsidRPr="006D4034">
        <w:t xml:space="preserve">Which foods are the primary source of this nutrient in this country? </w:t>
      </w:r>
    </w:p>
    <w:p w14:paraId="25BF218A" w14:textId="118DE41B" w:rsidR="007706DB" w:rsidRPr="006D4034" w:rsidRDefault="007706DB" w:rsidP="006D4034">
      <w:r w:rsidRPr="006D4034">
        <w:t>Are these foods all nutrient-dense for that nutrient (a “good source” of the nutrient), or is it because they are eaten in large quantities?</w:t>
      </w:r>
    </w:p>
    <w:p w14:paraId="792332AD" w14:textId="17F7A3DF" w:rsidR="007706DB" w:rsidRPr="006D4034" w:rsidRDefault="00585CA4" w:rsidP="006D4034">
      <w:r w:rsidRPr="006D4034">
        <w:t xml:space="preserve">Navigate to </w:t>
      </w:r>
      <w:proofErr w:type="spellStart"/>
      <w:r w:rsidRPr="006D4034">
        <w:t>QuickMAPS</w:t>
      </w:r>
      <w:proofErr w:type="spellEnd"/>
      <w:r w:rsidRPr="006D4034">
        <w:t xml:space="preserve"> projections for the same country and nutrient:</w:t>
      </w:r>
    </w:p>
    <w:p w14:paraId="067403C3" w14:textId="77777777" w:rsidR="00585CA4" w:rsidRPr="006D4034" w:rsidRDefault="00585CA4" w:rsidP="006D4034">
      <w:r w:rsidRPr="006D4034">
        <w:t>Locate the main graph and discover the text explaining Shared Socioeconomic Pathways (SSP).</w:t>
      </w:r>
    </w:p>
    <w:p w14:paraId="17875227" w14:textId="49A71A91" w:rsidR="00585CA4" w:rsidRPr="006D4034" w:rsidRDefault="00585CA4" w:rsidP="006D4034">
      <w:r w:rsidRPr="006D4034">
        <w:t xml:space="preserve">What is the expected trajectory for this </w:t>
      </w:r>
      <w:r w:rsidR="000C5B3C" w:rsidRPr="006D4034">
        <w:t>country-</w:t>
      </w:r>
      <w:r w:rsidRPr="006D4034">
        <w:t>nutrient through time?</w:t>
      </w:r>
    </w:p>
    <w:p w14:paraId="0555E628" w14:textId="2AB30039" w:rsidR="00585CA4" w:rsidRPr="006D4034" w:rsidRDefault="00585CA4" w:rsidP="006D4034">
      <w:r w:rsidRPr="006D4034">
        <w:t>Does this vary by SSP?</w:t>
      </w:r>
      <w:r w:rsidR="000C5B3C" w:rsidRPr="006D4034">
        <w:t xml:space="preserve"> </w:t>
      </w:r>
    </w:p>
    <w:p w14:paraId="7EBC4E09" w14:textId="44D69B1F" w:rsidR="00585CA4" w:rsidRPr="006D4034" w:rsidRDefault="00585CA4" w:rsidP="006D4034">
      <w:r w:rsidRPr="006D4034">
        <w:t>Will the nutrient deficiency vastly improve, or resolve, through time with no additional interventions?</w:t>
      </w:r>
      <w:r w:rsidR="000C5B3C" w:rsidRPr="006D4034">
        <w:t xml:space="preserve"> Will there be any differences likely to be experienced within the country population (as in ‘Baseline’ discussion point)</w:t>
      </w:r>
    </w:p>
    <w:p w14:paraId="3EDD500D" w14:textId="6F2DED61" w:rsidR="00585CA4" w:rsidRPr="006D4034" w:rsidRDefault="00585CA4" w:rsidP="006D4034">
      <w:r w:rsidRPr="006D4034">
        <w:t>Discuss what interventions may be appropriate in this food system and why using an example from large-scale food fortification and one from biofortification.</w:t>
      </w:r>
    </w:p>
    <w:p w14:paraId="4987EB39" w14:textId="62E91EA4" w:rsidR="00E87738" w:rsidRDefault="00E87738" w:rsidP="00E87738">
      <w:pPr>
        <w:pStyle w:val="Heading2"/>
      </w:pPr>
      <w:r>
        <w:t>Using the MAPS tool in postgraduate teaching</w:t>
      </w:r>
    </w:p>
    <w:p w14:paraId="31226738" w14:textId="065B7EC8" w:rsidR="00E87738" w:rsidRDefault="00893B53">
      <w:r w:rsidRPr="00893B53">
        <w:t>This section is still under construction.</w:t>
      </w:r>
    </w:p>
    <w:p w14:paraId="26D05823" w14:textId="77777777" w:rsidR="00E87738" w:rsidRDefault="00E87738"/>
    <w:p w14:paraId="0E3FFDE6" w14:textId="77777777" w:rsidR="00E87738" w:rsidRDefault="00E87738"/>
    <w:p w14:paraId="6969C023" w14:textId="7B09A557" w:rsidR="00E87738" w:rsidRDefault="00E87738" w:rsidP="00E87738">
      <w:pPr>
        <w:pStyle w:val="Heading2"/>
      </w:pPr>
      <w:r>
        <w:t>Professional training using the MAPS tool</w:t>
      </w:r>
    </w:p>
    <w:p w14:paraId="35063F28" w14:textId="77777777" w:rsidR="00E87738" w:rsidRDefault="00E87738"/>
    <w:p w14:paraId="54AEFEDA" w14:textId="77777777" w:rsidR="00FD5D20" w:rsidRDefault="00FD5D20"/>
    <w:p w14:paraId="6E29BF77" w14:textId="7DF4D171" w:rsidR="00FD5D20" w:rsidRDefault="00FD5D20" w:rsidP="00893B53">
      <w:pPr>
        <w:pStyle w:val="Heading1"/>
      </w:pPr>
      <w:r>
        <w:t>R language training</w:t>
      </w:r>
    </w:p>
    <w:p w14:paraId="780F85B4" w14:textId="44AE48C5" w:rsidR="00FD5D20" w:rsidRDefault="00FD5D20" w:rsidP="00893B53">
      <w:pPr>
        <w:pStyle w:val="Heading2"/>
      </w:pPr>
      <w:r>
        <w:t>R language generic beginners training</w:t>
      </w:r>
    </w:p>
    <w:p w14:paraId="10D09287" w14:textId="03179E76" w:rsidR="00FD5D20" w:rsidRDefault="00893B53">
      <w:r w:rsidRPr="00893B53">
        <w:t>This section is still under construction.</w:t>
      </w:r>
    </w:p>
    <w:p w14:paraId="7A9B2E15" w14:textId="65675903" w:rsidR="00FD5D20" w:rsidRDefault="00FD5D20" w:rsidP="00893B53">
      <w:pPr>
        <w:pStyle w:val="Heading2"/>
      </w:pPr>
      <w:r>
        <w:t>R language for food composition data</w:t>
      </w:r>
    </w:p>
    <w:p w14:paraId="3A40D7F8" w14:textId="799C3701" w:rsidR="00FD5D20" w:rsidRDefault="00893B53">
      <w:r w:rsidRPr="00893B53">
        <w:t>This section is still under construction.</w:t>
      </w:r>
    </w:p>
    <w:p w14:paraId="6D912712" w14:textId="6AEF58A9" w:rsidR="00FD5D20" w:rsidRDefault="00FD5D20" w:rsidP="00893B53">
      <w:pPr>
        <w:pStyle w:val="Heading2"/>
      </w:pPr>
      <w:r>
        <w:lastRenderedPageBreak/>
        <w:t>R language for household consumption and expenditure survey data for nutrition</w:t>
      </w:r>
    </w:p>
    <w:p w14:paraId="3B345068" w14:textId="6A5FB886" w:rsidR="00893B53" w:rsidRPr="00893B53" w:rsidRDefault="00893B53" w:rsidP="00893B53">
      <w:r w:rsidRPr="00893B53">
        <w:t>This section is still under construction.</w:t>
      </w:r>
    </w:p>
    <w:sectPr w:rsidR="00893B53" w:rsidRPr="0089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30B36"/>
    <w:multiLevelType w:val="hybridMultilevel"/>
    <w:tmpl w:val="84C877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B1FDC"/>
    <w:multiLevelType w:val="hybridMultilevel"/>
    <w:tmpl w:val="F2A8C4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B7E6D"/>
    <w:multiLevelType w:val="hybridMultilevel"/>
    <w:tmpl w:val="2C0AD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21DEC"/>
    <w:multiLevelType w:val="hybridMultilevel"/>
    <w:tmpl w:val="38AC6C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07042"/>
    <w:multiLevelType w:val="hybridMultilevel"/>
    <w:tmpl w:val="18E097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731723">
    <w:abstractNumId w:val="2"/>
  </w:num>
  <w:num w:numId="2" w16cid:durableId="1102189438">
    <w:abstractNumId w:val="4"/>
  </w:num>
  <w:num w:numId="3" w16cid:durableId="910236450">
    <w:abstractNumId w:val="0"/>
  </w:num>
  <w:num w:numId="4" w16cid:durableId="1419642323">
    <w:abstractNumId w:val="1"/>
  </w:num>
  <w:num w:numId="5" w16cid:durableId="1397632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38"/>
    <w:rsid w:val="0003745B"/>
    <w:rsid w:val="000C5B3C"/>
    <w:rsid w:val="00104281"/>
    <w:rsid w:val="00171F9A"/>
    <w:rsid w:val="002F095F"/>
    <w:rsid w:val="003407E6"/>
    <w:rsid w:val="004569CC"/>
    <w:rsid w:val="00577FCE"/>
    <w:rsid w:val="00585CA4"/>
    <w:rsid w:val="006D4034"/>
    <w:rsid w:val="007706DB"/>
    <w:rsid w:val="00784079"/>
    <w:rsid w:val="00830CCF"/>
    <w:rsid w:val="00893B53"/>
    <w:rsid w:val="00940433"/>
    <w:rsid w:val="00A163EA"/>
    <w:rsid w:val="00A201D5"/>
    <w:rsid w:val="00CD02E5"/>
    <w:rsid w:val="00DE71D6"/>
    <w:rsid w:val="00E87738"/>
    <w:rsid w:val="00F4442C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5D24"/>
  <w15:chartTrackingRefBased/>
  <w15:docId w15:val="{62421D59-AF5B-4903-B800-EF2BFDB0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7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6551</TotalTime>
  <Pages>3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Ander (staff)</dc:creator>
  <cp:keywords/>
  <dc:description/>
  <cp:lastModifiedBy>Louise Ander (staff)</cp:lastModifiedBy>
  <cp:revision>1</cp:revision>
  <dcterms:created xsi:type="dcterms:W3CDTF">2024-11-20T13:11:00Z</dcterms:created>
  <dcterms:modified xsi:type="dcterms:W3CDTF">2024-11-28T10:58:00Z</dcterms:modified>
</cp:coreProperties>
</file>