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e4d569bb67b9258030a4fc1bbf9e01742563d85"/>
    <w:p>
      <w:pPr>
        <w:pStyle w:val="Heading1"/>
      </w:pPr>
      <w:r>
        <w:t xml:space="preserve">Teach conformal prediction with both guarantees</w:t>
      </w:r>
    </w:p>
    <w:p>
      <w:pPr>
        <w:pStyle w:val="FirstParagraph"/>
      </w:pPr>
      <w:r>
        <w:t xml:space="preserve">Conformal prediction has entered the classroom. It is presented</w:t>
      </w:r>
      <w:r>
        <w:t xml:space="preserve"> </w:t>
      </w:r>
      <w:r>
        <w:t xml:space="preserve">not as a technique for calibrating prediction sets, which it is, but as an</w:t>
      </w:r>
      <w:r>
        <w:t xml:space="preserve"> </w:t>
      </w:r>
      <w:r>
        <w:t xml:space="preserve">alternative to ordinary statistical prediction: a model-agnostic route to</w:t>
      </w:r>
      <w:r>
        <w:t xml:space="preserve"> </w:t>
      </w:r>
      <w:r>
        <w:t xml:space="preserve">uncertainty, more rigorous than the model-based methods around it. That presentation</w:t>
      </w:r>
      <w:r>
        <w:t xml:space="preserve"> </w:t>
      </w:r>
      <w:r>
        <w:t xml:space="preserve">does more harm than good in a very specific manner: it teaches students to stop</w:t>
      </w:r>
      <w:r>
        <w:t xml:space="preserve"> </w:t>
      </w:r>
      <w:r>
        <w:t xml:space="preserve">modeling too early. And its claim to rigor, depending on the application, is at best one-sided and at worst</w:t>
      </w:r>
      <w:r>
        <w:t xml:space="preserve"> </w:t>
      </w:r>
      <w:r>
        <w:t xml:space="preserve">undercut directly by a classical information identity.</w:t>
      </w:r>
    </w:p>
    <w:bookmarkStart w:id="9" w:name="rigor-cuts-both-ways"/>
    <w:p>
      <w:pPr>
        <w:pStyle w:val="Heading2"/>
      </w:pPr>
      <w:r>
        <w:t xml:space="preserve">Rigor cuts both ways</w:t>
      </w:r>
    </w:p>
    <w:p>
      <w:pPr>
        <w:pStyle w:val="FirstParagraph"/>
      </w:pPr>
      <w:r>
        <w:t xml:space="preserve">The rhetoric starts qualified and loses its qualifications as it travels. A canonical</w:t>
      </w:r>
      <w:r>
        <w:t xml:space="preserve"> </w:t>
      </w:r>
      <w:r>
        <w:t xml:space="preserve">tutorial promises</w:t>
      </w:r>
      <w:r>
        <w:t xml:space="preserve"> </w:t>
      </w:r>
      <w:r>
        <w:t xml:space="preserve">“statistically rigorous uncertainty sets”</w:t>
      </w:r>
      <w:r>
        <w:t xml:space="preserve"> </w:t>
      </w:r>
      <w:r>
        <w:t xml:space="preserve">that are</w:t>
      </w:r>
      <w:r>
        <w:t xml:space="preserve"> </w:t>
      </w:r>
      <w:r>
        <w:t xml:space="preserve">“guaranteed to</w:t>
      </w:r>
      <w:r>
        <w:t xml:space="preserve"> </w:t>
      </w:r>
      <w:r>
        <w:t xml:space="preserve">contain the ground truth with a user-specified probability.”</w:t>
      </w:r>
      <w:r>
        <w:t xml:space="preserve"> </w:t>
      </w:r>
      <w:r>
        <w:t xml:space="preserve">A Nature-family paper</w:t>
      </w:r>
      <w:r>
        <w:t xml:space="preserve"> </w:t>
      </w:r>
      <w:r>
        <w:t xml:space="preserve">calls conformal prediction</w:t>
      </w:r>
      <w:r>
        <w:t xml:space="preserve"> </w:t>
      </w:r>
      <w:r>
        <w:t xml:space="preserve">“essentially the only way to achieve valid prediction</w:t>
      </w:r>
      <w:r>
        <w:t xml:space="preserve"> </w:t>
      </w:r>
      <w:r>
        <w:t xml:space="preserve">regions.”</w:t>
      </w:r>
      <w:r>
        <w:t xml:space="preserve"> </w:t>
      </w:r>
      <w:r>
        <w:t xml:space="preserve">One rung down, the most popular community resource list advertises</w:t>
      </w:r>
      <w:r>
        <w:t xml:space="preserve"> </w:t>
      </w:r>
      <w:r>
        <w:t xml:space="preserve">guarantees</w:t>
      </w:r>
      <w:r>
        <w:t xml:space="preserve"> </w:t>
      </w:r>
      <w:r>
        <w:t xml:space="preserve">“regardless of the model or the data distribution,”</w:t>
      </w:r>
      <w:r>
        <w:t xml:space="preserve"> </w:t>
      </w:r>
      <w:r>
        <w:t xml:space="preserve">and one vendor’s</w:t>
      </w:r>
      <w:r>
        <w:t xml:space="preserve"> </w:t>
      </w:r>
      <w:r>
        <w:t xml:space="preserve">documentation ranks forecasting methods in a table on which conformal prediction</w:t>
      </w:r>
      <w:r>
        <w:t xml:space="preserve"> </w:t>
      </w:r>
      <w:r>
        <w:t xml:space="preserve">alone earns a full mark for</w:t>
      </w:r>
      <w:r>
        <w:t xml:space="preserve"> </w:t>
      </w:r>
      <w:r>
        <w:t xml:space="preserve">“calibration guarantee.”</w:t>
      </w:r>
    </w:p>
    <w:p>
      <w:pPr>
        <w:pStyle w:val="BodyText"/>
      </w:pPr>
      <w:r>
        <w:t xml:space="preserve">The careful sources are careful. The 2018 paper that anchors modern split conformal</w:t>
      </w:r>
      <w:r>
        <w:t xml:space="preserve"> </w:t>
      </w:r>
      <w:r>
        <w:t xml:space="preserve">prediction puts</w:t>
      </w:r>
      <w:r>
        <w:t xml:space="preserve"> </w:t>
      </w:r>
      <w:r>
        <w:t xml:space="preserve">“marginal”</w:t>
      </w:r>
      <w:r>
        <w:t xml:space="preserve"> </w:t>
      </w:r>
      <w:r>
        <w:t xml:space="preserve">in its abstract. The canonical tutorial’s own body warns</w:t>
      </w:r>
      <w:r>
        <w:t xml:space="preserve"> </w:t>
      </w:r>
      <w:r>
        <w:t xml:space="preserve">that a poor score gives useless sets under perfectly valid coverage, and calls</w:t>
      </w:r>
      <w:r>
        <w:t xml:space="preserve"> </w:t>
      </w:r>
      <w:r>
        <w:t xml:space="preserve">adaptivity</w:t>
      </w:r>
      <w:r>
        <w:t xml:space="preserve"> </w:t>
      </w:r>
      <w:r>
        <w:t xml:space="preserve">“non-negotiable.”</w:t>
      </w:r>
      <w:r>
        <w:t xml:space="preserve"> </w:t>
      </w:r>
      <w:r>
        <w:t xml:space="preserve">Course notes spell out what the coverage probability</w:t>
      </w:r>
      <w:r>
        <w:t xml:space="preserve"> </w:t>
      </w:r>
      <w:r>
        <w:t xml:space="preserve">averages over, and exhibit a trivial predictor that achieves exact coverage while</w:t>
      </w:r>
      <w:r>
        <w:t xml:space="preserve"> </w:t>
      </w:r>
      <w:r>
        <w:t xml:space="preserve">conveying nothing at all.</w:t>
      </w:r>
    </w:p>
    <w:p>
      <w:pPr>
        <w:pStyle w:val="BodyText"/>
      </w:pPr>
      <w:r>
        <w:t xml:space="preserve">That is the point. Words like</w:t>
      </w:r>
      <w:r>
        <w:t xml:space="preserve"> </w:t>
      </w:r>
      <w:r>
        <w:t xml:space="preserve">“valid”</w:t>
      </w:r>
      <w:r>
        <w:t xml:space="preserve">,</w:t>
      </w:r>
      <w:r>
        <w:t xml:space="preserve"> </w:t>
      </w:r>
      <w:r>
        <w:t xml:space="preserve">“rigorous”</w:t>
      </w:r>
      <w:r>
        <w:t xml:space="preserve">,</w:t>
      </w:r>
      <w:r>
        <w:t xml:space="preserve"> </w:t>
      </w:r>
      <w:r>
        <w:t xml:space="preserve">“guarantee”</w:t>
      </w:r>
      <w:r>
        <w:t xml:space="preserve"> </w:t>
      </w:r>
      <w:r>
        <w:t xml:space="preserve">are the headline and</w:t>
      </w:r>
      <w:r>
        <w:t xml:space="preserve"> </w:t>
      </w:r>
      <w:r>
        <w:t xml:space="preserve">the qualifications get buried. The layer most students read quotes only the abstracts. The contrast that</w:t>
      </w:r>
      <w:r>
        <w:t xml:space="preserve"> </w:t>
      </w:r>
      <w:r>
        <w:t xml:space="preserve">survives the descent is always the same: model-based uncertainty is wishful,</w:t>
      </w:r>
      <w:r>
        <w:t xml:space="preserve"> </w:t>
      </w:r>
      <w:r>
        <w:t xml:space="preserve">conformal uncertainty is proven.</w:t>
      </w:r>
    </w:p>
    <w:p>
      <w:pPr>
        <w:pStyle w:val="BodyText"/>
      </w:pPr>
      <w:r>
        <w:t xml:space="preserve">Yet the rebuke is just as rigorous as the coverage guarantee, and I have not found it stated in the conformal literature. Under the logarithmic score, the expected penalty for forecasting a residual with its unconditional law rather than its conditional law is exactly the mutual information between the residual and the input.</w:t>
      </w:r>
    </w:p>
    <w:p>
      <w:pPr>
        <w:pStyle w:val="BodyText"/>
      </w:pPr>
      <w:r>
        <w:t xml:space="preserve">This second, more unfortunate guarantee has a financial interpretation. It is the mean growth rate of the bankroll of an oracle who bets at the prices offered by someone using split conformal prediction. As unwelcome as that might sound, this side of the Faustian bargain should be presented alongside the average coverage guarantee.</w:t>
      </w:r>
    </w:p>
    <w:bookmarkEnd w:id="9"/>
    <w:bookmarkStart w:id="10" w:name="X8d4b91a4abeb8adb9efb9edd5c83d0a2730c59c"/>
    <w:p>
      <w:pPr>
        <w:pStyle w:val="Heading2"/>
      </w:pPr>
      <w:r>
        <w:t xml:space="preserve">Students stop modeling too early, as do practitioners</w:t>
      </w:r>
    </w:p>
    <w:p>
      <w:pPr>
        <w:pStyle w:val="FirstParagraph"/>
      </w:pPr>
      <w:r>
        <w:t xml:space="preserve">The pedagogical danger: encouraging early stopping in the modeling pipeline. This is not a risk for</w:t>
      </w:r>
      <w:r>
        <w:t xml:space="preserve"> </w:t>
      </w:r>
      <w:r>
        <w:t xml:space="preserve">students or newcomers alone, but in fact for the profession as a whole, which should know better.</w:t>
      </w:r>
      <w:r>
        <w:t xml:space="preserve"> </w:t>
      </w:r>
      <w:r>
        <w:t xml:space="preserve">Conformal prediction is presented as a package deal: several steps tied together that are sometimes</w:t>
      </w:r>
      <w:r>
        <w:t xml:space="preserve"> </w:t>
      </w:r>
      <w:r>
        <w:t xml:space="preserve">considered, in aggregate, to constitute an important new paradigm (or brand, dare I say).</w:t>
      </w:r>
    </w:p>
    <w:p>
      <w:pPr>
        <w:pStyle w:val="BodyText"/>
      </w:pPr>
      <w:r>
        <w:t xml:space="preserve">This is manifestly nonsense. The empirical distribution is not a modeling panacea. The far more useful</w:t>
      </w:r>
      <w:r>
        <w:t xml:space="preserve"> </w:t>
      </w:r>
      <w:r>
        <w:t xml:space="preserve">representation of the key idea, which is of course not new at all, is simply as a univariate transform motivated</w:t>
      </w:r>
      <w:r>
        <w:t xml:space="preserve"> </w:t>
      </w:r>
      <w:r>
        <w:t xml:space="preserve">by the empirical distribution, one that can, and this is the key point, be</w:t>
      </w:r>
      <w:r>
        <w:t xml:space="preserve"> </w:t>
      </w:r>
      <w:r>
        <w:t xml:space="preserve">useful in the beginning, middle or end of a chain of transformations of the data.</w:t>
      </w:r>
    </w:p>
    <w:p>
      <w:pPr>
        <w:pStyle w:val="BodyText"/>
      </w:pPr>
      <w:r>
        <w:t xml:space="preserve">Instead, split conformal prediction is taught as a bundle: fit a model, take a scalar</w:t>
      </w:r>
      <w:r>
        <w:t xml:space="preserve"> </w:t>
      </w:r>
      <w:r>
        <w:t xml:space="preserve">residual, rank the new residual against the calibration residuals, invert the</w:t>
      </w:r>
      <w:r>
        <w:t xml:space="preserve"> </w:t>
      </w:r>
      <w:r>
        <w:t xml:space="preserve">threshold to a set. The distinctive operation is the ranking in the middle, nothing more,</w:t>
      </w:r>
      <w:r>
        <w:t xml:space="preserve"> </w:t>
      </w:r>
      <w:r>
        <w:t xml:space="preserve">with handling for ties and discreteness. Some tidy univariate book-keeping for sure, but little beyond.</w:t>
      </w:r>
    </w:p>
    <w:p>
      <w:pPr>
        <w:pStyle w:val="BodyText"/>
      </w:pPr>
      <w:r>
        <w:t xml:space="preserve">That</w:t>
      </w:r>
      <w:r>
        <w:t xml:space="preserve"> </w:t>
      </w:r>
      <w:r>
        <w:t xml:space="preserve">“little”</w:t>
      </w:r>
      <w:r>
        <w:t xml:space="preserve"> </w:t>
      </w:r>
      <w:r>
        <w:t xml:space="preserve">is valid, of course. The change of</w:t>
      </w:r>
      <w:r>
        <w:t xml:space="preserve"> </w:t>
      </w:r>
      <w:r>
        <w:t xml:space="preserve">coordinates can attach a finite-sample marginal certificate at one point in a</w:t>
      </w:r>
      <w:r>
        <w:t xml:space="preserve"> </w:t>
      </w:r>
      <w:r>
        <w:t xml:space="preserve">chain. But nothing in the mathematics makes that point the end of the process, and to the contrary,</w:t>
      </w:r>
      <w:r>
        <w:t xml:space="preserve"> </w:t>
      </w:r>
      <w:r>
        <w:t xml:space="preserve">an emphasis on coverage accounting on average can paper over poor modeling (the more common critique, which</w:t>
      </w:r>
      <w:r>
        <w:t xml:space="preserve"> </w:t>
      </w:r>
      <w:r>
        <w:t xml:space="preserve">I won’t belabor).</w:t>
      </w:r>
    </w:p>
    <w:p>
      <w:pPr>
        <w:pStyle w:val="BodyText"/>
      </w:pPr>
      <w:r>
        <w:t xml:space="preserve">The conformal convention makes this univariate change of variable the end anyway, and the convention is almost</w:t>
      </w:r>
      <w:r>
        <w:t xml:space="preserve"> </w:t>
      </w:r>
      <w:r>
        <w:t xml:space="preserve">unanimously followed. To test the impression rather than trust it, I drew a seed-fixed random sample of one hundred</w:t>
      </w:r>
      <w:r>
        <w:t xml:space="preserve"> </w:t>
      </w:r>
      <w:r>
        <w:t xml:space="preserve">papers from an archive of nearly a thousand conformal prediction papers. Ninety-three treat the conformal step as</w:t>
      </w:r>
      <w:r>
        <w:t xml:space="preserve"> </w:t>
      </w:r>
      <w:r>
        <w:t xml:space="preserve">terminal. Seven pass its output downstream as a filter or a feature.</w:t>
      </w:r>
    </w:p>
    <w:p>
      <w:pPr>
        <w:pStyle w:val="BodyText"/>
      </w:pPr>
      <w:r>
        <w:t xml:space="preserve">Not a single one of those one hundred papers estimates the transform, fits a further predictive law on the transformed scale, and carries that law back through the inverse as its forecast, the move that has been routine in</w:t>
      </w:r>
      <w:r>
        <w:t xml:space="preserve"> </w:t>
      </w:r>
      <w:r>
        <w:t xml:space="preserve">copula econometrics for decades.</w:t>
      </w:r>
    </w:p>
    <w:bookmarkEnd w:id="10"/>
    <w:bookmarkStart w:id="11" w:name="wiggling"/>
    <w:p>
      <w:pPr>
        <w:pStyle w:val="Heading2"/>
      </w:pPr>
      <w:r>
        <w:t xml:space="preserve">Wiggling</w:t>
      </w:r>
    </w:p>
    <w:p>
      <w:pPr>
        <w:pStyle w:val="FirstParagraph"/>
      </w:pPr>
      <w:r>
        <w:t xml:space="preserve">Two objections sharpen the case rather than blunt it. First, some conformal papers do</w:t>
      </w:r>
      <w:r>
        <w:t xml:space="preserve"> </w:t>
      </w:r>
      <w:r>
        <w:t xml:space="preserve">process the transformed scores: couplings knit them across targets,</w:t>
      </w:r>
      <w:r>
        <w:t xml:space="preserve"> </w:t>
      </w:r>
      <w:r>
        <w:t xml:space="preserve">“scorecasters”</w:t>
      </w:r>
      <w:r>
        <w:t xml:space="preserve"> </w:t>
      </w:r>
      <w:r>
        <w:t xml:space="preserve">forecast the score sequence, predictive systems emit whole distribution functions. But</w:t>
      </w:r>
      <w:r>
        <w:t xml:space="preserve"> </w:t>
      </w:r>
      <w:r>
        <w:t xml:space="preserve">each terminates in a recalibrated set or a quoted law, never continuing the way a</w:t>
      </w:r>
      <w:r>
        <w:t xml:space="preserve"> </w:t>
      </w:r>
      <w:r>
        <w:t xml:space="preserve">forecaster continues, by fitting structure and carrying the fitted law onward.</w:t>
      </w:r>
    </w:p>
    <w:p>
      <w:pPr>
        <w:pStyle w:val="BodyText"/>
      </w:pPr>
      <w:r>
        <w:t xml:space="preserve">Second, and this is the real tell, the field’s own efficiency literature is</w:t>
      </w:r>
      <w:r>
        <w:t xml:space="preserve"> </w:t>
      </w:r>
      <w:r>
        <w:t xml:space="preserve">conditional modeling flying a conformal flag. Conformalized quantile regression fits a</w:t>
      </w:r>
      <w:r>
        <w:t xml:space="preserve"> </w:t>
      </w:r>
      <w:r>
        <w:t xml:space="preserve">conditional quantile model, then calibrates it. Normalized scores fit a conditional</w:t>
      </w:r>
      <w:r>
        <w:t xml:space="preserve"> </w:t>
      </w:r>
      <w:r>
        <w:t xml:space="preserve">model of the residual scale, then divide by it. Mondrian methods condition on a</w:t>
      </w:r>
      <w:r>
        <w:t xml:space="preserve"> </w:t>
      </w:r>
      <w:r>
        <w:t xml:space="preserve">partition of the inputs. Each is exactly the conditional modeling the</w:t>
      </w:r>
      <w:r>
        <w:t xml:space="preserve"> </w:t>
      </w:r>
      <w:r>
        <w:t xml:space="preserve">“alternative to</w:t>
      </w:r>
      <w:r>
        <w:t xml:space="preserve"> </w:t>
      </w:r>
      <w:r>
        <w:t xml:space="preserve">statistics”</w:t>
      </w:r>
      <w:r>
        <w:t xml:space="preserve"> </w:t>
      </w:r>
      <w:r>
        <w:t xml:space="preserve">framing calls unnecessary, performed and then tucked back under the</w:t>
      </w:r>
      <w:r>
        <w:t xml:space="preserve"> </w:t>
      </w:r>
      <w:r>
        <w:t xml:space="preserve">certificate.</w:t>
      </w:r>
    </w:p>
    <w:p>
      <w:pPr>
        <w:pStyle w:val="BodyText"/>
      </w:pPr>
      <w:r>
        <w:t xml:space="preserve">The discipline cannot help doing statistics; it simply does one step of</w:t>
      </w:r>
      <w:r>
        <w:t xml:space="preserve"> </w:t>
      </w:r>
      <w:r>
        <w:t xml:space="preserve">it, re-certifies, and halts. That it keeps reinventing conditional modeling under a new</w:t>
      </w:r>
      <w:r>
        <w:t xml:space="preserve"> </w:t>
      </w:r>
      <w:r>
        <w:t xml:space="preserve">name, and keeps stopping one step in, is the strongest evidence that the packaging, not</w:t>
      </w:r>
      <w:r>
        <w:t xml:space="preserve"> </w:t>
      </w:r>
      <w:r>
        <w:t xml:space="preserve">the mathematics, is doing the teaching.</w:t>
      </w:r>
    </w:p>
    <w:bookmarkEnd w:id="11"/>
    <w:bookmarkStart w:id="12" w:name="the-empirical-finding"/>
    <w:p>
      <w:pPr>
        <w:pStyle w:val="Heading2"/>
      </w:pPr>
      <w:r>
        <w:t xml:space="preserve">The empirical finding</w:t>
      </w:r>
    </w:p>
    <w:p>
      <w:pPr>
        <w:pStyle w:val="FirstParagraph"/>
      </w:pPr>
      <w:r>
        <w:t xml:space="preserve">The early stopping has a measurable price when tested on economic time-series data. The relevant comparison is between two probabilistic forecasters built from the same transform, judged by a proper score. One quotes the unconditional law at</w:t>
      </w:r>
      <w:r>
        <w:t xml:space="preserve"> </w:t>
      </w:r>
      <w:r>
        <w:t xml:space="preserve">the transform’s output, the other fits the remaining structure on the transformed</w:t>
      </w:r>
      <w:r>
        <w:t xml:space="preserve"> </w:t>
      </w:r>
      <w:r>
        <w:t xml:space="preserve">scale and carries the fitted law forward.</w:t>
      </w:r>
    </w:p>
    <w:p>
      <w:pPr>
        <w:pStyle w:val="BodyText"/>
      </w:pPr>
      <w:r>
        <w:t xml:space="preserve">Across 701 economic series forecast one step ahead, continuing beats stopping on average. Repeated on synthetic streams built</w:t>
      </w:r>
      <w:r>
        <w:t xml:space="preserve"> </w:t>
      </w:r>
      <w:r>
        <w:t xml:space="preserve">to hold no signal, the sign flips, and continuing pays only the ordinary cost of</w:t>
      </w:r>
      <w:r>
        <w:t xml:space="preserve"> </w:t>
      </w:r>
      <w:r>
        <w:t xml:space="preserve">fitting structure that is not there. That negative control is what turns the economic</w:t>
      </w:r>
      <w:r>
        <w:t xml:space="preserve"> </w:t>
      </w:r>
      <w:r>
        <w:t xml:space="preserve">gain into a finding rather than a reward for extra flexibility.</w:t>
      </w:r>
    </w:p>
    <w:p>
      <w:pPr>
        <w:pStyle w:val="BodyText"/>
      </w:pPr>
      <w:r>
        <w:t xml:space="preserve">A second comparison is as telling: a chain that contains the transform beats the identical chain without it,</w:t>
      </w:r>
      <w:r>
        <w:t xml:space="preserve"> </w:t>
      </w:r>
      <w:r>
        <w:t xml:space="preserve">because the transform’s real service is coordinate reshaping, exposing structure in a</w:t>
      </w:r>
      <w:r>
        <w:t xml:space="preserve"> </w:t>
      </w:r>
      <w:r>
        <w:t xml:space="preserve">representation easier to model. The stop throws that service away, and the certificate</w:t>
      </w:r>
      <w:r>
        <w:t xml:space="preserve"> </w:t>
      </w:r>
      <w:r>
        <w:t xml:space="preserve">arrives either way. Stopping is not a neutral default. When structure remains it is a</w:t>
      </w:r>
      <w:r>
        <w:t xml:space="preserve"> </w:t>
      </w:r>
      <w:r>
        <w:t xml:space="preserve">forfeiture, and the decision to stop ought to be empirical instead.</w:t>
      </w:r>
    </w:p>
    <w:bookmarkEnd w:id="12"/>
    <w:bookmarkStart w:id="13" w:name="the-simple-pedagogical-solution"/>
    <w:p>
      <w:pPr>
        <w:pStyle w:val="Heading2"/>
      </w:pPr>
      <w:r>
        <w:t xml:space="preserve">The simple pedagogical solution</w:t>
      </w:r>
    </w:p>
    <w:p>
      <w:pPr>
        <w:pStyle w:val="FirstParagraph"/>
      </w:pPr>
      <w:r>
        <w:t xml:space="preserve">The confusion has one source: the certificate is indifferent to model quality by</w:t>
      </w:r>
      <w:r>
        <w:t xml:space="preserve"> </w:t>
      </w:r>
      <w:r>
        <w:t xml:space="preserve">design. Under exchangeability the ranks are marginally valid whether the base model</w:t>
      </w:r>
      <w:r>
        <w:t xml:space="preserve"> </w:t>
      </w:r>
      <w:r>
        <w:t xml:space="preserve">is excellent or nearly useless, whether the residuals were whitened or are visibly</w:t>
      </w:r>
      <w:r>
        <w:t xml:space="preserve"> </w:t>
      </w:r>
      <w:r>
        <w:t xml:space="preserve">dependent. That robustness is real, and it is dangerous to teach without its</w:t>
      </w:r>
      <w:r>
        <w:t xml:space="preserve"> </w:t>
      </w:r>
      <w:r>
        <w:t xml:space="preserve">complement, because in a classroom silence about efficiency reads as absolution: once</w:t>
      </w:r>
      <w:r>
        <w:t xml:space="preserve"> </w:t>
      </w:r>
      <w:r>
        <w:t xml:space="preserve">coverage is certified, students infer that the modeling is finished.</w:t>
      </w:r>
    </w:p>
    <w:p>
      <w:pPr>
        <w:pStyle w:val="BodyText"/>
      </w:pPr>
      <w:r>
        <w:t xml:space="preserve">The information gap supplies the missing lesson, and its value is constructive, not</w:t>
      </w:r>
      <w:r>
        <w:t xml:space="preserve"> </w:t>
      </w:r>
      <w:r>
        <w:t xml:space="preserve">merely critical. It tells a student what a better model is worth. If the base model</w:t>
      </w:r>
      <w:r>
        <w:t xml:space="preserve"> </w:t>
      </w:r>
      <w:r>
        <w:t xml:space="preserve">removes the conditional structure, the gap shrinks toward zero. If structure remains,</w:t>
      </w:r>
      <w:r>
        <w:t xml:space="preserve"> </w:t>
      </w:r>
      <w:r>
        <w:t xml:space="preserve">the value of continuing is exactly that gap, in the units the coverage theorem</w:t>
      </w:r>
      <w:r>
        <w:t xml:space="preserve"> </w:t>
      </w:r>
      <w:r>
        <w:t xml:space="preserve">declines to discuss. The two results are complementary. Conformal validity is the</w:t>
      </w:r>
      <w:r>
        <w:t xml:space="preserve"> </w:t>
      </w:r>
      <w:r>
        <w:t xml:space="preserve">calibration that survives a bad model; the information gap is the predictive value a</w:t>
      </w:r>
      <w:r>
        <w:t xml:space="preserve"> </w:t>
      </w:r>
      <w:r>
        <w:t xml:space="preserve">bad model leaves on the table.</w:t>
      </w:r>
    </w:p>
    <w:p>
      <w:pPr>
        <w:pStyle w:val="BodyText"/>
      </w:pPr>
      <w:r>
        <w:t xml:space="preserve">Neither refutes the other, and only one is taught.</w:t>
      </w:r>
    </w:p>
    <w:bookmarkEnd w:id="13"/>
    <w:bookmarkStart w:id="14" w:name="teaching-the-lineage"/>
    <w:p>
      <w:pPr>
        <w:pStyle w:val="Heading2"/>
      </w:pPr>
      <w:r>
        <w:t xml:space="preserve">Teaching the lineage</w:t>
      </w:r>
    </w:p>
    <w:p>
      <w:pPr>
        <w:pStyle w:val="FirstParagraph"/>
      </w:pPr>
      <w:r>
        <w:t xml:space="preserve">Unbundled, the rank operation belongs to a century of statistics. Its knot</w:t>
      </w:r>
      <w:r>
        <w:t xml:space="preserve"> </w:t>
      </w:r>
      <w:r>
        <w:t xml:space="preserve">probabilities are Weibull’s plotting positions. Ranks to Gaussian scores is van der</w:t>
      </w:r>
      <w:r>
        <w:t xml:space="preserve"> </w:t>
      </w:r>
      <w:r>
        <w:t xml:space="preserve">Waerden. Meteorology has run the normal quantile transform inside predictive systems</w:t>
      </w:r>
      <w:r>
        <w:t xml:space="preserve"> </w:t>
      </w:r>
      <w:r>
        <w:t xml:space="preserve">for decades. Copula econometrics estimates an empirical margin, models dependence on</w:t>
      </w:r>
      <w:r>
        <w:t xml:space="preserve"> </w:t>
      </w:r>
      <w:r>
        <w:t xml:space="preserve">the transformed scale, and inverts.</w:t>
      </w:r>
    </w:p>
    <w:p>
      <w:pPr>
        <w:pStyle w:val="BodyText"/>
      </w:pPr>
      <w:r>
        <w:t xml:space="preserve">Machine learning reintroduced the same transform in 2022 as a preprocessing device, with no conformal vocabulary at all. That is where</w:t>
      </w:r>
      <w:r>
        <w:t xml:space="preserve"> </w:t>
      </w:r>
      <w:r>
        <w:t xml:space="preserve">it should be taught: the empirical distribution as an estimator, the probability</w:t>
      </w:r>
      <w:r>
        <w:t xml:space="preserve"> </w:t>
      </w:r>
      <w:r>
        <w:t xml:space="preserve">transform as a change of coordinates, with plotting positions, ties, interpolation,</w:t>
      </w:r>
      <w:r>
        <w:t xml:space="preserve"> </w:t>
      </w:r>
      <w:r>
        <w:t xml:space="preserve">inversion, and the cost of estimating the transform.</w:t>
      </w:r>
    </w:p>
    <w:p>
      <w:pPr>
        <w:pStyle w:val="BodyText"/>
      </w:pPr>
      <w:r>
        <w:t xml:space="preserve">Then the genuinely new contribution can be presented cleanly. Built through exchangeable ranks, the transform’s output carries a</w:t>
      </w:r>
      <w:r>
        <w:t xml:space="preserve"> </w:t>
      </w:r>
      <w:r>
        <w:t xml:space="preserve">finite-sample marginal certificate at its position. That is worth a lecture. It is</w:t>
      </w:r>
      <w:r>
        <w:t xml:space="preserve"> </w:t>
      </w:r>
      <w:r>
        <w:t xml:space="preserve">not worth a paradigm.</w:t>
      </w:r>
    </w:p>
    <w:bookmarkEnd w:id="14"/>
    <w:bookmarkStart w:id="15" w:name="the-philosophical-asymmetry"/>
    <w:p>
      <w:pPr>
        <w:pStyle w:val="Heading2"/>
      </w:pPr>
      <w:r>
        <w:t xml:space="preserve">The philosophical asymmetry</w:t>
      </w:r>
    </w:p>
    <w:p>
      <w:pPr>
        <w:pStyle w:val="FirstParagraph"/>
      </w:pPr>
      <w:r>
        <w:t xml:space="preserve">The deepest inconsistency is methodological. For the observable, the</w:t>
      </w:r>
      <w:r>
        <w:t xml:space="preserve"> </w:t>
      </w:r>
      <w:r>
        <w:t xml:space="preserve">curriculum teaches that conditioning is the whole point: we model the conditional</w:t>
      </w:r>
      <w:r>
        <w:t xml:space="preserve"> </w:t>
      </w:r>
      <w:r>
        <w:t xml:space="preserve">law, not the marginal, because exploiting structure is what prediction is. Then a</w:t>
      </w:r>
      <w:r>
        <w:t xml:space="preserve"> </w:t>
      </w:r>
      <w:r>
        <w:t xml:space="preserve">base model produces a residual, and canonical practice replaces its conditional law</w:t>
      </w:r>
      <w:r>
        <w:t xml:space="preserve"> </w:t>
      </w:r>
      <w:r>
        <w:t xml:space="preserve">with its empirical marginal, full stop.</w:t>
      </w:r>
    </w:p>
    <w:p>
      <w:pPr>
        <w:pStyle w:val="BodyText"/>
      </w:pPr>
      <w:r>
        <w:t xml:space="preserve">Why would a highly normative procedure be appropriate for one problem and not the other?</w:t>
      </w:r>
    </w:p>
    <w:p>
      <w:pPr>
        <w:pStyle w:val="BodyText"/>
      </w:pPr>
      <w:r>
        <w:t xml:space="preserve">Sometimes the empirical distribution is an excellent approximation for model residuals. Sometimes it is not, and the certificate cannot tell the cases apart. So modeling is</w:t>
      </w:r>
      <w:r>
        <w:t xml:space="preserve"> </w:t>
      </w:r>
      <w:r>
        <w:t xml:space="preserve">taught as essential below the residual line and presumptively finished above it, with</w:t>
      </w:r>
      <w:r>
        <w:t xml:space="preserve"> </w:t>
      </w:r>
      <w:r>
        <w:t xml:space="preserve">only the certified step mandatory and the rest made to look like embellishment.</w:t>
      </w:r>
      <w:r>
        <w:t xml:space="preserve"> </w:t>
      </w:r>
      <w:r>
        <w:t xml:space="preserve">Coverage cannot resolve the asymmetry, because coverage was built to ignore it.</w:t>
      </w:r>
    </w:p>
    <w:p>
      <w:pPr>
        <w:pStyle w:val="BodyText"/>
      </w:pPr>
      <w:r>
        <w:t xml:space="preserve">The resolution is trivial. Put the empirical transform in the ordinary toolbox,</w:t>
      </w:r>
      <w:r>
        <w:t xml:space="preserve"> </w:t>
      </w:r>
      <w:r>
        <w:t xml:space="preserve">beside differencing, scaling, and whitening, and state its certificate exactly where</w:t>
      </w:r>
      <w:r>
        <w:t xml:space="preserve"> </w:t>
      </w:r>
      <w:r>
        <w:t xml:space="preserve">it holds. Then residual modeling is neither a conformal requirement nor a conformal</w:t>
      </w:r>
      <w:r>
        <w:t xml:space="preserve"> </w:t>
      </w:r>
      <w:r>
        <w:t xml:space="preserve">violation. It is a modeling decision, judged by proper scores on held-out data, free</w:t>
      </w:r>
      <w:r>
        <w:t xml:space="preserve"> </w:t>
      </w:r>
      <w:r>
        <w:t xml:space="preserve">to continue past the conformal ribbon-cutting whenever anything remains to be found.</w:t>
      </w:r>
      <w:r>
        <w:t xml:space="preserve"> </w:t>
      </w:r>
      <w:r>
        <w:t xml:space="preserve">Sometimes the evidence favors stopping. Sometimes continuing. The mathematics implies</w:t>
      </w:r>
      <w:r>
        <w:t xml:space="preserve"> </w:t>
      </w:r>
      <w:r>
        <w:t xml:space="preserve">neither universally, which is why the choice should be taught as a measurement, not a</w:t>
      </w:r>
      <w:r>
        <w:t xml:space="preserve"> </w:t>
      </w:r>
      <w:r>
        <w:t xml:space="preserve">rule.</w:t>
      </w:r>
    </w:p>
    <w:p>
      <w:pPr>
        <w:pStyle w:val="BodyText"/>
      </w:pPr>
      <w:r>
        <w:t xml:space="preserve">None of this attacks the guarantee. At its position the guarantee is correct and</w:t>
      </w:r>
      <w:r>
        <w:t xml:space="preserve"> </w:t>
      </w:r>
      <w:r>
        <w:t xml:space="preserve">useful. The harm is the packaging: a stopping convention taught as a principle, an</w:t>
      </w:r>
      <w:r>
        <w:t xml:space="preserve"> </w:t>
      </w:r>
      <w:r>
        <w:t xml:space="preserve">empirical transform sold as a paradigm, conditional modeling smuggled back in under</w:t>
      </w:r>
      <w:r>
        <w:t xml:space="preserve"> </w:t>
      </w:r>
      <w:r>
        <w:t xml:space="preserve">the certificate, and a very one-sided notion of</w:t>
      </w:r>
      <w:r>
        <w:t xml:space="preserve"> </w:t>
      </w:r>
      <w:r>
        <w:t xml:space="preserve">“rigorous”</w:t>
      </w:r>
      <w:r>
        <w:t xml:space="preserve">. Teach both rigorous results and the</w:t>
      </w:r>
      <w:r>
        <w:t xml:space="preserve"> </w:t>
      </w:r>
      <w:r>
        <w:t xml:space="preserve">lesson is neither always stop nor always continue. It is measure. That is the better</w:t>
      </w:r>
      <w:r>
        <w:t xml:space="preserve"> </w:t>
      </w:r>
      <w:r>
        <w:t xml:space="preserve">subject, and it can be taught honestly.</w:t>
      </w:r>
    </w:p>
    <w:p>
      <w:r>
        <w:pict>
          <v:rect style="width:0;height:1.5pt" o:hralign="center" o:hrstd="t" o:hr="t"/>
        </w:pict>
      </w:r>
    </w:p>
    <w:p>
      <w:pPr>
        <w:pStyle w:val="FirstParagraph"/>
      </w:pPr>
      <w:r>
        <w:rPr>
          <w:i/>
          <w:iCs/>
        </w:rPr>
        <w:t xml:space="preserve">Further reading: Lei, G’Sell, Rinaldo, Tibshirani and Wasserman (JASA, 2018), the</w:t>
      </w:r>
      <w:r>
        <w:rPr>
          <w:i/>
          <w:iCs/>
        </w:rPr>
        <w:t xml:space="preserve"> </w:t>
      </w:r>
      <w:r>
        <w:rPr>
          <w:i/>
          <w:iCs/>
        </w:rPr>
        <w:t xml:space="preserve">split-conformal guarantee stated carefully; Barber, Candes, Ramdas and Tibshirani</w:t>
      </w:r>
      <w:r>
        <w:rPr>
          <w:i/>
          <w:iCs/>
        </w:rPr>
        <w:t xml:space="preserve"> </w:t>
      </w:r>
      <w:r>
        <w:rPr>
          <w:i/>
          <w:iCs/>
        </w:rPr>
        <w:t xml:space="preserve">(Information and Inference, 2021), the limits of distribution-free conditional</w:t>
      </w:r>
      <w:r>
        <w:rPr>
          <w:i/>
          <w:iCs/>
        </w:rPr>
        <w:t xml:space="preserve"> </w:t>
      </w:r>
      <w:r>
        <w:rPr>
          <w:i/>
          <w:iCs/>
        </w:rPr>
        <w:t xml:space="preserve">coverage; Recht,</w:t>
      </w:r>
      <w:r>
        <w:rPr>
          <w:i/>
          <w:iCs/>
        </w:rPr>
        <w:t xml:space="preserve"> </w:t>
      </w:r>
      <w:r>
        <w:rPr>
          <w:i/>
          <w:iCs/>
        </w:rPr>
        <w:t xml:space="preserve">“Cover Songs”</w:t>
      </w:r>
      <w:r>
        <w:rPr>
          <w:i/>
          <w:iCs/>
        </w:rPr>
        <w:t xml:space="preserve"> </w:t>
      </w:r>
      <w:r>
        <w:rPr>
          <w:i/>
          <w:iCs/>
        </w:rPr>
        <w:t xml:space="preserve">(2024), an independent</w:t>
      </w:r>
      <w:r>
        <w:rPr>
          <w:i/>
          <w:iCs/>
        </w:rPr>
        <w:t xml:space="preserve"> </w:t>
      </w:r>
      <w:r>
        <w:rPr>
          <w:i/>
          <w:iCs/>
        </w:rPr>
        <w:t xml:space="preserve">critique; Berta, Holzmüller, Bach and Jordan,</w:t>
      </w:r>
      <w:r>
        <w:rPr>
          <w:i/>
          <w:iCs/>
        </w:rPr>
        <w:t xml:space="preserve"> </w:t>
      </w:r>
      <w:r>
        <w:rPr>
          <w:i/>
          <w:iCs/>
        </w:rPr>
        <w:t xml:space="preserve">“CalArena”</w:t>
      </w:r>
      <w:r>
        <w:rPr>
          <w:i/>
          <w:iCs/>
        </w:rPr>
        <w:t xml:space="preserve"> </w:t>
      </w:r>
      <w:r>
        <w:rPr>
          <w:i/>
          <w:iCs/>
        </w:rPr>
        <w:t xml:space="preserve">(2026), a large-scale</w:t>
      </w:r>
      <w:r>
        <w:rPr>
          <w:i/>
          <w:iCs/>
        </w:rPr>
        <w:t xml:space="preserve"> </w:t>
      </w:r>
      <w:r>
        <w:rPr>
          <w:i/>
          <w:iCs/>
        </w:rPr>
        <w:t xml:space="preserve">calibration benchmark that scores post-hoc methods by their improvement in a proper</w:t>
      </w:r>
      <w:r>
        <w:rPr>
          <w:i/>
          <w:iCs/>
        </w:rPr>
        <w:t xml:space="preserve"> </w:t>
      </w:r>
      <w:r>
        <w:rPr>
          <w:i/>
          <w:iCs/>
        </w:rPr>
        <w:t xml:space="preserve">scoring rule, from outside the conformal literature; Cotton,</w:t>
      </w:r>
      <w:r>
        <w:rPr>
          <w:i/>
          <w:iCs/>
        </w:rPr>
        <w:t xml:space="preserve"> </w:t>
      </w:r>
      <w:r>
        <w:rPr>
          <w:i/>
          <w:iCs/>
        </w:rPr>
        <w:t xml:space="preserve">“An Empirical Study of</w:t>
      </w:r>
      <w:r>
        <w:rPr>
          <w:i/>
          <w:iCs/>
        </w:rPr>
        <w:t xml:space="preserve"> </w:t>
      </w:r>
      <w:r>
        <w:rPr>
          <w:i/>
          <w:iCs/>
        </w:rPr>
        <w:t xml:space="preserve">the Conformal Information Gap”</w:t>
      </w:r>
      <w:r>
        <w:rPr>
          <w:i/>
          <w:iCs/>
        </w:rPr>
        <w:t xml:space="preserve"> </w:t>
      </w:r>
      <w:r>
        <w:rPr>
          <w:i/>
          <w:iCs/>
        </w:rPr>
        <w:t xml:space="preserve">(SSRN</w:t>
      </w:r>
      <w:r>
        <w:rPr>
          <w:i/>
          <w:iCs/>
        </w:rPr>
        <w:t xml:space="preserve"> </w:t>
      </w:r>
      <w:r>
        <w:rPr>
          <w:i/>
          <w:iCs/>
        </w:rPr>
        <w:t xml:space="preserve">7220538), the identity and its measurement; and the literature sample and interactive</w:t>
      </w:r>
      <w:r>
        <w:rPr>
          <w:i/>
          <w:iCs/>
        </w:rPr>
        <w:t xml:space="preserve"> </w:t>
      </w:r>
      <w:r>
        <w:rPr>
          <w:i/>
          <w:iCs/>
        </w:rPr>
        <w:t xml:space="preserve">demonstrations at conformalprediction.net.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2026-08-18T20:04:28Z</dcterms:created>
  <dcterms:modified xsi:type="dcterms:W3CDTF">2026-08-18T20:04:28Z</dcterms:modified>
</cp:coreProperties>
</file>

<file path=docProps/custom.xml><?xml version="1.0" encoding="utf-8"?>
<Properties xmlns="http://schemas.openxmlformats.org/officeDocument/2006/custom-properties" xmlns:vt="http://schemas.openxmlformats.org/officeDocument/2006/docPropsVTypes"/>
</file>